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3A3061" w:rsidRPr="00BB11AF">
        <w:tblPrEx>
          <w:tblCellMar>
            <w:top w:w="0" w:type="dxa"/>
            <w:bottom w:w="0" w:type="dxa"/>
          </w:tblCellMar>
        </w:tblPrEx>
        <w:tc>
          <w:tcPr>
            <w:tcW w:w="9160" w:type="dxa"/>
            <w:shd w:val="clear" w:color="auto" w:fill="E5E2CA"/>
          </w:tcPr>
          <w:p w:rsidR="003A3061" w:rsidRPr="00BB11AF" w:rsidRDefault="003A3061" w:rsidP="003A3061">
            <w:pPr>
              <w:pStyle w:val="En-tte"/>
              <w:tabs>
                <w:tab w:val="clear" w:pos="4320"/>
                <w:tab w:val="clear" w:pos="8640"/>
              </w:tabs>
              <w:rPr>
                <w:rFonts w:ascii="Times New Roman" w:hAnsi="Times New Roman"/>
                <w:sz w:val="28"/>
                <w:lang w:val="en-CA" w:bidi="ar-SA"/>
              </w:rPr>
            </w:pPr>
            <w:bookmarkStart w:id="0" w:name="_GoBack"/>
            <w:bookmarkEnd w:id="0"/>
          </w:p>
          <w:p w:rsidR="003A3061" w:rsidRPr="00BB11AF" w:rsidRDefault="003A3061">
            <w:pPr>
              <w:ind w:firstLine="0"/>
              <w:jc w:val="center"/>
              <w:rPr>
                <w:b/>
                <w:lang w:bidi="ar-SA"/>
              </w:rPr>
            </w:pPr>
          </w:p>
          <w:p w:rsidR="003A3061" w:rsidRPr="00BB11AF" w:rsidRDefault="003A3061" w:rsidP="003A3061">
            <w:pPr>
              <w:ind w:firstLine="0"/>
              <w:jc w:val="center"/>
              <w:rPr>
                <w:b/>
                <w:sz w:val="20"/>
                <w:lang w:bidi="ar-SA"/>
              </w:rPr>
            </w:pPr>
          </w:p>
          <w:p w:rsidR="003A3061" w:rsidRPr="00BB11AF" w:rsidRDefault="003A3061" w:rsidP="003A3061">
            <w:pPr>
              <w:ind w:firstLine="0"/>
              <w:jc w:val="center"/>
              <w:rPr>
                <w:b/>
                <w:sz w:val="20"/>
                <w:lang w:bidi="ar-SA"/>
              </w:rPr>
            </w:pPr>
          </w:p>
          <w:p w:rsidR="003A3061" w:rsidRPr="00BB11AF" w:rsidRDefault="003A3061" w:rsidP="003A3061">
            <w:pPr>
              <w:ind w:firstLine="0"/>
              <w:jc w:val="center"/>
              <w:rPr>
                <w:sz w:val="24"/>
              </w:rPr>
            </w:pPr>
            <w:r w:rsidRPr="00BB11AF">
              <w:rPr>
                <w:sz w:val="24"/>
              </w:rPr>
              <w:t>SOUS LA DIRECTION DE</w:t>
            </w:r>
          </w:p>
          <w:p w:rsidR="003A3061" w:rsidRPr="00BB11AF" w:rsidRDefault="003A3061" w:rsidP="003A3061">
            <w:pPr>
              <w:ind w:firstLine="0"/>
              <w:jc w:val="center"/>
              <w:rPr>
                <w:b/>
                <w:sz w:val="36"/>
              </w:rPr>
            </w:pPr>
            <w:r w:rsidRPr="00BB11AF">
              <w:rPr>
                <w:sz w:val="36"/>
              </w:rPr>
              <w:t>André TREMBLAY et Marie-Claude HAINCE</w:t>
            </w:r>
          </w:p>
          <w:p w:rsidR="003A3061" w:rsidRPr="00BB11AF" w:rsidRDefault="003A3061" w:rsidP="003A3061">
            <w:pPr>
              <w:ind w:firstLine="0"/>
              <w:jc w:val="center"/>
              <w:rPr>
                <w:sz w:val="20"/>
                <w:lang w:bidi="ar-SA"/>
              </w:rPr>
            </w:pPr>
          </w:p>
          <w:p w:rsidR="003A3061" w:rsidRPr="00BB11AF" w:rsidRDefault="003A3061" w:rsidP="003A3061">
            <w:pPr>
              <w:pStyle w:val="Corpsdetexte"/>
              <w:widowControl w:val="0"/>
              <w:spacing w:before="0" w:after="0"/>
              <w:rPr>
                <w:sz w:val="44"/>
                <w:lang w:bidi="ar-SA"/>
              </w:rPr>
            </w:pPr>
            <w:r w:rsidRPr="00BB11AF">
              <w:rPr>
                <w:sz w:val="44"/>
                <w:lang w:bidi="ar-SA"/>
              </w:rPr>
              <w:t>(2015)</w:t>
            </w:r>
          </w:p>
          <w:p w:rsidR="003A3061" w:rsidRPr="00BB11AF" w:rsidRDefault="003A3061" w:rsidP="003A3061">
            <w:pPr>
              <w:pStyle w:val="Corpsdetexte"/>
              <w:widowControl w:val="0"/>
              <w:spacing w:before="0" w:after="0"/>
              <w:rPr>
                <w:color w:val="FF0000"/>
                <w:sz w:val="24"/>
                <w:lang w:bidi="ar-SA"/>
              </w:rPr>
            </w:pPr>
          </w:p>
          <w:p w:rsidR="003A3061" w:rsidRPr="00BB11AF" w:rsidRDefault="003A3061" w:rsidP="003A3061">
            <w:pPr>
              <w:pStyle w:val="Corpsdetexte"/>
              <w:widowControl w:val="0"/>
              <w:spacing w:before="0" w:after="0"/>
              <w:rPr>
                <w:color w:val="FF0000"/>
                <w:sz w:val="24"/>
                <w:lang w:bidi="ar-SA"/>
              </w:rPr>
            </w:pPr>
          </w:p>
          <w:p w:rsidR="003A3061" w:rsidRPr="00FD259B" w:rsidRDefault="003A3061" w:rsidP="003A3061">
            <w:pPr>
              <w:pStyle w:val="Titlest"/>
              <w:rPr>
                <w:sz w:val="96"/>
              </w:rPr>
            </w:pPr>
            <w:r w:rsidRPr="00FD259B">
              <w:rPr>
                <w:color w:val="FF0000"/>
                <w:sz w:val="96"/>
              </w:rPr>
              <w:t>Crise</w:t>
            </w:r>
            <w:r w:rsidRPr="00FD259B">
              <w:rPr>
                <w:sz w:val="96"/>
              </w:rPr>
              <w:t xml:space="preserve"> et</w:t>
            </w:r>
            <w:r w:rsidRPr="00FD259B">
              <w:rPr>
                <w:sz w:val="96"/>
              </w:rPr>
              <w:br/>
              <w:t xml:space="preserve">mise en </w:t>
            </w:r>
            <w:r w:rsidRPr="00FD259B">
              <w:rPr>
                <w:color w:val="FF0000"/>
                <w:sz w:val="96"/>
              </w:rPr>
              <w:t>crise</w:t>
            </w:r>
          </w:p>
          <w:p w:rsidR="003A3061" w:rsidRPr="00FD259B" w:rsidRDefault="003A3061" w:rsidP="003A3061">
            <w:pPr>
              <w:pStyle w:val="Titlesti"/>
              <w:rPr>
                <w:sz w:val="48"/>
                <w:lang w:bidi="ar-SA"/>
              </w:rPr>
            </w:pPr>
            <w:r w:rsidRPr="00FD259B">
              <w:rPr>
                <w:sz w:val="48"/>
                <w:lang w:bidi="ar-SA"/>
              </w:rPr>
              <w:t>Actes du Colloque de l’ACSALF</w:t>
            </w:r>
            <w:r w:rsidRPr="00FD259B">
              <w:rPr>
                <w:sz w:val="48"/>
                <w:lang w:bidi="ar-SA"/>
              </w:rPr>
              <w:br/>
              <w:t>de 2012.</w:t>
            </w:r>
          </w:p>
          <w:p w:rsidR="003A3061" w:rsidRPr="00BB11AF" w:rsidRDefault="003A3061" w:rsidP="003A3061">
            <w:pPr>
              <w:widowControl w:val="0"/>
              <w:ind w:firstLine="0"/>
              <w:jc w:val="center"/>
              <w:rPr>
                <w:lang w:bidi="ar-SA"/>
              </w:rPr>
            </w:pPr>
          </w:p>
          <w:p w:rsidR="003A3061" w:rsidRPr="00BB11AF" w:rsidRDefault="003A3061" w:rsidP="003A3061">
            <w:pPr>
              <w:widowControl w:val="0"/>
              <w:ind w:firstLine="0"/>
              <w:jc w:val="center"/>
              <w:rPr>
                <w:lang w:bidi="ar-SA"/>
              </w:rPr>
            </w:pPr>
          </w:p>
          <w:p w:rsidR="003A3061" w:rsidRPr="00BB11AF" w:rsidRDefault="003A3061" w:rsidP="003A3061">
            <w:pPr>
              <w:widowControl w:val="0"/>
              <w:ind w:firstLine="0"/>
              <w:jc w:val="center"/>
              <w:rPr>
                <w:sz w:val="20"/>
                <w:lang w:bidi="ar-SA"/>
              </w:rPr>
            </w:pPr>
          </w:p>
          <w:p w:rsidR="003A3061" w:rsidRPr="00BB11AF" w:rsidRDefault="003A3061">
            <w:pPr>
              <w:widowControl w:val="0"/>
              <w:ind w:firstLine="0"/>
              <w:jc w:val="center"/>
              <w:rPr>
                <w:sz w:val="20"/>
                <w:lang w:bidi="ar-SA"/>
              </w:rPr>
            </w:pPr>
          </w:p>
          <w:p w:rsidR="003A3061" w:rsidRPr="00BB11AF" w:rsidRDefault="003A3061">
            <w:pPr>
              <w:ind w:firstLine="0"/>
              <w:jc w:val="center"/>
              <w:rPr>
                <w:sz w:val="20"/>
                <w:lang w:bidi="ar-SA"/>
              </w:rPr>
            </w:pPr>
            <w:r w:rsidRPr="00BB11AF">
              <w:rPr>
                <w:b/>
                <w:lang w:bidi="ar-SA"/>
              </w:rPr>
              <w:t>LES CLASSIQUES DES SCIENCES SOCIALES</w:t>
            </w:r>
            <w:r w:rsidRPr="00BB11AF">
              <w:rPr>
                <w:lang w:bidi="ar-SA"/>
              </w:rPr>
              <w:br/>
              <w:t>CHICOUTIMI, QUÉBEC</w:t>
            </w:r>
            <w:r w:rsidRPr="00BB11AF">
              <w:rPr>
                <w:lang w:bidi="ar-SA"/>
              </w:rPr>
              <w:br/>
            </w:r>
            <w:hyperlink r:id="rId7" w:history="1">
              <w:r w:rsidRPr="00BB11AF">
                <w:rPr>
                  <w:rStyle w:val="Lienhypertexte"/>
                  <w:lang w:bidi="ar-SA"/>
                </w:rPr>
                <w:t>http://classiques.uqac.ca/</w:t>
              </w:r>
            </w:hyperlink>
          </w:p>
          <w:p w:rsidR="003A3061" w:rsidRPr="00BB11AF" w:rsidRDefault="003A3061">
            <w:pPr>
              <w:widowControl w:val="0"/>
              <w:ind w:firstLine="0"/>
              <w:jc w:val="both"/>
              <w:rPr>
                <w:lang w:bidi="ar-SA"/>
              </w:rPr>
            </w:pPr>
          </w:p>
          <w:p w:rsidR="003A3061" w:rsidRPr="00BB11AF" w:rsidRDefault="003A3061">
            <w:pPr>
              <w:widowControl w:val="0"/>
              <w:ind w:firstLine="0"/>
              <w:jc w:val="both"/>
              <w:rPr>
                <w:lang w:bidi="ar-SA"/>
              </w:rPr>
            </w:pPr>
          </w:p>
          <w:p w:rsidR="003A3061" w:rsidRPr="00BB11AF" w:rsidRDefault="003A3061">
            <w:pPr>
              <w:widowControl w:val="0"/>
              <w:ind w:firstLine="0"/>
              <w:jc w:val="both"/>
              <w:rPr>
                <w:lang w:bidi="ar-SA"/>
              </w:rPr>
            </w:pPr>
          </w:p>
          <w:p w:rsidR="003A3061" w:rsidRPr="00BB11AF" w:rsidRDefault="003A3061">
            <w:pPr>
              <w:widowControl w:val="0"/>
              <w:ind w:firstLine="0"/>
              <w:jc w:val="both"/>
              <w:rPr>
                <w:lang w:bidi="ar-SA"/>
              </w:rPr>
            </w:pPr>
          </w:p>
          <w:p w:rsidR="003A3061" w:rsidRPr="00BB11AF" w:rsidRDefault="003A3061">
            <w:pPr>
              <w:widowControl w:val="0"/>
              <w:ind w:firstLine="0"/>
              <w:jc w:val="both"/>
              <w:rPr>
                <w:lang w:bidi="ar-SA"/>
              </w:rPr>
            </w:pPr>
          </w:p>
          <w:p w:rsidR="003A3061" w:rsidRPr="00BB11AF" w:rsidRDefault="003A3061">
            <w:pPr>
              <w:widowControl w:val="0"/>
              <w:ind w:firstLine="0"/>
              <w:jc w:val="both"/>
              <w:rPr>
                <w:lang w:bidi="ar-SA"/>
              </w:rPr>
            </w:pPr>
          </w:p>
          <w:p w:rsidR="003A3061" w:rsidRPr="00BB11AF" w:rsidRDefault="003A3061">
            <w:pPr>
              <w:widowControl w:val="0"/>
              <w:ind w:firstLine="0"/>
              <w:jc w:val="both"/>
              <w:rPr>
                <w:lang w:bidi="ar-SA"/>
              </w:rPr>
            </w:pPr>
          </w:p>
          <w:p w:rsidR="003A3061" w:rsidRPr="00BB11AF" w:rsidRDefault="003A3061">
            <w:pPr>
              <w:widowControl w:val="0"/>
              <w:ind w:firstLine="0"/>
              <w:jc w:val="both"/>
              <w:rPr>
                <w:lang w:bidi="ar-SA"/>
              </w:rPr>
            </w:pPr>
          </w:p>
          <w:p w:rsidR="003A3061" w:rsidRPr="00BB11AF" w:rsidRDefault="003A3061">
            <w:pPr>
              <w:ind w:firstLine="0"/>
              <w:jc w:val="both"/>
              <w:rPr>
                <w:lang w:bidi="ar-SA"/>
              </w:rPr>
            </w:pPr>
          </w:p>
        </w:tc>
      </w:tr>
    </w:tbl>
    <w:p w:rsidR="003A3061" w:rsidRPr="00BB11AF" w:rsidRDefault="003A3061" w:rsidP="003A3061">
      <w:pPr>
        <w:ind w:firstLine="0"/>
        <w:jc w:val="both"/>
      </w:pPr>
      <w:r w:rsidRPr="00BB11AF">
        <w:br w:type="page"/>
      </w:r>
    </w:p>
    <w:p w:rsidR="003A3061" w:rsidRPr="00BB11AF" w:rsidRDefault="003A3061" w:rsidP="003A3061">
      <w:pPr>
        <w:ind w:firstLine="0"/>
        <w:jc w:val="both"/>
      </w:pPr>
    </w:p>
    <w:p w:rsidR="003A3061" w:rsidRPr="00BB11AF" w:rsidRDefault="003A3061" w:rsidP="003A3061">
      <w:pPr>
        <w:ind w:firstLine="0"/>
        <w:jc w:val="both"/>
      </w:pPr>
    </w:p>
    <w:p w:rsidR="003A3061" w:rsidRPr="00BB11AF" w:rsidRDefault="003A3061" w:rsidP="003A3061">
      <w:pPr>
        <w:ind w:firstLine="0"/>
        <w:jc w:val="both"/>
      </w:pPr>
    </w:p>
    <w:p w:rsidR="003A3061" w:rsidRPr="00BB11AF" w:rsidRDefault="00356B29" w:rsidP="003A3061">
      <w:pPr>
        <w:ind w:firstLine="0"/>
        <w:jc w:val="right"/>
      </w:pPr>
      <w:r w:rsidRPr="00BB11AF">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3A3061" w:rsidRPr="00BB11AF" w:rsidRDefault="003A3061" w:rsidP="003A3061">
      <w:pPr>
        <w:ind w:firstLine="0"/>
        <w:jc w:val="right"/>
      </w:pPr>
      <w:hyperlink r:id="rId9" w:history="1">
        <w:r w:rsidRPr="00BB11AF">
          <w:rPr>
            <w:rStyle w:val="Lienhypertexte"/>
          </w:rPr>
          <w:t>http://classiques.uqac.ca/</w:t>
        </w:r>
      </w:hyperlink>
      <w:r w:rsidRPr="00BB11AF">
        <w:t xml:space="preserve"> </w:t>
      </w:r>
    </w:p>
    <w:p w:rsidR="003A3061" w:rsidRPr="00BB11AF" w:rsidRDefault="003A3061" w:rsidP="003A3061">
      <w:pPr>
        <w:ind w:firstLine="0"/>
        <w:jc w:val="both"/>
      </w:pPr>
    </w:p>
    <w:p w:rsidR="003A3061" w:rsidRPr="00BB11AF" w:rsidRDefault="003A3061" w:rsidP="003A3061">
      <w:pPr>
        <w:ind w:firstLine="0"/>
        <w:jc w:val="both"/>
      </w:pPr>
      <w:r w:rsidRPr="00BB11AF">
        <w:rPr>
          <w:i/>
        </w:rPr>
        <w:t>Les Classiques des sciences sociales</w:t>
      </w:r>
      <w:r w:rsidRPr="00BB11AF">
        <w:t xml:space="preserve"> est une bibliothèque numérique en libre accès, fondée au Cégep de Chicoutimi en 1993 et développée en partenariat avec l’Université du Québec à Chicoutimi (UQÀC) d</w:t>
      </w:r>
      <w:r w:rsidRPr="00BB11AF">
        <w:t>e</w:t>
      </w:r>
      <w:r w:rsidRPr="00BB11AF">
        <w:t>puis 2000.</w:t>
      </w:r>
    </w:p>
    <w:p w:rsidR="003A3061" w:rsidRPr="00BB11AF" w:rsidRDefault="003A3061" w:rsidP="003A3061">
      <w:pPr>
        <w:ind w:firstLine="0"/>
        <w:jc w:val="both"/>
      </w:pPr>
    </w:p>
    <w:p w:rsidR="003A3061" w:rsidRPr="00BB11AF" w:rsidRDefault="003A3061" w:rsidP="003A3061">
      <w:pPr>
        <w:ind w:firstLine="0"/>
        <w:jc w:val="both"/>
      </w:pPr>
    </w:p>
    <w:p w:rsidR="003A3061" w:rsidRPr="00BB11AF" w:rsidRDefault="00356B29" w:rsidP="003A3061">
      <w:pPr>
        <w:ind w:firstLine="0"/>
        <w:jc w:val="both"/>
      </w:pPr>
      <w:r w:rsidRPr="00BB11AF">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3A3061" w:rsidRPr="00BB11AF" w:rsidRDefault="003A3061" w:rsidP="003A3061">
      <w:pPr>
        <w:ind w:firstLine="0"/>
        <w:jc w:val="both"/>
      </w:pPr>
      <w:hyperlink r:id="rId11" w:history="1">
        <w:r w:rsidRPr="00BB11AF">
          <w:rPr>
            <w:rStyle w:val="Lienhypertexte"/>
          </w:rPr>
          <w:t>http://bibliotheque.uqac.ca/</w:t>
        </w:r>
      </w:hyperlink>
      <w:r w:rsidRPr="00BB11AF">
        <w:t xml:space="preserve"> </w:t>
      </w:r>
    </w:p>
    <w:p w:rsidR="003A3061" w:rsidRPr="00BB11AF" w:rsidRDefault="003A3061" w:rsidP="003A3061">
      <w:pPr>
        <w:ind w:firstLine="0"/>
        <w:jc w:val="both"/>
      </w:pPr>
    </w:p>
    <w:p w:rsidR="003A3061" w:rsidRPr="00BB11AF" w:rsidRDefault="003A3061" w:rsidP="003A3061">
      <w:pPr>
        <w:ind w:firstLine="0"/>
        <w:jc w:val="both"/>
      </w:pPr>
    </w:p>
    <w:p w:rsidR="003A3061" w:rsidRPr="00BB11AF" w:rsidRDefault="003A3061" w:rsidP="003A3061">
      <w:pPr>
        <w:ind w:firstLine="0"/>
        <w:jc w:val="both"/>
      </w:pPr>
      <w:r w:rsidRPr="00BB11AF">
        <w:t>En 2018, Les Classiques des sciences sociales fêteront leur 25</w:t>
      </w:r>
      <w:r w:rsidRPr="00BB11AF">
        <w:rPr>
          <w:vertAlign w:val="superscript"/>
        </w:rPr>
        <w:t>e</w:t>
      </w:r>
      <w:r w:rsidRPr="00BB11AF">
        <w:t xml:space="preserve"> ann</w:t>
      </w:r>
      <w:r w:rsidRPr="00BB11AF">
        <w:t>i</w:t>
      </w:r>
      <w:r w:rsidRPr="00BB11AF">
        <w:t>versaire de fondation. Une belle initiative citoyenne.</w:t>
      </w:r>
    </w:p>
    <w:p w:rsidR="003A3061" w:rsidRPr="00BB11AF" w:rsidRDefault="003A3061" w:rsidP="003A3061">
      <w:pPr>
        <w:widowControl w:val="0"/>
        <w:autoSpaceDE w:val="0"/>
        <w:autoSpaceDN w:val="0"/>
        <w:adjustRightInd w:val="0"/>
        <w:rPr>
          <w:szCs w:val="32"/>
        </w:rPr>
      </w:pPr>
      <w:r w:rsidRPr="00BB11AF">
        <w:br w:type="page"/>
      </w:r>
    </w:p>
    <w:p w:rsidR="003A3061" w:rsidRPr="00BB11AF" w:rsidRDefault="003A3061">
      <w:pPr>
        <w:widowControl w:val="0"/>
        <w:autoSpaceDE w:val="0"/>
        <w:autoSpaceDN w:val="0"/>
        <w:adjustRightInd w:val="0"/>
        <w:jc w:val="center"/>
        <w:rPr>
          <w:color w:val="008B00"/>
          <w:sz w:val="40"/>
          <w:szCs w:val="36"/>
        </w:rPr>
      </w:pPr>
      <w:r w:rsidRPr="00BB11AF">
        <w:rPr>
          <w:color w:val="008B00"/>
          <w:sz w:val="40"/>
          <w:szCs w:val="36"/>
        </w:rPr>
        <w:t>Politique d'utilisation</w:t>
      </w:r>
      <w:r w:rsidRPr="00BB11AF">
        <w:rPr>
          <w:color w:val="008B00"/>
          <w:sz w:val="40"/>
          <w:szCs w:val="36"/>
        </w:rPr>
        <w:br/>
        <w:t>de la bibliothèque des Classiques</w:t>
      </w:r>
    </w:p>
    <w:p w:rsidR="003A3061" w:rsidRPr="00BB11AF" w:rsidRDefault="003A3061">
      <w:pPr>
        <w:widowControl w:val="0"/>
        <w:autoSpaceDE w:val="0"/>
        <w:autoSpaceDN w:val="0"/>
        <w:adjustRightInd w:val="0"/>
        <w:jc w:val="both"/>
        <w:rPr>
          <w:color w:val="1C1C1C"/>
          <w:szCs w:val="26"/>
        </w:rPr>
      </w:pPr>
    </w:p>
    <w:p w:rsidR="003A3061" w:rsidRPr="00BB11AF" w:rsidRDefault="003A3061">
      <w:pPr>
        <w:widowControl w:val="0"/>
        <w:autoSpaceDE w:val="0"/>
        <w:autoSpaceDN w:val="0"/>
        <w:adjustRightInd w:val="0"/>
        <w:jc w:val="both"/>
        <w:rPr>
          <w:color w:val="1C1C1C"/>
          <w:szCs w:val="26"/>
        </w:rPr>
      </w:pPr>
    </w:p>
    <w:p w:rsidR="003A3061" w:rsidRPr="00BB11AF" w:rsidRDefault="003A3061">
      <w:pPr>
        <w:widowControl w:val="0"/>
        <w:autoSpaceDE w:val="0"/>
        <w:autoSpaceDN w:val="0"/>
        <w:adjustRightInd w:val="0"/>
        <w:jc w:val="both"/>
        <w:rPr>
          <w:color w:val="1C1C1C"/>
          <w:szCs w:val="26"/>
        </w:rPr>
      </w:pPr>
      <w:r w:rsidRPr="00BB11AF">
        <w:rPr>
          <w:color w:val="1C1C1C"/>
          <w:szCs w:val="26"/>
        </w:rPr>
        <w:t>Toute reproduction et rediffusion de nos fichiers est inte</w:t>
      </w:r>
      <w:r w:rsidRPr="00BB11AF">
        <w:rPr>
          <w:color w:val="1C1C1C"/>
          <w:szCs w:val="26"/>
        </w:rPr>
        <w:t>r</w:t>
      </w:r>
      <w:r w:rsidRPr="00BB11AF">
        <w:rPr>
          <w:color w:val="1C1C1C"/>
          <w:szCs w:val="26"/>
        </w:rPr>
        <w:t>dite, m</w:t>
      </w:r>
      <w:r w:rsidRPr="00BB11AF">
        <w:rPr>
          <w:color w:val="1C1C1C"/>
          <w:szCs w:val="26"/>
        </w:rPr>
        <w:t>ê</w:t>
      </w:r>
      <w:r w:rsidRPr="00BB11AF">
        <w:rPr>
          <w:color w:val="1C1C1C"/>
          <w:szCs w:val="26"/>
        </w:rPr>
        <w:t>me avec la mention de leur provenance, sans l’autorisation fo</w:t>
      </w:r>
      <w:r w:rsidRPr="00BB11AF">
        <w:rPr>
          <w:color w:val="1C1C1C"/>
          <w:szCs w:val="26"/>
        </w:rPr>
        <w:t>r</w:t>
      </w:r>
      <w:r w:rsidRPr="00BB11AF">
        <w:rPr>
          <w:color w:val="1C1C1C"/>
          <w:szCs w:val="26"/>
        </w:rPr>
        <w:t>melle, écrite, du fondateur des Classiques des sciences s</w:t>
      </w:r>
      <w:r w:rsidRPr="00BB11AF">
        <w:rPr>
          <w:color w:val="1C1C1C"/>
          <w:szCs w:val="26"/>
        </w:rPr>
        <w:t>o</w:t>
      </w:r>
      <w:r w:rsidRPr="00BB11AF">
        <w:rPr>
          <w:color w:val="1C1C1C"/>
          <w:szCs w:val="26"/>
        </w:rPr>
        <w:t>ciales, Jean-Marie Tremblay, sociologue.</w:t>
      </w:r>
    </w:p>
    <w:p w:rsidR="003A3061" w:rsidRPr="00BB11AF" w:rsidRDefault="003A3061">
      <w:pPr>
        <w:widowControl w:val="0"/>
        <w:autoSpaceDE w:val="0"/>
        <w:autoSpaceDN w:val="0"/>
        <w:adjustRightInd w:val="0"/>
        <w:jc w:val="both"/>
        <w:rPr>
          <w:color w:val="1C1C1C"/>
          <w:szCs w:val="26"/>
        </w:rPr>
      </w:pPr>
    </w:p>
    <w:p w:rsidR="003A3061" w:rsidRPr="00BB11AF" w:rsidRDefault="003A3061" w:rsidP="003A3061">
      <w:pPr>
        <w:widowControl w:val="0"/>
        <w:autoSpaceDE w:val="0"/>
        <w:autoSpaceDN w:val="0"/>
        <w:adjustRightInd w:val="0"/>
        <w:jc w:val="both"/>
        <w:rPr>
          <w:color w:val="1C1C1C"/>
          <w:szCs w:val="26"/>
        </w:rPr>
      </w:pPr>
      <w:r w:rsidRPr="00BB11AF">
        <w:rPr>
          <w:color w:val="1C1C1C"/>
          <w:szCs w:val="26"/>
        </w:rPr>
        <w:t>Les fichiers des Classiques des sciences sociales ne pe</w:t>
      </w:r>
      <w:r w:rsidRPr="00BB11AF">
        <w:rPr>
          <w:color w:val="1C1C1C"/>
          <w:szCs w:val="26"/>
        </w:rPr>
        <w:t>u</w:t>
      </w:r>
      <w:r w:rsidRPr="00BB11AF">
        <w:rPr>
          <w:color w:val="1C1C1C"/>
          <w:szCs w:val="26"/>
        </w:rPr>
        <w:t>vent sans autorisation formelle:</w:t>
      </w:r>
    </w:p>
    <w:p w:rsidR="003A3061" w:rsidRPr="00BB11AF" w:rsidRDefault="003A3061" w:rsidP="003A3061">
      <w:pPr>
        <w:widowControl w:val="0"/>
        <w:autoSpaceDE w:val="0"/>
        <w:autoSpaceDN w:val="0"/>
        <w:adjustRightInd w:val="0"/>
        <w:jc w:val="both"/>
        <w:rPr>
          <w:color w:val="1C1C1C"/>
          <w:szCs w:val="26"/>
        </w:rPr>
      </w:pPr>
    </w:p>
    <w:p w:rsidR="003A3061" w:rsidRPr="00BB11AF" w:rsidRDefault="003A3061" w:rsidP="003A3061">
      <w:pPr>
        <w:widowControl w:val="0"/>
        <w:autoSpaceDE w:val="0"/>
        <w:autoSpaceDN w:val="0"/>
        <w:adjustRightInd w:val="0"/>
        <w:jc w:val="both"/>
        <w:rPr>
          <w:color w:val="1C1C1C"/>
          <w:szCs w:val="26"/>
        </w:rPr>
      </w:pPr>
      <w:r w:rsidRPr="00BB11AF">
        <w:rPr>
          <w:color w:val="1C1C1C"/>
          <w:szCs w:val="26"/>
        </w:rPr>
        <w:t>- être hébergés (en fichier ou page web, en totalité ou en partie) sur un serveur autre que celui des Classiques.</w:t>
      </w:r>
    </w:p>
    <w:p w:rsidR="003A3061" w:rsidRPr="00BB11AF" w:rsidRDefault="003A3061" w:rsidP="003A3061">
      <w:pPr>
        <w:widowControl w:val="0"/>
        <w:autoSpaceDE w:val="0"/>
        <w:autoSpaceDN w:val="0"/>
        <w:adjustRightInd w:val="0"/>
        <w:jc w:val="both"/>
        <w:rPr>
          <w:color w:val="1C1C1C"/>
          <w:szCs w:val="26"/>
        </w:rPr>
      </w:pPr>
      <w:r w:rsidRPr="00BB11AF">
        <w:rPr>
          <w:color w:val="1C1C1C"/>
          <w:szCs w:val="26"/>
        </w:rPr>
        <w:t>- servir de base de travail à un autre fichier modifié ensuite par tout autre moyen (couleur, police, mise en page, extraits, support, etc...),</w:t>
      </w:r>
    </w:p>
    <w:p w:rsidR="003A3061" w:rsidRPr="00BB11AF" w:rsidRDefault="003A3061" w:rsidP="003A3061">
      <w:pPr>
        <w:widowControl w:val="0"/>
        <w:autoSpaceDE w:val="0"/>
        <w:autoSpaceDN w:val="0"/>
        <w:adjustRightInd w:val="0"/>
        <w:jc w:val="both"/>
        <w:rPr>
          <w:color w:val="1C1C1C"/>
          <w:szCs w:val="26"/>
        </w:rPr>
      </w:pPr>
    </w:p>
    <w:p w:rsidR="003A3061" w:rsidRPr="00BB11AF" w:rsidRDefault="003A3061">
      <w:pPr>
        <w:widowControl w:val="0"/>
        <w:autoSpaceDE w:val="0"/>
        <w:autoSpaceDN w:val="0"/>
        <w:adjustRightInd w:val="0"/>
        <w:jc w:val="both"/>
        <w:rPr>
          <w:color w:val="1C1C1C"/>
          <w:szCs w:val="26"/>
        </w:rPr>
      </w:pPr>
      <w:r w:rsidRPr="00BB11AF">
        <w:rPr>
          <w:color w:val="1C1C1C"/>
          <w:szCs w:val="26"/>
        </w:rPr>
        <w:t xml:space="preserve">Les fichiers (.html, .doc, .pdf, .rtf, .jpg, .gif) disponibles sur le site Les Classiques des sciences sociales sont la propriété des </w:t>
      </w:r>
      <w:r w:rsidRPr="00BB11AF">
        <w:rPr>
          <w:b/>
          <w:color w:val="1C1C1C"/>
          <w:szCs w:val="26"/>
        </w:rPr>
        <w:t>Class</w:t>
      </w:r>
      <w:r w:rsidRPr="00BB11AF">
        <w:rPr>
          <w:b/>
          <w:color w:val="1C1C1C"/>
          <w:szCs w:val="26"/>
        </w:rPr>
        <w:t>i</w:t>
      </w:r>
      <w:r w:rsidRPr="00BB11AF">
        <w:rPr>
          <w:b/>
          <w:color w:val="1C1C1C"/>
          <w:szCs w:val="26"/>
        </w:rPr>
        <w:t>ques des sciences sociales</w:t>
      </w:r>
      <w:r w:rsidRPr="00BB11AF">
        <w:rPr>
          <w:color w:val="1C1C1C"/>
          <w:szCs w:val="26"/>
        </w:rPr>
        <w:t>, un organisme à but non lucratif composé excl</w:t>
      </w:r>
      <w:r w:rsidRPr="00BB11AF">
        <w:rPr>
          <w:color w:val="1C1C1C"/>
          <w:szCs w:val="26"/>
        </w:rPr>
        <w:t>u</w:t>
      </w:r>
      <w:r w:rsidRPr="00BB11AF">
        <w:rPr>
          <w:color w:val="1C1C1C"/>
          <w:szCs w:val="26"/>
        </w:rPr>
        <w:t>sivement de bénévoles.</w:t>
      </w:r>
    </w:p>
    <w:p w:rsidR="003A3061" w:rsidRPr="00BB11AF" w:rsidRDefault="003A3061">
      <w:pPr>
        <w:widowControl w:val="0"/>
        <w:autoSpaceDE w:val="0"/>
        <w:autoSpaceDN w:val="0"/>
        <w:adjustRightInd w:val="0"/>
        <w:jc w:val="both"/>
        <w:rPr>
          <w:color w:val="1C1C1C"/>
          <w:szCs w:val="26"/>
        </w:rPr>
      </w:pPr>
    </w:p>
    <w:p w:rsidR="003A3061" w:rsidRPr="00BB11AF" w:rsidRDefault="003A3061">
      <w:pPr>
        <w:rPr>
          <w:color w:val="1C1C1C"/>
          <w:szCs w:val="26"/>
        </w:rPr>
      </w:pPr>
      <w:r w:rsidRPr="00BB11AF">
        <w:rPr>
          <w:color w:val="1C1C1C"/>
          <w:szCs w:val="26"/>
        </w:rPr>
        <w:t>Ils sont disponibles pour une utilisation intellectuelle et perso</w:t>
      </w:r>
      <w:r w:rsidRPr="00BB11AF">
        <w:rPr>
          <w:color w:val="1C1C1C"/>
          <w:szCs w:val="26"/>
        </w:rPr>
        <w:t>n</w:t>
      </w:r>
      <w:r w:rsidRPr="00BB11AF">
        <w:rPr>
          <w:color w:val="1C1C1C"/>
          <w:szCs w:val="26"/>
        </w:rPr>
        <w:t>ne</w:t>
      </w:r>
      <w:r w:rsidRPr="00BB11AF">
        <w:rPr>
          <w:color w:val="1C1C1C"/>
          <w:szCs w:val="26"/>
        </w:rPr>
        <w:t>l</w:t>
      </w:r>
      <w:r w:rsidRPr="00BB11AF">
        <w:rPr>
          <w:color w:val="1C1C1C"/>
          <w:szCs w:val="26"/>
        </w:rPr>
        <w:t>le et, en aucun cas, commerciale. Toute utilisation à des fins commerci</w:t>
      </w:r>
      <w:r w:rsidRPr="00BB11AF">
        <w:rPr>
          <w:color w:val="1C1C1C"/>
          <w:szCs w:val="26"/>
        </w:rPr>
        <w:t>a</w:t>
      </w:r>
      <w:r w:rsidRPr="00BB11AF">
        <w:rPr>
          <w:color w:val="1C1C1C"/>
          <w:szCs w:val="26"/>
        </w:rPr>
        <w:t>les des fichiers sur ce site est strictement inte</w:t>
      </w:r>
      <w:r w:rsidRPr="00BB11AF">
        <w:rPr>
          <w:color w:val="1C1C1C"/>
          <w:szCs w:val="26"/>
        </w:rPr>
        <w:t>r</w:t>
      </w:r>
      <w:r w:rsidRPr="00BB11AF">
        <w:rPr>
          <w:color w:val="1C1C1C"/>
          <w:szCs w:val="26"/>
        </w:rPr>
        <w:t>dite et toute rediffusion est également strictement interdite.</w:t>
      </w:r>
    </w:p>
    <w:p w:rsidR="003A3061" w:rsidRPr="00BB11AF" w:rsidRDefault="003A3061">
      <w:pPr>
        <w:rPr>
          <w:b/>
          <w:color w:val="1C1C1C"/>
          <w:szCs w:val="26"/>
        </w:rPr>
      </w:pPr>
    </w:p>
    <w:p w:rsidR="003A3061" w:rsidRPr="00BB11AF" w:rsidRDefault="003A3061">
      <w:pPr>
        <w:rPr>
          <w:b/>
          <w:color w:val="1C1C1C"/>
          <w:szCs w:val="26"/>
        </w:rPr>
      </w:pPr>
      <w:r w:rsidRPr="00BB11AF">
        <w:rPr>
          <w:b/>
          <w:color w:val="1C1C1C"/>
          <w:szCs w:val="26"/>
        </w:rPr>
        <w:t>L'accès à notre travail est libre et gratuit à tous les utilis</w:t>
      </w:r>
      <w:r w:rsidRPr="00BB11AF">
        <w:rPr>
          <w:b/>
          <w:color w:val="1C1C1C"/>
          <w:szCs w:val="26"/>
        </w:rPr>
        <w:t>a</w:t>
      </w:r>
      <w:r w:rsidRPr="00BB11AF">
        <w:rPr>
          <w:b/>
          <w:color w:val="1C1C1C"/>
          <w:szCs w:val="26"/>
        </w:rPr>
        <w:t>teurs. C'est notre mission.</w:t>
      </w:r>
    </w:p>
    <w:p w:rsidR="003A3061" w:rsidRPr="00BB11AF" w:rsidRDefault="003A3061">
      <w:pPr>
        <w:rPr>
          <w:b/>
          <w:color w:val="1C1C1C"/>
          <w:szCs w:val="26"/>
        </w:rPr>
      </w:pPr>
    </w:p>
    <w:p w:rsidR="003A3061" w:rsidRPr="00BB11AF" w:rsidRDefault="003A3061">
      <w:pPr>
        <w:rPr>
          <w:color w:val="1C1C1C"/>
          <w:szCs w:val="26"/>
        </w:rPr>
      </w:pPr>
      <w:r w:rsidRPr="00BB11AF">
        <w:rPr>
          <w:color w:val="1C1C1C"/>
          <w:szCs w:val="26"/>
        </w:rPr>
        <w:t>Jean-Marie Tremblay, sociologue</w:t>
      </w:r>
    </w:p>
    <w:p w:rsidR="003A3061" w:rsidRPr="00BB11AF" w:rsidRDefault="003A3061">
      <w:pPr>
        <w:rPr>
          <w:color w:val="1C1C1C"/>
          <w:szCs w:val="26"/>
        </w:rPr>
      </w:pPr>
      <w:r w:rsidRPr="00BB11AF">
        <w:rPr>
          <w:color w:val="1C1C1C"/>
          <w:szCs w:val="26"/>
        </w:rPr>
        <w:t>Fondateur et Président-directeur général,</w:t>
      </w:r>
    </w:p>
    <w:p w:rsidR="003A3061" w:rsidRPr="00BB11AF" w:rsidRDefault="003A3061">
      <w:pPr>
        <w:rPr>
          <w:color w:val="000080"/>
        </w:rPr>
      </w:pPr>
      <w:r w:rsidRPr="00BB11AF">
        <w:rPr>
          <w:color w:val="000080"/>
          <w:szCs w:val="26"/>
        </w:rPr>
        <w:t>LES CLASSIQUES DES SCIENCES SOCIALES.</w:t>
      </w:r>
    </w:p>
    <w:p w:rsidR="003A3061" w:rsidRPr="00BB11AF" w:rsidRDefault="003A3061" w:rsidP="003A3061">
      <w:pPr>
        <w:ind w:firstLine="0"/>
        <w:rPr>
          <w:sz w:val="24"/>
        </w:rPr>
      </w:pPr>
      <w:r w:rsidRPr="00BB11AF">
        <w:br w:type="page"/>
      </w:r>
      <w:r w:rsidRPr="00BB11AF">
        <w:rPr>
          <w:sz w:val="24"/>
          <w:lang w:bidi="ar-SA"/>
        </w:rPr>
        <w:lastRenderedPageBreak/>
        <w:t xml:space="preserve">Un document produit en version numérique par </w:t>
      </w:r>
      <w:r w:rsidRPr="00BB11AF">
        <w:rPr>
          <w:sz w:val="24"/>
        </w:rPr>
        <w:t>Réjeanne Toussaint, bén</w:t>
      </w:r>
      <w:r w:rsidRPr="00BB11AF">
        <w:rPr>
          <w:sz w:val="24"/>
        </w:rPr>
        <w:t>é</w:t>
      </w:r>
      <w:r w:rsidRPr="00BB11AF">
        <w:rPr>
          <w:sz w:val="24"/>
        </w:rPr>
        <w:t xml:space="preserve">vole, Chomedey, Ville Laval, Qc. courriel: </w:t>
      </w:r>
      <w:hyperlink r:id="rId12" w:history="1">
        <w:r w:rsidRPr="00BB11AF">
          <w:rPr>
            <w:rStyle w:val="Lienhypertexte"/>
            <w:sz w:val="24"/>
          </w:rPr>
          <w:t>rtoussaint@aei.ca</w:t>
        </w:r>
      </w:hyperlink>
      <w:r w:rsidRPr="00BB11AF">
        <w:rPr>
          <w:sz w:val="24"/>
        </w:rPr>
        <w:t>.</w:t>
      </w:r>
    </w:p>
    <w:p w:rsidR="003A3061" w:rsidRPr="00BB11AF" w:rsidRDefault="003A3061" w:rsidP="003A3061">
      <w:pPr>
        <w:ind w:firstLine="0"/>
        <w:jc w:val="both"/>
        <w:rPr>
          <w:sz w:val="24"/>
        </w:rPr>
      </w:pPr>
      <w:hyperlink r:id="rId13" w:history="1">
        <w:r w:rsidRPr="00BB11AF">
          <w:rPr>
            <w:rStyle w:val="Lienhypertexte"/>
            <w:sz w:val="24"/>
          </w:rPr>
          <w:t>Page web</w:t>
        </w:r>
      </w:hyperlink>
      <w:r w:rsidRPr="00BB11AF">
        <w:rPr>
          <w:sz w:val="24"/>
        </w:rPr>
        <w:t xml:space="preserve"> dans Les Classiques des sciences sociales :</w:t>
      </w:r>
    </w:p>
    <w:p w:rsidR="003A3061" w:rsidRPr="00BB11AF" w:rsidRDefault="003A3061" w:rsidP="003A3061">
      <w:pPr>
        <w:ind w:firstLine="0"/>
        <w:rPr>
          <w:sz w:val="24"/>
          <w:lang w:bidi="ar-SA"/>
        </w:rPr>
      </w:pPr>
      <w:hyperlink r:id="rId14" w:history="1">
        <w:r w:rsidRPr="00BB11AF">
          <w:rPr>
            <w:rStyle w:val="Lienhypertexte"/>
            <w:sz w:val="24"/>
            <w:lang w:bidi="ar-SA"/>
          </w:rPr>
          <w:t>http://classiques.uqac.ca/inter/benevoles_equipe/liste_toussaint_rejeanne.html</w:t>
        </w:r>
      </w:hyperlink>
      <w:r w:rsidRPr="00BB11AF">
        <w:rPr>
          <w:sz w:val="24"/>
          <w:lang w:bidi="ar-SA"/>
        </w:rPr>
        <w:t xml:space="preserve"> </w:t>
      </w:r>
    </w:p>
    <w:p w:rsidR="003A3061" w:rsidRPr="00BB11AF" w:rsidRDefault="003A3061" w:rsidP="003A3061">
      <w:pPr>
        <w:ind w:firstLine="0"/>
        <w:jc w:val="both"/>
        <w:rPr>
          <w:sz w:val="24"/>
        </w:rPr>
      </w:pPr>
      <w:r w:rsidRPr="00BB11AF">
        <w:rPr>
          <w:sz w:val="24"/>
        </w:rPr>
        <w:t>à partir du texte de :</w:t>
      </w:r>
    </w:p>
    <w:p w:rsidR="003A3061" w:rsidRDefault="003A3061" w:rsidP="003A3061">
      <w:pPr>
        <w:ind w:right="720" w:firstLine="0"/>
        <w:rPr>
          <w:sz w:val="24"/>
        </w:rPr>
      </w:pPr>
    </w:p>
    <w:p w:rsidR="003A3061" w:rsidRPr="00BB11AF" w:rsidRDefault="003A3061" w:rsidP="003A3061">
      <w:pPr>
        <w:ind w:right="720" w:firstLine="0"/>
        <w:rPr>
          <w:sz w:val="24"/>
        </w:rPr>
      </w:pPr>
    </w:p>
    <w:p w:rsidR="003A3061" w:rsidRPr="00BB11AF" w:rsidRDefault="003A3061" w:rsidP="003A3061">
      <w:pPr>
        <w:ind w:left="20" w:hanging="20"/>
        <w:jc w:val="both"/>
      </w:pPr>
      <w:r w:rsidRPr="00BB11AF">
        <w:t xml:space="preserve">Sous la direction de </w:t>
      </w:r>
      <w:r>
        <w:t>André Tremblay et Marie-Claude Haince</w:t>
      </w:r>
    </w:p>
    <w:p w:rsidR="003A3061" w:rsidRPr="00BB11AF" w:rsidRDefault="003A3061" w:rsidP="003A3061">
      <w:pPr>
        <w:ind w:left="20" w:hanging="20"/>
        <w:jc w:val="both"/>
      </w:pPr>
    </w:p>
    <w:p w:rsidR="003A3061" w:rsidRPr="00BB11AF" w:rsidRDefault="003A3061" w:rsidP="003A3061">
      <w:pPr>
        <w:ind w:hanging="20"/>
        <w:jc w:val="both"/>
        <w:rPr>
          <w:b/>
          <w:color w:val="FF0000"/>
        </w:rPr>
      </w:pPr>
      <w:r w:rsidRPr="00BB11AF">
        <w:rPr>
          <w:b/>
          <w:color w:val="FF0000"/>
        </w:rPr>
        <w:t xml:space="preserve">Crise et mise en crise. </w:t>
      </w:r>
    </w:p>
    <w:p w:rsidR="003A3061" w:rsidRPr="00BB11AF" w:rsidRDefault="003A3061" w:rsidP="003A3061">
      <w:pPr>
        <w:ind w:hanging="20"/>
        <w:jc w:val="both"/>
        <w:rPr>
          <w:b/>
          <w:color w:val="000080"/>
        </w:rPr>
      </w:pPr>
      <w:r w:rsidRPr="00BB11AF">
        <w:rPr>
          <w:color w:val="000080"/>
        </w:rPr>
        <w:t>Actes du colloque de l’ACSALF 2012.</w:t>
      </w:r>
    </w:p>
    <w:p w:rsidR="003A3061" w:rsidRPr="00BB11AF" w:rsidRDefault="003A3061" w:rsidP="003A3061">
      <w:pPr>
        <w:jc w:val="both"/>
      </w:pPr>
    </w:p>
    <w:p w:rsidR="003A3061" w:rsidRPr="00BB11AF" w:rsidRDefault="003A3061" w:rsidP="003A3061">
      <w:pPr>
        <w:ind w:firstLine="0"/>
        <w:jc w:val="both"/>
        <w:rPr>
          <w:sz w:val="24"/>
        </w:rPr>
      </w:pPr>
      <w:r w:rsidRPr="00BB11AF">
        <w:rPr>
          <w:sz w:val="24"/>
        </w:rPr>
        <w:t>Montréal : Les Éditions de l’ACSALF, 2015, 234 pp.</w:t>
      </w:r>
    </w:p>
    <w:p w:rsidR="003A3061" w:rsidRPr="00BB11AF" w:rsidRDefault="003A3061" w:rsidP="003A3061">
      <w:pPr>
        <w:jc w:val="both"/>
        <w:rPr>
          <w:sz w:val="24"/>
        </w:rPr>
      </w:pPr>
    </w:p>
    <w:p w:rsidR="003A3061" w:rsidRPr="00BB11AF" w:rsidRDefault="003A3061" w:rsidP="003A3061">
      <w:pPr>
        <w:jc w:val="both"/>
        <w:rPr>
          <w:sz w:val="24"/>
        </w:rPr>
      </w:pPr>
    </w:p>
    <w:p w:rsidR="003A3061" w:rsidRPr="00BB11AF" w:rsidRDefault="003A3061" w:rsidP="003A3061">
      <w:pPr>
        <w:ind w:left="20"/>
        <w:jc w:val="both"/>
        <w:rPr>
          <w:sz w:val="24"/>
        </w:rPr>
      </w:pPr>
      <w:r w:rsidRPr="00BB11AF">
        <w:rPr>
          <w:sz w:val="24"/>
        </w:rPr>
        <w:t>La présidente de l’ACSALF, Mme Marguerite Soulière, nous a accordé le 20 août 2018 l’autoris</w:t>
      </w:r>
      <w:r w:rsidRPr="00BB11AF">
        <w:rPr>
          <w:sz w:val="24"/>
        </w:rPr>
        <w:t>a</w:t>
      </w:r>
      <w:r w:rsidRPr="00BB11AF">
        <w:rPr>
          <w:sz w:val="24"/>
        </w:rPr>
        <w:t>tion de diffuser en accès libre à tous ce livre dans Les Class</w:t>
      </w:r>
      <w:r w:rsidRPr="00BB11AF">
        <w:rPr>
          <w:sz w:val="24"/>
        </w:rPr>
        <w:t>i</w:t>
      </w:r>
      <w:r w:rsidRPr="00BB11AF">
        <w:rPr>
          <w:sz w:val="24"/>
        </w:rPr>
        <w:t>ques des sciences sociales.</w:t>
      </w:r>
    </w:p>
    <w:p w:rsidR="003A3061" w:rsidRPr="00BB11AF" w:rsidRDefault="003A3061" w:rsidP="003A3061">
      <w:pPr>
        <w:jc w:val="both"/>
        <w:rPr>
          <w:sz w:val="24"/>
        </w:rPr>
      </w:pPr>
    </w:p>
    <w:p w:rsidR="003A3061" w:rsidRPr="00BB11AF" w:rsidRDefault="00356B29" w:rsidP="003A3061">
      <w:pPr>
        <w:tabs>
          <w:tab w:val="left" w:pos="3150"/>
        </w:tabs>
        <w:ind w:firstLine="0"/>
        <w:rPr>
          <w:sz w:val="24"/>
        </w:rPr>
      </w:pPr>
      <w:r w:rsidRPr="00BB11AF">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3A3061" w:rsidRPr="00BB11AF">
        <w:rPr>
          <w:sz w:val="24"/>
        </w:rPr>
        <w:t xml:space="preserve"> Courriels : </w:t>
      </w:r>
    </w:p>
    <w:p w:rsidR="003A3061" w:rsidRPr="00BB11AF" w:rsidRDefault="003A3061" w:rsidP="003A3061">
      <w:pPr>
        <w:tabs>
          <w:tab w:val="left" w:pos="450"/>
          <w:tab w:val="left" w:pos="3150"/>
        </w:tabs>
        <w:ind w:left="20" w:hanging="20"/>
        <w:jc w:val="both"/>
        <w:rPr>
          <w:sz w:val="24"/>
        </w:rPr>
      </w:pPr>
      <w:r w:rsidRPr="00BB11AF">
        <w:rPr>
          <w:sz w:val="24"/>
        </w:rPr>
        <w:tab/>
        <w:t xml:space="preserve">La présidente de l’ACSALF, Marguerite Soulière : professeure, École de Service sociale, Université d’Ottawa : </w:t>
      </w:r>
      <w:hyperlink r:id="rId16" w:history="1">
        <w:r w:rsidRPr="00BB11AF">
          <w:rPr>
            <w:rStyle w:val="Lienhypertexte"/>
            <w:sz w:val="24"/>
          </w:rPr>
          <w:t>marguerite.souliere@uOttawa.ca</w:t>
        </w:r>
      </w:hyperlink>
      <w:r w:rsidRPr="00BB11AF">
        <w:rPr>
          <w:sz w:val="24"/>
        </w:rPr>
        <w:t xml:space="preserve"> </w:t>
      </w:r>
    </w:p>
    <w:p w:rsidR="003A3061" w:rsidRPr="00BB11AF" w:rsidRDefault="003A3061" w:rsidP="003A3061">
      <w:pPr>
        <w:tabs>
          <w:tab w:val="left" w:pos="450"/>
          <w:tab w:val="left" w:pos="3150"/>
        </w:tabs>
        <w:ind w:left="20" w:hanging="20"/>
        <w:jc w:val="both"/>
        <w:rPr>
          <w:sz w:val="24"/>
        </w:rPr>
      </w:pPr>
      <w:r w:rsidRPr="00BB11AF">
        <w:rPr>
          <w:sz w:val="24"/>
        </w:rPr>
        <w:t xml:space="preserve">André Tremblay : </w:t>
      </w:r>
      <w:hyperlink r:id="rId17" w:history="1">
        <w:r w:rsidRPr="00BB11AF">
          <w:rPr>
            <w:rStyle w:val="Lienhypertexte"/>
            <w:sz w:val="24"/>
          </w:rPr>
          <w:t>Andre.Tremblay@uottawa.ca</w:t>
        </w:r>
      </w:hyperlink>
    </w:p>
    <w:p w:rsidR="003A3061" w:rsidRPr="00BB11AF" w:rsidRDefault="003A3061" w:rsidP="003A3061">
      <w:pPr>
        <w:tabs>
          <w:tab w:val="left" w:pos="450"/>
          <w:tab w:val="left" w:pos="3150"/>
        </w:tabs>
        <w:ind w:left="20" w:hanging="20"/>
        <w:jc w:val="both"/>
        <w:rPr>
          <w:sz w:val="24"/>
        </w:rPr>
      </w:pPr>
      <w:r w:rsidRPr="00BB11AF">
        <w:rPr>
          <w:sz w:val="24"/>
        </w:rPr>
        <w:t xml:space="preserve">Marie-Claude Haince : </w:t>
      </w:r>
      <w:hyperlink r:id="rId18" w:history="1">
        <w:r w:rsidRPr="00BB11AF">
          <w:rPr>
            <w:rStyle w:val="Lienhypertexte"/>
            <w:sz w:val="24"/>
          </w:rPr>
          <w:t>marie-claude.haince@umontreal.ca</w:t>
        </w:r>
      </w:hyperlink>
    </w:p>
    <w:p w:rsidR="003A3061" w:rsidRPr="00BB11AF" w:rsidRDefault="003A3061" w:rsidP="003A3061">
      <w:pPr>
        <w:ind w:left="20"/>
        <w:jc w:val="both"/>
        <w:rPr>
          <w:sz w:val="24"/>
        </w:rPr>
      </w:pPr>
    </w:p>
    <w:p w:rsidR="003A3061" w:rsidRPr="00BB11AF" w:rsidRDefault="003A3061">
      <w:pPr>
        <w:ind w:right="1800" w:firstLine="0"/>
        <w:jc w:val="both"/>
        <w:rPr>
          <w:sz w:val="24"/>
        </w:rPr>
      </w:pPr>
      <w:r w:rsidRPr="00BB11AF">
        <w:rPr>
          <w:sz w:val="24"/>
        </w:rPr>
        <w:t>Police de caractères utilisés :</w:t>
      </w:r>
    </w:p>
    <w:p w:rsidR="003A3061" w:rsidRPr="00BB11AF" w:rsidRDefault="003A3061">
      <w:pPr>
        <w:ind w:right="1800" w:firstLine="0"/>
        <w:jc w:val="both"/>
        <w:rPr>
          <w:sz w:val="24"/>
        </w:rPr>
      </w:pPr>
    </w:p>
    <w:p w:rsidR="003A3061" w:rsidRPr="00BB11AF" w:rsidRDefault="003A3061" w:rsidP="003A3061">
      <w:pPr>
        <w:ind w:left="360" w:right="360" w:firstLine="0"/>
        <w:jc w:val="both"/>
        <w:rPr>
          <w:sz w:val="24"/>
        </w:rPr>
      </w:pPr>
      <w:r w:rsidRPr="00BB11AF">
        <w:rPr>
          <w:sz w:val="24"/>
        </w:rPr>
        <w:t>Pour le texte: Times New Roman, 14 points.</w:t>
      </w:r>
    </w:p>
    <w:p w:rsidR="003A3061" w:rsidRPr="00BB11AF" w:rsidRDefault="003A3061" w:rsidP="003A3061">
      <w:pPr>
        <w:ind w:left="360" w:right="360" w:firstLine="0"/>
        <w:jc w:val="both"/>
        <w:rPr>
          <w:sz w:val="24"/>
        </w:rPr>
      </w:pPr>
      <w:r w:rsidRPr="00BB11AF">
        <w:rPr>
          <w:sz w:val="24"/>
        </w:rPr>
        <w:t>Pour les notes de bas de page : Times New Roman, 12 points.</w:t>
      </w:r>
    </w:p>
    <w:p w:rsidR="003A3061" w:rsidRPr="00BB11AF" w:rsidRDefault="003A3061">
      <w:pPr>
        <w:ind w:left="360" w:right="1800" w:firstLine="0"/>
        <w:jc w:val="both"/>
        <w:rPr>
          <w:sz w:val="24"/>
        </w:rPr>
      </w:pPr>
    </w:p>
    <w:p w:rsidR="003A3061" w:rsidRPr="00BB11AF" w:rsidRDefault="003A3061">
      <w:pPr>
        <w:ind w:right="360" w:firstLine="0"/>
        <w:jc w:val="both"/>
        <w:rPr>
          <w:sz w:val="24"/>
        </w:rPr>
      </w:pPr>
      <w:r w:rsidRPr="00BB11AF">
        <w:rPr>
          <w:sz w:val="24"/>
        </w:rPr>
        <w:t>Édition électronique réalisée avec le traitement de textes Microsoft Word 2008 pour Macintosh.</w:t>
      </w:r>
    </w:p>
    <w:p w:rsidR="003A3061" w:rsidRPr="00BB11AF" w:rsidRDefault="003A3061">
      <w:pPr>
        <w:ind w:right="1800" w:firstLine="0"/>
        <w:jc w:val="both"/>
        <w:rPr>
          <w:sz w:val="24"/>
        </w:rPr>
      </w:pPr>
    </w:p>
    <w:p w:rsidR="003A3061" w:rsidRPr="00BB11AF" w:rsidRDefault="003A3061" w:rsidP="003A3061">
      <w:pPr>
        <w:ind w:right="540" w:firstLine="0"/>
        <w:jc w:val="both"/>
        <w:rPr>
          <w:sz w:val="24"/>
        </w:rPr>
      </w:pPr>
      <w:r w:rsidRPr="00BB11AF">
        <w:rPr>
          <w:sz w:val="24"/>
        </w:rPr>
        <w:t>Mise en page sur papier format : LETTRE US, 8.5’’ x 11’’.</w:t>
      </w:r>
    </w:p>
    <w:p w:rsidR="003A3061" w:rsidRPr="00BB11AF" w:rsidRDefault="003A3061">
      <w:pPr>
        <w:ind w:right="1800" w:firstLine="0"/>
        <w:jc w:val="both"/>
        <w:rPr>
          <w:sz w:val="24"/>
        </w:rPr>
      </w:pPr>
    </w:p>
    <w:p w:rsidR="003A3061" w:rsidRPr="00BB11AF" w:rsidRDefault="003A3061" w:rsidP="003A3061">
      <w:pPr>
        <w:ind w:firstLine="0"/>
        <w:jc w:val="both"/>
        <w:rPr>
          <w:sz w:val="24"/>
        </w:rPr>
      </w:pPr>
      <w:r w:rsidRPr="00BB11AF">
        <w:rPr>
          <w:sz w:val="24"/>
        </w:rPr>
        <w:t>Édition numérique réalisée le 1</w:t>
      </w:r>
      <w:r>
        <w:rPr>
          <w:sz w:val="24"/>
        </w:rPr>
        <w:t>6</w:t>
      </w:r>
      <w:r w:rsidRPr="00BB11AF">
        <w:rPr>
          <w:sz w:val="24"/>
        </w:rPr>
        <w:t xml:space="preserve"> mai 2020 à Chicoutimi, Qu</w:t>
      </w:r>
      <w:r w:rsidRPr="00BB11AF">
        <w:rPr>
          <w:sz w:val="24"/>
        </w:rPr>
        <w:t>é</w:t>
      </w:r>
      <w:r w:rsidRPr="00BB11AF">
        <w:rPr>
          <w:sz w:val="24"/>
        </w:rPr>
        <w:t>bec.</w:t>
      </w:r>
    </w:p>
    <w:p w:rsidR="003A3061" w:rsidRPr="00BB11AF" w:rsidRDefault="003A3061">
      <w:pPr>
        <w:ind w:right="1800" w:firstLine="0"/>
        <w:jc w:val="both"/>
        <w:rPr>
          <w:sz w:val="24"/>
        </w:rPr>
      </w:pPr>
    </w:p>
    <w:p w:rsidR="003A3061" w:rsidRPr="00BB11AF" w:rsidRDefault="00356B29">
      <w:pPr>
        <w:ind w:right="1800" w:firstLine="0"/>
        <w:jc w:val="both"/>
      </w:pPr>
      <w:r w:rsidRPr="00BB11AF">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3A3061" w:rsidRPr="00BB11AF" w:rsidRDefault="003A3061" w:rsidP="003A3061">
      <w:pPr>
        <w:ind w:firstLine="0"/>
        <w:jc w:val="center"/>
      </w:pPr>
      <w:r w:rsidRPr="00BB11AF">
        <w:br w:type="page"/>
      </w:r>
    </w:p>
    <w:p w:rsidR="003A3061" w:rsidRPr="00BB11AF" w:rsidRDefault="003A3061" w:rsidP="003A3061">
      <w:pPr>
        <w:ind w:firstLine="0"/>
        <w:jc w:val="center"/>
        <w:rPr>
          <w:sz w:val="24"/>
        </w:rPr>
      </w:pPr>
      <w:r w:rsidRPr="00BB11AF">
        <w:rPr>
          <w:sz w:val="24"/>
        </w:rPr>
        <w:t>SOUS LA DIRECTION DE</w:t>
      </w:r>
    </w:p>
    <w:p w:rsidR="003A3061" w:rsidRPr="00BB11AF" w:rsidRDefault="003A3061" w:rsidP="003A3061">
      <w:pPr>
        <w:ind w:firstLine="0"/>
        <w:jc w:val="center"/>
      </w:pPr>
      <w:r w:rsidRPr="00BB11AF">
        <w:t>André Tremblay et Marie Claude Haince</w:t>
      </w:r>
    </w:p>
    <w:p w:rsidR="003A3061" w:rsidRPr="00BB11AF" w:rsidRDefault="003A3061" w:rsidP="003A3061">
      <w:pPr>
        <w:ind w:firstLine="0"/>
        <w:jc w:val="center"/>
      </w:pPr>
    </w:p>
    <w:p w:rsidR="003A3061" w:rsidRPr="00BB11AF" w:rsidRDefault="003A3061" w:rsidP="003A3061">
      <w:pPr>
        <w:ind w:firstLine="0"/>
        <w:jc w:val="center"/>
        <w:rPr>
          <w:b/>
          <w:sz w:val="36"/>
        </w:rPr>
      </w:pPr>
      <w:r w:rsidRPr="00BB11AF">
        <w:rPr>
          <w:b/>
          <w:color w:val="FF0000"/>
          <w:sz w:val="36"/>
        </w:rPr>
        <w:t>Crise</w:t>
      </w:r>
      <w:r w:rsidRPr="00BB11AF">
        <w:rPr>
          <w:b/>
          <w:sz w:val="36"/>
        </w:rPr>
        <w:t xml:space="preserve"> et mise en </w:t>
      </w:r>
      <w:r w:rsidRPr="00BB11AF">
        <w:rPr>
          <w:b/>
          <w:color w:val="FF0000"/>
          <w:sz w:val="36"/>
        </w:rPr>
        <w:t>crise</w:t>
      </w:r>
      <w:r w:rsidRPr="00BB11AF">
        <w:rPr>
          <w:b/>
          <w:sz w:val="36"/>
        </w:rPr>
        <w:t xml:space="preserve">. </w:t>
      </w:r>
    </w:p>
    <w:p w:rsidR="003A3061" w:rsidRPr="00BB11AF" w:rsidRDefault="003A3061" w:rsidP="003A3061">
      <w:pPr>
        <w:ind w:firstLine="0"/>
        <w:jc w:val="center"/>
        <w:rPr>
          <w:color w:val="000080"/>
          <w:sz w:val="32"/>
        </w:rPr>
      </w:pPr>
      <w:r w:rsidRPr="00BB11AF">
        <w:rPr>
          <w:color w:val="000080"/>
          <w:sz w:val="32"/>
        </w:rPr>
        <w:t>Actes du colloque annuel de l’ACSALF 2012.</w:t>
      </w:r>
    </w:p>
    <w:p w:rsidR="003A3061" w:rsidRPr="00BB11AF" w:rsidRDefault="003A3061" w:rsidP="003A3061">
      <w:pPr>
        <w:ind w:firstLine="0"/>
        <w:jc w:val="center"/>
        <w:rPr>
          <w:color w:val="000080"/>
        </w:rPr>
      </w:pPr>
    </w:p>
    <w:p w:rsidR="003A3061" w:rsidRPr="00BB11AF" w:rsidRDefault="00356B29" w:rsidP="003A3061">
      <w:pPr>
        <w:ind w:firstLine="0"/>
        <w:jc w:val="center"/>
      </w:pPr>
      <w:r w:rsidRPr="00BB11AF">
        <w:rPr>
          <w:noProof/>
        </w:rPr>
        <w:drawing>
          <wp:inline distT="0" distB="0" distL="0" distR="0">
            <wp:extent cx="4140200" cy="5384800"/>
            <wp:effectExtent l="12700" t="12700" r="0" b="0"/>
            <wp:docPr id="5" name="Image 5" descr="Crise_et_mise_en_crise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rise_et_mise_en_crise_L50_low"/>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0200" cy="5384800"/>
                    </a:xfrm>
                    <a:prstGeom prst="rect">
                      <a:avLst/>
                    </a:prstGeom>
                    <a:noFill/>
                    <a:ln w="6350" cmpd="sng">
                      <a:solidFill>
                        <a:srgbClr val="000000"/>
                      </a:solidFill>
                      <a:miter lim="800000"/>
                      <a:headEnd/>
                      <a:tailEnd/>
                    </a:ln>
                    <a:effectLst/>
                  </pic:spPr>
                </pic:pic>
              </a:graphicData>
            </a:graphic>
          </wp:inline>
        </w:drawing>
      </w:r>
    </w:p>
    <w:p w:rsidR="003A3061" w:rsidRPr="00BB11AF" w:rsidRDefault="003A3061" w:rsidP="003A3061">
      <w:pPr>
        <w:ind w:firstLine="0"/>
        <w:jc w:val="center"/>
      </w:pPr>
    </w:p>
    <w:p w:rsidR="003A3061" w:rsidRPr="00BB11AF" w:rsidRDefault="003A3061" w:rsidP="003A3061">
      <w:pPr>
        <w:ind w:firstLine="0"/>
        <w:jc w:val="center"/>
      </w:pPr>
      <w:r w:rsidRPr="00BB11AF">
        <w:rPr>
          <w:sz w:val="24"/>
        </w:rPr>
        <w:t>Montréal : Les Éditions de l’ACSALF, 2015, 234 pp.</w:t>
      </w:r>
    </w:p>
    <w:p w:rsidR="003A3061" w:rsidRPr="00BB11AF" w:rsidRDefault="003A3061" w:rsidP="003A3061">
      <w:pPr>
        <w:spacing w:before="120" w:after="120"/>
        <w:ind w:firstLine="0"/>
        <w:jc w:val="center"/>
      </w:pPr>
      <w:r w:rsidRPr="00BB11AF">
        <w:br w:type="page"/>
      </w:r>
    </w:p>
    <w:p w:rsidR="003A3061" w:rsidRPr="00BB11AF" w:rsidRDefault="003A3061" w:rsidP="003A3061">
      <w:pPr>
        <w:spacing w:before="120" w:after="120"/>
        <w:ind w:firstLine="0"/>
        <w:jc w:val="center"/>
        <w:rPr>
          <w:sz w:val="36"/>
        </w:rPr>
      </w:pPr>
      <w:r w:rsidRPr="00BB11AF">
        <w:rPr>
          <w:sz w:val="36"/>
        </w:rPr>
        <w:t>ACSALF : Colloque 2012</w:t>
      </w:r>
    </w:p>
    <w:p w:rsidR="003A3061" w:rsidRPr="00BB11AF" w:rsidRDefault="003A3061" w:rsidP="003A3061">
      <w:pPr>
        <w:spacing w:before="120" w:after="120"/>
        <w:ind w:firstLine="0"/>
        <w:jc w:val="center"/>
      </w:pPr>
    </w:p>
    <w:p w:rsidR="003A3061" w:rsidRPr="00BB11AF" w:rsidRDefault="003A3061" w:rsidP="003A3061">
      <w:pPr>
        <w:spacing w:before="120" w:after="120"/>
        <w:ind w:firstLine="0"/>
        <w:jc w:val="center"/>
        <w:rPr>
          <w:sz w:val="96"/>
        </w:rPr>
      </w:pPr>
      <w:r w:rsidRPr="00BB11AF">
        <w:rPr>
          <w:color w:val="FF0000"/>
          <w:sz w:val="96"/>
        </w:rPr>
        <w:t>Crise</w:t>
      </w:r>
      <w:r w:rsidRPr="00BB11AF">
        <w:rPr>
          <w:sz w:val="96"/>
        </w:rPr>
        <w:br/>
        <w:t xml:space="preserve">et mise en </w:t>
      </w:r>
      <w:r w:rsidRPr="00BB11AF">
        <w:rPr>
          <w:color w:val="FF0000"/>
          <w:sz w:val="96"/>
        </w:rPr>
        <w:t>crise</w:t>
      </w:r>
    </w:p>
    <w:p w:rsidR="003A3061" w:rsidRPr="00BB11AF" w:rsidRDefault="003A3061" w:rsidP="003A3061">
      <w:pPr>
        <w:spacing w:before="120" w:after="120"/>
        <w:ind w:firstLine="0"/>
        <w:jc w:val="center"/>
      </w:pPr>
    </w:p>
    <w:p w:rsidR="003A3061" w:rsidRPr="00BB11AF" w:rsidRDefault="003A3061" w:rsidP="003A3061">
      <w:pPr>
        <w:spacing w:before="120" w:after="120"/>
        <w:ind w:firstLine="0"/>
        <w:jc w:val="center"/>
      </w:pPr>
    </w:p>
    <w:p w:rsidR="003A3061" w:rsidRPr="00BB11AF" w:rsidRDefault="003A3061" w:rsidP="003A3061">
      <w:pPr>
        <w:spacing w:before="120" w:after="120"/>
        <w:ind w:firstLine="0"/>
        <w:jc w:val="center"/>
      </w:pPr>
    </w:p>
    <w:p w:rsidR="003A3061" w:rsidRPr="00BB11AF" w:rsidRDefault="003A3061" w:rsidP="003A3061">
      <w:pPr>
        <w:spacing w:before="120" w:after="120"/>
        <w:ind w:firstLine="0"/>
        <w:jc w:val="center"/>
        <w:rPr>
          <w:sz w:val="36"/>
        </w:rPr>
      </w:pPr>
      <w:r w:rsidRPr="00BB11AF">
        <w:rPr>
          <w:sz w:val="36"/>
        </w:rPr>
        <w:t>Sous</w:t>
      </w:r>
      <w:r w:rsidRPr="00BB11AF">
        <w:rPr>
          <w:sz w:val="36"/>
        </w:rPr>
        <w:br/>
        <w:t>la direction de</w:t>
      </w:r>
      <w:r w:rsidRPr="00BB11AF">
        <w:rPr>
          <w:sz w:val="36"/>
        </w:rPr>
        <w:br/>
        <w:t>André TREMBLAY</w:t>
      </w:r>
      <w:r w:rsidRPr="00BB11AF">
        <w:rPr>
          <w:sz w:val="36"/>
        </w:rPr>
        <w:br/>
        <w:t>et</w:t>
      </w:r>
      <w:r w:rsidRPr="00BB11AF">
        <w:rPr>
          <w:sz w:val="36"/>
        </w:rPr>
        <w:br/>
        <w:t>Marie-Claude HAINCE</w:t>
      </w:r>
    </w:p>
    <w:p w:rsidR="003A3061" w:rsidRPr="00BB11AF" w:rsidRDefault="003A3061" w:rsidP="003A3061">
      <w:pPr>
        <w:spacing w:before="120" w:after="120"/>
        <w:ind w:firstLine="0"/>
        <w:jc w:val="center"/>
      </w:pPr>
    </w:p>
    <w:p w:rsidR="003A3061" w:rsidRPr="00BB11AF" w:rsidRDefault="003A3061" w:rsidP="003A3061">
      <w:pPr>
        <w:spacing w:before="120" w:after="120"/>
        <w:ind w:firstLine="0"/>
        <w:jc w:val="center"/>
      </w:pPr>
    </w:p>
    <w:p w:rsidR="003A3061" w:rsidRPr="00BB11AF" w:rsidRDefault="003A3061" w:rsidP="003A3061">
      <w:pPr>
        <w:spacing w:before="120" w:after="120"/>
        <w:ind w:firstLine="0"/>
        <w:jc w:val="center"/>
      </w:pPr>
    </w:p>
    <w:p w:rsidR="003A3061" w:rsidRPr="00BB11AF" w:rsidRDefault="003A3061" w:rsidP="003A3061">
      <w:pPr>
        <w:spacing w:before="120" w:after="120"/>
        <w:ind w:firstLine="0"/>
        <w:jc w:val="center"/>
      </w:pPr>
    </w:p>
    <w:p w:rsidR="003A3061" w:rsidRPr="00BB11AF" w:rsidRDefault="003A3061" w:rsidP="003A3061">
      <w:pPr>
        <w:spacing w:before="120" w:after="120"/>
        <w:ind w:firstLine="0"/>
        <w:jc w:val="center"/>
      </w:pPr>
    </w:p>
    <w:p w:rsidR="003A3061" w:rsidRPr="00BB11AF" w:rsidRDefault="003A3061" w:rsidP="003A3061">
      <w:pPr>
        <w:spacing w:before="120" w:after="120"/>
        <w:ind w:firstLine="0"/>
        <w:jc w:val="center"/>
      </w:pPr>
    </w:p>
    <w:p w:rsidR="003A3061" w:rsidRPr="00BB11AF" w:rsidRDefault="003A3061" w:rsidP="003A3061">
      <w:pPr>
        <w:spacing w:before="120" w:after="120"/>
        <w:ind w:firstLine="0"/>
        <w:jc w:val="center"/>
      </w:pPr>
    </w:p>
    <w:p w:rsidR="003A3061" w:rsidRPr="00BB11AF" w:rsidRDefault="003A3061" w:rsidP="003A3061">
      <w:pPr>
        <w:spacing w:before="120" w:after="120"/>
        <w:ind w:firstLine="0"/>
        <w:jc w:val="center"/>
      </w:pPr>
      <w:r w:rsidRPr="00BB11AF">
        <w:t>2015</w:t>
      </w:r>
    </w:p>
    <w:p w:rsidR="003A3061" w:rsidRPr="00BB11AF" w:rsidRDefault="003A3061" w:rsidP="003A3061">
      <w:pPr>
        <w:spacing w:before="120" w:after="120"/>
        <w:ind w:firstLine="0"/>
        <w:jc w:val="center"/>
      </w:pPr>
      <w:r w:rsidRPr="00BB11AF">
        <w:t>Les Éditions de l’ACSALF, 2015.</w:t>
      </w:r>
    </w:p>
    <w:p w:rsidR="003A3061" w:rsidRPr="00BB11AF" w:rsidRDefault="003A3061" w:rsidP="003A3061">
      <w:pPr>
        <w:spacing w:before="120" w:after="120"/>
        <w:jc w:val="both"/>
        <w:rPr>
          <w:szCs w:val="2"/>
        </w:rPr>
      </w:pPr>
      <w:r w:rsidRPr="00BB11AF">
        <w:br w:type="page"/>
      </w:r>
    </w:p>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ind w:firstLine="0"/>
        <w:jc w:val="center"/>
      </w:pPr>
      <w:r w:rsidRPr="00BB11AF">
        <w:t>© Éditions de l'ACSALF, 2015</w:t>
      </w:r>
    </w:p>
    <w:p w:rsidR="003A3061" w:rsidRPr="00BB11AF" w:rsidRDefault="003A3061" w:rsidP="003A3061">
      <w:pPr>
        <w:spacing w:before="120" w:after="120"/>
        <w:ind w:firstLine="0"/>
        <w:jc w:val="center"/>
      </w:pPr>
      <w:r w:rsidRPr="00BB11AF">
        <w:t>Tous les droits réservés</w:t>
      </w:r>
    </w:p>
    <w:p w:rsidR="003A3061" w:rsidRPr="00BB11AF" w:rsidRDefault="003A3061" w:rsidP="003A3061">
      <w:pPr>
        <w:spacing w:before="120" w:after="120"/>
        <w:ind w:firstLine="0"/>
        <w:jc w:val="center"/>
      </w:pPr>
      <w:r w:rsidRPr="00BB11AF">
        <w:t>ISBN : 978-2-9813576-6-3</w:t>
      </w:r>
    </w:p>
    <w:p w:rsidR="003A3061" w:rsidRPr="00BB11AF" w:rsidRDefault="003A3061" w:rsidP="003A3061">
      <w:pPr>
        <w:spacing w:before="120" w:after="120"/>
        <w:ind w:firstLine="0"/>
        <w:jc w:val="center"/>
      </w:pPr>
    </w:p>
    <w:p w:rsidR="003A3061" w:rsidRPr="00BB11AF" w:rsidRDefault="003A3061" w:rsidP="003A3061">
      <w:pPr>
        <w:spacing w:before="120" w:after="120"/>
        <w:ind w:firstLine="0"/>
        <w:jc w:val="center"/>
      </w:pPr>
      <w:r w:rsidRPr="00BB11AF">
        <w:t>Conception graphique de la couverture :</w:t>
      </w:r>
      <w:r w:rsidRPr="00BB11AF">
        <w:br/>
        <w:t>IDE</w:t>
      </w:r>
      <w:r w:rsidRPr="00BB11AF">
        <w:rPr>
          <w:vertAlign w:val="subscript"/>
        </w:rPr>
        <w:t>3</w:t>
      </w:r>
      <w:r w:rsidRPr="00BB11AF">
        <w:t>S inc.</w:t>
      </w:r>
    </w:p>
    <w:p w:rsidR="003A3061" w:rsidRPr="00BB11AF" w:rsidRDefault="003A3061" w:rsidP="003A3061">
      <w:pPr>
        <w:pStyle w:val="p"/>
      </w:pPr>
      <w:r w:rsidRPr="00BB11AF">
        <w:br w:type="page"/>
      </w:r>
    </w:p>
    <w:p w:rsidR="003A3061" w:rsidRPr="00BB11AF" w:rsidRDefault="003A3061" w:rsidP="003A3061">
      <w:pPr>
        <w:pStyle w:val="p"/>
      </w:pPr>
    </w:p>
    <w:p w:rsidR="003A3061" w:rsidRPr="00BB11AF" w:rsidRDefault="003A3061" w:rsidP="003A3061">
      <w:pPr>
        <w:pStyle w:val="p"/>
      </w:pPr>
    </w:p>
    <w:p w:rsidR="003A3061" w:rsidRPr="00BB11AF" w:rsidRDefault="00356B29" w:rsidP="003A3061">
      <w:pPr>
        <w:pStyle w:val="p"/>
      </w:pPr>
      <w:r w:rsidRPr="00BB11AF">
        <w:rPr>
          <w:noProof/>
        </w:rPr>
        <w:drawing>
          <wp:inline distT="0" distB="0" distL="0" distR="0">
            <wp:extent cx="2438400" cy="1638300"/>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p w:rsidR="003A3061" w:rsidRPr="00BB11AF" w:rsidRDefault="003A3061" w:rsidP="003A3061">
      <w:pPr>
        <w:pStyle w:val="p"/>
      </w:pPr>
    </w:p>
    <w:p w:rsidR="003A3061" w:rsidRPr="00BB11AF" w:rsidRDefault="003A3061" w:rsidP="003A3061">
      <w:pPr>
        <w:ind w:left="20"/>
        <w:jc w:val="both"/>
        <w:rPr>
          <w:sz w:val="24"/>
        </w:rPr>
      </w:pPr>
      <w:r w:rsidRPr="00BB11AF">
        <w:rPr>
          <w:sz w:val="24"/>
        </w:rPr>
        <w:t>La présidente de l’ACSALF, Mme Marguerite Soulière, nous a accordé le 20 août 2018 l’autoris</w:t>
      </w:r>
      <w:r w:rsidRPr="00BB11AF">
        <w:rPr>
          <w:sz w:val="24"/>
        </w:rPr>
        <w:t>a</w:t>
      </w:r>
      <w:r w:rsidRPr="00BB11AF">
        <w:rPr>
          <w:sz w:val="24"/>
        </w:rPr>
        <w:t>tion de diffuser en accès libre à tous ce livre dans Les Class</w:t>
      </w:r>
      <w:r w:rsidRPr="00BB11AF">
        <w:rPr>
          <w:sz w:val="24"/>
        </w:rPr>
        <w:t>i</w:t>
      </w:r>
      <w:r w:rsidRPr="00BB11AF">
        <w:rPr>
          <w:sz w:val="24"/>
        </w:rPr>
        <w:t>ques des sciences sociales.</w:t>
      </w:r>
    </w:p>
    <w:p w:rsidR="003A3061" w:rsidRPr="00BB11AF" w:rsidRDefault="003A3061" w:rsidP="003A3061">
      <w:pPr>
        <w:jc w:val="both"/>
        <w:rPr>
          <w:sz w:val="24"/>
        </w:rPr>
      </w:pPr>
    </w:p>
    <w:p w:rsidR="003A3061" w:rsidRPr="00BB11AF" w:rsidRDefault="003A3061" w:rsidP="003A3061">
      <w:pPr>
        <w:jc w:val="both"/>
        <w:rPr>
          <w:sz w:val="24"/>
        </w:rPr>
      </w:pPr>
    </w:p>
    <w:p w:rsidR="003A3061" w:rsidRPr="00BB11AF" w:rsidRDefault="00356B29" w:rsidP="003A3061">
      <w:pPr>
        <w:tabs>
          <w:tab w:val="left" w:pos="3150"/>
        </w:tabs>
        <w:ind w:firstLine="0"/>
        <w:rPr>
          <w:sz w:val="24"/>
        </w:rPr>
      </w:pPr>
      <w:r w:rsidRPr="00BB11AF">
        <w:rPr>
          <w:noProof/>
          <w:sz w:val="24"/>
        </w:rPr>
        <w:drawing>
          <wp:inline distT="0" distB="0" distL="0" distR="0">
            <wp:extent cx="254000" cy="25400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3A3061" w:rsidRPr="00BB11AF">
        <w:rPr>
          <w:sz w:val="24"/>
        </w:rPr>
        <w:t xml:space="preserve"> Courriel : </w:t>
      </w:r>
    </w:p>
    <w:p w:rsidR="003A3061" w:rsidRPr="00BB11AF" w:rsidRDefault="003A3061" w:rsidP="003A3061">
      <w:pPr>
        <w:pStyle w:val="p"/>
      </w:pPr>
    </w:p>
    <w:p w:rsidR="003A3061" w:rsidRPr="00BB11AF" w:rsidRDefault="003A3061" w:rsidP="003A3061">
      <w:pPr>
        <w:pStyle w:val="p"/>
      </w:pPr>
      <w:r w:rsidRPr="00BB11AF">
        <w:t>La présidente de l’ACSALF, Marguerite Soulière : professeure, École de Se</w:t>
      </w:r>
      <w:r w:rsidRPr="00BB11AF">
        <w:t>r</w:t>
      </w:r>
      <w:r w:rsidRPr="00BB11AF">
        <w:t xml:space="preserve">vice sociale, Université d’Ottawa : </w:t>
      </w:r>
      <w:hyperlink r:id="rId22" w:history="1">
        <w:r w:rsidRPr="00BB11AF">
          <w:rPr>
            <w:rStyle w:val="Lienhypertexte"/>
            <w:sz w:val="24"/>
          </w:rPr>
          <w:t>marguerite.souliere@uOttawa.ca</w:t>
        </w:r>
      </w:hyperlink>
      <w:r w:rsidRPr="00BB11AF">
        <w:t xml:space="preserve"> </w:t>
      </w:r>
    </w:p>
    <w:p w:rsidR="003A3061" w:rsidRPr="00BB11AF" w:rsidRDefault="003A3061" w:rsidP="003A3061">
      <w:pPr>
        <w:pStyle w:val="p"/>
      </w:pPr>
      <w:r w:rsidRPr="00BB11AF">
        <w:br w:type="page"/>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hanging="20"/>
        <w:jc w:val="center"/>
        <w:rPr>
          <w:b/>
          <w:sz w:val="24"/>
        </w:rPr>
      </w:pPr>
      <w:bookmarkStart w:id="1" w:name="Crise_et_mise_en_crise_couverture"/>
      <w:r w:rsidRPr="00BB11AF">
        <w:rPr>
          <w:b/>
          <w:i/>
          <w:color w:val="FF0000"/>
          <w:sz w:val="24"/>
        </w:rPr>
        <w:t>Crise</w:t>
      </w:r>
      <w:r w:rsidRPr="00BB11AF">
        <w:rPr>
          <w:b/>
          <w:sz w:val="24"/>
        </w:rPr>
        <w:t xml:space="preserve"> et mise en </w:t>
      </w:r>
      <w:r w:rsidRPr="00BB11AF">
        <w:rPr>
          <w:b/>
          <w:i/>
          <w:color w:val="FF0000"/>
          <w:sz w:val="24"/>
        </w:rPr>
        <w:t>crise</w:t>
      </w:r>
      <w:r w:rsidRPr="00BB11AF">
        <w:rPr>
          <w:b/>
          <w:sz w:val="24"/>
        </w:rPr>
        <w:t>.</w:t>
      </w:r>
    </w:p>
    <w:p w:rsidR="003A3061" w:rsidRPr="00BB11AF" w:rsidRDefault="003A3061" w:rsidP="003A3061">
      <w:pPr>
        <w:jc w:val="center"/>
        <w:rPr>
          <w:sz w:val="24"/>
        </w:rPr>
      </w:pPr>
      <w:r w:rsidRPr="00BB11AF">
        <w:rPr>
          <w:sz w:val="24"/>
        </w:rPr>
        <w:t>Actes du colloque annuel de l’ACSALF 2012.</w:t>
      </w:r>
    </w:p>
    <w:p w:rsidR="003A3061" w:rsidRPr="00BB11AF" w:rsidRDefault="003A3061" w:rsidP="003A3061">
      <w:pPr>
        <w:pStyle w:val="planchest"/>
      </w:pPr>
      <w:r w:rsidRPr="00BB11AF">
        <w:t>Quatrième de couverture</w:t>
      </w:r>
    </w:p>
    <w:bookmarkEnd w:id="1"/>
    <w:p w:rsidR="003A3061" w:rsidRPr="00BB11AF" w:rsidRDefault="003A3061" w:rsidP="003A3061">
      <w:pPr>
        <w:jc w:val="both"/>
      </w:pPr>
    </w:p>
    <w:p w:rsidR="003A3061" w:rsidRPr="00BB11AF" w:rsidRDefault="003A3061" w:rsidP="003A3061">
      <w:pPr>
        <w:jc w:val="both"/>
      </w:pPr>
    </w:p>
    <w:p w:rsidR="003A3061" w:rsidRPr="00BB11AF" w:rsidRDefault="003A3061" w:rsidP="003A3061">
      <w:pPr>
        <w:jc w:val="both"/>
      </w:pP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right="90" w:firstLine="0"/>
        <w:jc w:val="both"/>
        <w:rPr>
          <w:sz w:val="20"/>
        </w:rPr>
      </w:pPr>
      <w:hyperlink w:anchor="tdm" w:history="1">
        <w:r w:rsidRPr="00BB11AF">
          <w:rPr>
            <w:rStyle w:val="Lienhypertexte"/>
            <w:sz w:val="20"/>
          </w:rPr>
          <w:t>Retour à la table des matières</w:t>
        </w:r>
      </w:hyperlink>
    </w:p>
    <w:p w:rsidR="003A3061" w:rsidRPr="00BB11AF" w:rsidRDefault="003A3061" w:rsidP="003A3061">
      <w:pPr>
        <w:spacing w:before="120" w:after="120"/>
        <w:jc w:val="both"/>
      </w:pPr>
      <w:r w:rsidRPr="00BB11AF">
        <w:t>La crise - en tant qu’ethos, discours ou technologie de gouvern</w:t>
      </w:r>
      <w:r w:rsidRPr="00BB11AF">
        <w:t>e</w:t>
      </w:r>
      <w:r w:rsidRPr="00BB11AF">
        <w:t>ment - est une question d’une actualité prégnante qui a néanmoins toujours été centrale à l’analyse sociale. Les textes publiés dans les actes du colloque « Crise et mise en crise » visent à fournir une co</w:t>
      </w:r>
      <w:r w:rsidRPr="00BB11AF">
        <w:t>m</w:t>
      </w:r>
      <w:r w:rsidRPr="00BB11AF">
        <w:t>préhension fine des sens, fonctions, stru</w:t>
      </w:r>
      <w:r w:rsidRPr="00BB11AF">
        <w:t>c</w:t>
      </w:r>
      <w:r w:rsidRPr="00BB11AF">
        <w:t>tures et effets de phénomènes archétypaux de la crise globale actuelle, notamment les révoltes ar</w:t>
      </w:r>
      <w:r w:rsidRPr="00BB11AF">
        <w:t>a</w:t>
      </w:r>
      <w:r w:rsidRPr="00BB11AF">
        <w:t>bes ou encore les mouvements d’indignation et de protestation comme les Carrés rouges québécois. Nous ambitionnons d’offrir une meille</w:t>
      </w:r>
      <w:r w:rsidRPr="00BB11AF">
        <w:t>u</w:t>
      </w:r>
      <w:r w:rsidRPr="00BB11AF">
        <w:t>re compréhension de la dialectique induite par le processus transfo</w:t>
      </w:r>
      <w:r w:rsidRPr="00BB11AF">
        <w:t>r</w:t>
      </w:r>
      <w:r w:rsidRPr="00BB11AF">
        <w:t>mation /crise /contrainte /émancipation, notamment en les e</w:t>
      </w:r>
      <w:r w:rsidRPr="00BB11AF">
        <w:t>x</w:t>
      </w:r>
      <w:r w:rsidRPr="00BB11AF">
        <w:t>tirpant de leur réalité empir</w:t>
      </w:r>
      <w:r w:rsidRPr="00BB11AF">
        <w:t>i</w:t>
      </w:r>
      <w:r w:rsidRPr="00BB11AF">
        <w:t>que afin de les réinscrire, plus largement, dans des théorisations ayant trait au changement social, culturel et p</w:t>
      </w:r>
      <w:r w:rsidRPr="00BB11AF">
        <w:t>o</w:t>
      </w:r>
      <w:r w:rsidRPr="00BB11AF">
        <w:t>litique. Pour ce faire, nous proposons des analyses alliant perspectives à la fois théoriques et empiriques, de même que des cas d’étude ou des analyses comparées sous la forme d’une mise en commun des d</w:t>
      </w:r>
      <w:r w:rsidRPr="00BB11AF">
        <w:t>é</w:t>
      </w:r>
      <w:r w:rsidRPr="00BB11AF">
        <w:t>bats autour du thème de la crise.</w:t>
      </w:r>
    </w:p>
    <w:p w:rsidR="003A3061" w:rsidRPr="00BB11AF" w:rsidRDefault="003A3061" w:rsidP="003A3061">
      <w:pPr>
        <w:jc w:val="both"/>
      </w:pPr>
    </w:p>
    <w:p w:rsidR="003A3061" w:rsidRPr="00BB11AF" w:rsidRDefault="003A3061" w:rsidP="003A3061">
      <w:pPr>
        <w:ind w:firstLine="0"/>
        <w:jc w:val="both"/>
      </w:pPr>
      <w:r w:rsidRPr="00BB11AF">
        <w:br w:type="page"/>
      </w:r>
    </w:p>
    <w:p w:rsidR="003A3061" w:rsidRPr="00BB11AF" w:rsidRDefault="003A3061">
      <w:pPr>
        <w:jc w:val="both"/>
      </w:pPr>
    </w:p>
    <w:p w:rsidR="003A3061" w:rsidRPr="00BB11AF" w:rsidRDefault="003A3061">
      <w:pPr>
        <w:jc w:val="both"/>
      </w:pPr>
    </w:p>
    <w:p w:rsidR="003A3061" w:rsidRPr="00BB11AF" w:rsidRDefault="003A3061">
      <w:pPr>
        <w:jc w:val="both"/>
      </w:pPr>
    </w:p>
    <w:p w:rsidR="003A3061" w:rsidRPr="00BB11AF" w:rsidRDefault="003A3061" w:rsidP="003A3061">
      <w:pPr>
        <w:pStyle w:val="NormalWeb"/>
        <w:spacing w:before="2" w:after="2"/>
        <w:jc w:val="both"/>
        <w:rPr>
          <w:rFonts w:ascii="Times New Roman" w:hAnsi="Times New Roman"/>
          <w:sz w:val="28"/>
        </w:rPr>
      </w:pPr>
      <w:r w:rsidRPr="00BB11AF">
        <w:rPr>
          <w:rFonts w:ascii="Times New Roman" w:hAnsi="Times New Roman"/>
          <w:b/>
          <w:sz w:val="28"/>
          <w:szCs w:val="19"/>
        </w:rPr>
        <w:t>Note pour la version numérique</w:t>
      </w:r>
      <w:r w:rsidRPr="00BB11AF">
        <w:rPr>
          <w:rFonts w:ascii="Times New Roman" w:hAnsi="Times New Roman"/>
          <w:sz w:val="28"/>
          <w:szCs w:val="19"/>
        </w:rPr>
        <w:t xml:space="preserve"> : </w:t>
      </w:r>
      <w:r w:rsidRPr="00BB11AF">
        <w:rPr>
          <w:rFonts w:ascii="Times New Roman" w:hAnsi="Times New Roman"/>
          <w:sz w:val="28"/>
        </w:rPr>
        <w:t>La numérotation entre crochets [] correspond à la pagination, en début de page, de l'édition d'origine numérisée. JMT.</w:t>
      </w:r>
    </w:p>
    <w:p w:rsidR="003A3061" w:rsidRPr="00BB11AF" w:rsidRDefault="003A3061" w:rsidP="003A3061">
      <w:pPr>
        <w:pStyle w:val="NormalWeb"/>
        <w:spacing w:before="2" w:after="2"/>
        <w:jc w:val="both"/>
        <w:rPr>
          <w:rFonts w:ascii="Times New Roman" w:hAnsi="Times New Roman"/>
          <w:sz w:val="28"/>
        </w:rPr>
      </w:pPr>
    </w:p>
    <w:p w:rsidR="003A3061" w:rsidRPr="00BB11AF" w:rsidRDefault="003A3061" w:rsidP="003A3061">
      <w:pPr>
        <w:pStyle w:val="NormalWeb"/>
        <w:spacing w:before="2" w:after="2"/>
        <w:rPr>
          <w:rFonts w:ascii="Times New Roman" w:hAnsi="Times New Roman"/>
          <w:sz w:val="28"/>
        </w:rPr>
      </w:pPr>
      <w:r w:rsidRPr="00BB11AF">
        <w:rPr>
          <w:rFonts w:ascii="Times New Roman" w:hAnsi="Times New Roman"/>
          <w:sz w:val="28"/>
        </w:rPr>
        <w:t>Par exemple, [1] correspond au début de la page 1 de l’édition papier numérisée.</w:t>
      </w:r>
    </w:p>
    <w:p w:rsidR="003A3061" w:rsidRPr="00BB11AF" w:rsidRDefault="003A3061" w:rsidP="003A3061">
      <w:pPr>
        <w:jc w:val="both"/>
        <w:rPr>
          <w:szCs w:val="19"/>
        </w:rPr>
      </w:pPr>
    </w:p>
    <w:p w:rsidR="003A3061" w:rsidRPr="00BB11AF" w:rsidRDefault="003A3061">
      <w:pPr>
        <w:jc w:val="both"/>
        <w:rPr>
          <w:szCs w:val="19"/>
        </w:rPr>
      </w:pPr>
    </w:p>
    <w:p w:rsidR="003A3061" w:rsidRPr="00BB11AF" w:rsidRDefault="003A3061" w:rsidP="003A3061">
      <w:pPr>
        <w:pStyle w:val="p"/>
      </w:pPr>
      <w:r w:rsidRPr="00BB11AF">
        <w:br w:type="page"/>
      </w:r>
      <w:r w:rsidRPr="00BB11AF">
        <w:lastRenderedPageBreak/>
        <w:t>[i]</w:t>
      </w:r>
    </w:p>
    <w:p w:rsidR="003A3061" w:rsidRPr="00BB11AF" w:rsidRDefault="003A3061">
      <w:pPr>
        <w:jc w:val="both"/>
      </w:pPr>
    </w:p>
    <w:p w:rsidR="003A3061" w:rsidRPr="00BB11AF" w:rsidRDefault="003A3061">
      <w:pPr>
        <w:jc w:val="both"/>
      </w:pPr>
    </w:p>
    <w:p w:rsidR="003A3061" w:rsidRPr="00BB11AF" w:rsidRDefault="003A3061" w:rsidP="003A3061">
      <w:pPr>
        <w:jc w:val="both"/>
      </w:pPr>
      <w:bookmarkStart w:id="2" w:name="tdm"/>
    </w:p>
    <w:p w:rsidR="003A3061" w:rsidRPr="00BB11AF" w:rsidRDefault="003A3061" w:rsidP="003A3061">
      <w:pPr>
        <w:ind w:hanging="20"/>
        <w:jc w:val="center"/>
        <w:rPr>
          <w:b/>
          <w:sz w:val="24"/>
        </w:rPr>
      </w:pPr>
      <w:r w:rsidRPr="00BB11AF">
        <w:rPr>
          <w:b/>
          <w:i/>
          <w:color w:val="FF0000"/>
          <w:sz w:val="24"/>
        </w:rPr>
        <w:t>Crise</w:t>
      </w:r>
      <w:r w:rsidRPr="00BB11AF">
        <w:rPr>
          <w:b/>
          <w:sz w:val="24"/>
        </w:rPr>
        <w:t xml:space="preserve"> et mise en </w:t>
      </w:r>
      <w:r w:rsidRPr="00BB11AF">
        <w:rPr>
          <w:b/>
          <w:i/>
          <w:color w:val="FF0000"/>
          <w:sz w:val="24"/>
        </w:rPr>
        <w:t>crise</w:t>
      </w:r>
      <w:r w:rsidRPr="00BB11AF">
        <w:rPr>
          <w:b/>
          <w:sz w:val="24"/>
        </w:rPr>
        <w:t>.</w:t>
      </w:r>
    </w:p>
    <w:p w:rsidR="003A3061" w:rsidRPr="00BB11AF" w:rsidRDefault="003A3061" w:rsidP="003A3061">
      <w:pPr>
        <w:jc w:val="center"/>
        <w:rPr>
          <w:sz w:val="24"/>
        </w:rPr>
      </w:pPr>
      <w:r w:rsidRPr="00BB11AF">
        <w:rPr>
          <w:sz w:val="24"/>
        </w:rPr>
        <w:t>Actes du colloque annuel de l’ACSALF 2012.</w:t>
      </w:r>
    </w:p>
    <w:p w:rsidR="003A3061" w:rsidRPr="00BB11AF" w:rsidRDefault="003A3061" w:rsidP="003A3061">
      <w:pPr>
        <w:pStyle w:val="planchest"/>
      </w:pPr>
      <w:r w:rsidRPr="00BB11AF">
        <w:t>Table des matières</w:t>
      </w:r>
      <w:bookmarkEnd w:id="2"/>
    </w:p>
    <w:p w:rsidR="003A3061" w:rsidRPr="00BB11AF" w:rsidRDefault="003A3061">
      <w:pPr>
        <w:ind w:firstLine="0"/>
      </w:pPr>
    </w:p>
    <w:p w:rsidR="003A3061" w:rsidRPr="00BB11AF" w:rsidRDefault="003A3061">
      <w:pPr>
        <w:ind w:firstLine="0"/>
      </w:pPr>
    </w:p>
    <w:p w:rsidR="003A3061" w:rsidRPr="00BB11AF" w:rsidRDefault="003A3061" w:rsidP="003A3061">
      <w:pPr>
        <w:spacing w:before="120" w:after="120"/>
        <w:jc w:val="both"/>
      </w:pPr>
      <w:r w:rsidRPr="00BB11AF">
        <w:t>1. André TREMBLAY et Marie-Claude HAINCE, “</w:t>
      </w:r>
      <w:hyperlink w:anchor="Crise_et_mise_en_crise_texte_01" w:history="1">
        <w:r w:rsidRPr="009637FC">
          <w:rPr>
            <w:rStyle w:val="Lienhypertexte"/>
          </w:rPr>
          <w:t>Introduction</w:t>
        </w:r>
      </w:hyperlink>
      <w:r w:rsidRPr="00BB11AF">
        <w:t>.” [1]</w:t>
      </w:r>
    </w:p>
    <w:p w:rsidR="003A3061" w:rsidRPr="00BB11AF" w:rsidRDefault="003A3061" w:rsidP="003A3061">
      <w:pPr>
        <w:spacing w:before="120" w:after="120"/>
        <w:jc w:val="both"/>
      </w:pPr>
      <w:r w:rsidRPr="00BB11AF">
        <w:t>2. Sophie BESSIS, “</w:t>
      </w:r>
      <w:hyperlink w:anchor="Crise_et_mise_en_crise_texte_02" w:history="1">
        <w:r w:rsidRPr="009637FC">
          <w:rPr>
            <w:rStyle w:val="Lienhypertexte"/>
          </w:rPr>
          <w:t>Tunisie : quelle gestion des crises pour quel projet de société ?</w:t>
        </w:r>
      </w:hyperlink>
      <w:r w:rsidRPr="00BB11AF">
        <w:t>” [9]</w:t>
      </w:r>
    </w:p>
    <w:p w:rsidR="003A3061" w:rsidRPr="00BB11AF" w:rsidRDefault="003A3061" w:rsidP="003A3061">
      <w:pPr>
        <w:spacing w:before="120" w:after="120"/>
        <w:jc w:val="both"/>
      </w:pPr>
      <w:r w:rsidRPr="00BB11AF">
        <w:t>3. Zakaria RHANI, “</w:t>
      </w:r>
      <w:hyperlink w:anchor="Crise_et_mise_en_crise_texte_03" w:history="1">
        <w:r w:rsidRPr="009637FC">
          <w:rPr>
            <w:rStyle w:val="Lienhypertexte"/>
          </w:rPr>
          <w:t>Révoltes arabes et islams politiques : retour du religieux ou transition politique ?</w:t>
        </w:r>
      </w:hyperlink>
      <w:r w:rsidRPr="00BB11AF">
        <w:t>” [23]</w:t>
      </w:r>
    </w:p>
    <w:p w:rsidR="003A3061" w:rsidRPr="00BB11AF" w:rsidRDefault="003A3061" w:rsidP="003A3061">
      <w:pPr>
        <w:spacing w:before="120" w:after="120"/>
        <w:jc w:val="both"/>
      </w:pPr>
      <w:r w:rsidRPr="00BB11AF">
        <w:t>4. Samir SAUL, “</w:t>
      </w:r>
      <w:hyperlink w:anchor="Crise_et_mise_en_crise_texte_04" w:history="1">
        <w:r w:rsidRPr="009637FC">
          <w:rPr>
            <w:rStyle w:val="Lienhypertexte"/>
          </w:rPr>
          <w:t>La crise économique internationale de 2008 a-t-elle favorisé l'avènement du «printemps» arabe en Égypte ?</w:t>
        </w:r>
      </w:hyperlink>
      <w:r w:rsidRPr="00BB11AF">
        <w:t>” [45]</w:t>
      </w:r>
    </w:p>
    <w:p w:rsidR="003A3061" w:rsidRPr="00BB11AF" w:rsidRDefault="003A3061" w:rsidP="003A3061">
      <w:pPr>
        <w:spacing w:before="120" w:after="120"/>
        <w:jc w:val="both"/>
      </w:pPr>
      <w:r w:rsidRPr="00BB11AF">
        <w:t>5. Bernard BERNIER, “</w:t>
      </w:r>
      <w:hyperlink w:anchor="Crise_et_mise_en_crise_texte_05" w:history="1">
        <w:r w:rsidRPr="009637FC">
          <w:rPr>
            <w:rStyle w:val="Lienhypertexte"/>
          </w:rPr>
          <w:t>Spéculation, « crise » et emploi au Japon (1980-2014)</w:t>
        </w:r>
      </w:hyperlink>
      <w:r w:rsidRPr="00BB11AF">
        <w:t>.” [67]</w:t>
      </w:r>
    </w:p>
    <w:p w:rsidR="003A3061" w:rsidRPr="00BB11AF" w:rsidRDefault="003A3061" w:rsidP="003A3061">
      <w:pPr>
        <w:spacing w:before="120" w:after="120"/>
        <w:jc w:val="both"/>
      </w:pPr>
      <w:r w:rsidRPr="00BB11AF">
        <w:t>6. Vincent MIRZA, “</w:t>
      </w:r>
      <w:hyperlink w:anchor="Crise_et_mise_en_crise_texte_06" w:history="1">
        <w:r w:rsidRPr="009637FC">
          <w:rPr>
            <w:rStyle w:val="Lienhypertexte"/>
          </w:rPr>
          <w:t>Travail flexible et vie flexible. L'expérience des jeunes femmes tokyoïtes en période de crise économique</w:t>
        </w:r>
      </w:hyperlink>
      <w:r w:rsidRPr="00BB11AF">
        <w:t>.” [83]</w:t>
      </w:r>
    </w:p>
    <w:p w:rsidR="003A3061" w:rsidRPr="00BB11AF" w:rsidRDefault="003A3061" w:rsidP="003A3061">
      <w:pPr>
        <w:spacing w:before="120" w:after="120"/>
        <w:jc w:val="both"/>
      </w:pPr>
      <w:r w:rsidRPr="00BB11AF">
        <w:t>7. Nuru KOKIKYALO, “</w:t>
      </w:r>
      <w:hyperlink w:anchor="Crise_et_mise_en_crise_texte_07" w:history="1">
        <w:r w:rsidRPr="009637FC">
          <w:rPr>
            <w:rStyle w:val="Lienhypertexte"/>
          </w:rPr>
          <w:t>La crise des sexes en Somalie : la prise de parole comme outil d'émancipation de la femme</w:t>
        </w:r>
      </w:hyperlink>
      <w:r w:rsidRPr="00BB11AF">
        <w:t>.” [101”</w:t>
      </w:r>
    </w:p>
    <w:p w:rsidR="003A3061" w:rsidRPr="00BB11AF" w:rsidRDefault="003A3061" w:rsidP="003A3061">
      <w:pPr>
        <w:spacing w:before="120" w:after="120"/>
        <w:ind w:firstLine="0"/>
        <w:jc w:val="both"/>
      </w:pPr>
      <w:r w:rsidRPr="00BB11AF">
        <w:t>[ii]</w:t>
      </w:r>
    </w:p>
    <w:p w:rsidR="003A3061" w:rsidRPr="00BB11AF" w:rsidRDefault="003A3061" w:rsidP="003A3061">
      <w:pPr>
        <w:spacing w:before="120" w:after="120"/>
        <w:jc w:val="both"/>
      </w:pPr>
      <w:r w:rsidRPr="00BB11AF">
        <w:t>8. Ana Soledad MONTERO, “</w:t>
      </w:r>
      <w:hyperlink w:anchor="Crise_et_mise_en_crise_texte_08" w:history="1">
        <w:r w:rsidRPr="009637FC">
          <w:rPr>
            <w:rStyle w:val="Lienhypertexte"/>
          </w:rPr>
          <w:t>De la multitude au peuple. Le di</w:t>
        </w:r>
        <w:r w:rsidRPr="009637FC">
          <w:rPr>
            <w:rStyle w:val="Lienhypertexte"/>
          </w:rPr>
          <w:t>s</w:t>
        </w:r>
        <w:r w:rsidRPr="009637FC">
          <w:rPr>
            <w:rStyle w:val="Lienhypertexte"/>
          </w:rPr>
          <w:t>cours kirchneriste et la crise argentine de décembre 2001</w:t>
        </w:r>
      </w:hyperlink>
      <w:r>
        <w:t>.”</w:t>
      </w:r>
      <w:r w:rsidRPr="00BB11AF">
        <w:t xml:space="preserve"> [125]</w:t>
      </w:r>
    </w:p>
    <w:p w:rsidR="003A3061" w:rsidRPr="00BB11AF" w:rsidRDefault="003A3061" w:rsidP="003A3061">
      <w:pPr>
        <w:spacing w:before="120" w:after="120"/>
        <w:jc w:val="both"/>
      </w:pPr>
      <w:r w:rsidRPr="00BB11AF">
        <w:t>9. Ghassan HAGE, “</w:t>
      </w:r>
      <w:hyperlink w:anchor="Crise_et_mise_en_crise_texte_09" w:history="1">
        <w:r w:rsidRPr="009637FC">
          <w:rPr>
            <w:rStyle w:val="Lienhypertexte"/>
          </w:rPr>
          <w:t>La critique de la crise et la crise de la crit</w:t>
        </w:r>
        <w:r w:rsidRPr="009637FC">
          <w:rPr>
            <w:rStyle w:val="Lienhypertexte"/>
          </w:rPr>
          <w:t>i</w:t>
        </w:r>
        <w:r w:rsidRPr="009637FC">
          <w:rPr>
            <w:rStyle w:val="Lienhypertexte"/>
          </w:rPr>
          <w:t>que</w:t>
        </w:r>
      </w:hyperlink>
      <w:r>
        <w:t>.”</w:t>
      </w:r>
      <w:r w:rsidRPr="00BB11AF">
        <w:t xml:space="preserve"> [143]</w:t>
      </w:r>
    </w:p>
    <w:p w:rsidR="003A3061" w:rsidRPr="00BB11AF" w:rsidRDefault="003A3061" w:rsidP="003A3061">
      <w:pPr>
        <w:spacing w:before="120" w:after="120"/>
        <w:jc w:val="both"/>
      </w:pPr>
      <w:r w:rsidRPr="00BB11AF">
        <w:t>10. Gilles GAGNÉ, “</w:t>
      </w:r>
      <w:hyperlink w:anchor="Crise_et_mise_en_crise_texte_10" w:history="1">
        <w:r w:rsidRPr="009637FC">
          <w:rPr>
            <w:rStyle w:val="Lienhypertexte"/>
          </w:rPr>
          <w:t>Théorie de la corruption, restreinte et génér</w:t>
        </w:r>
        <w:r w:rsidRPr="009637FC">
          <w:rPr>
            <w:rStyle w:val="Lienhypertexte"/>
          </w:rPr>
          <w:t>a</w:t>
        </w:r>
        <w:r w:rsidRPr="009637FC">
          <w:rPr>
            <w:rStyle w:val="Lienhypertexte"/>
          </w:rPr>
          <w:t>le</w:t>
        </w:r>
      </w:hyperlink>
      <w:r>
        <w:t>.”</w:t>
      </w:r>
      <w:r w:rsidRPr="00BB11AF">
        <w:t xml:space="preserve"> [153]</w:t>
      </w:r>
    </w:p>
    <w:p w:rsidR="003A3061" w:rsidRPr="00BB11AF" w:rsidRDefault="003A3061" w:rsidP="003A3061">
      <w:pPr>
        <w:spacing w:before="120" w:after="120"/>
        <w:jc w:val="both"/>
      </w:pPr>
      <w:r w:rsidRPr="00BB11AF">
        <w:t>11. André TREMBLAY, “</w:t>
      </w:r>
      <w:hyperlink w:anchor="Crise_et_mise_en_crise_texte_11" w:history="1">
        <w:r w:rsidRPr="009637FC">
          <w:rPr>
            <w:rStyle w:val="Lienhypertexte"/>
          </w:rPr>
          <w:t>Rompre avec le futur</w:t>
        </w:r>
      </w:hyperlink>
      <w:r>
        <w:t>.”</w:t>
      </w:r>
      <w:r w:rsidRPr="00BB11AF">
        <w:t xml:space="preserve"> [171]</w:t>
      </w:r>
    </w:p>
    <w:p w:rsidR="003A3061" w:rsidRPr="00BB11AF" w:rsidRDefault="003A3061" w:rsidP="003A3061">
      <w:pPr>
        <w:spacing w:before="120" w:after="120"/>
        <w:jc w:val="both"/>
      </w:pPr>
      <w:r w:rsidRPr="00BB11AF">
        <w:lastRenderedPageBreak/>
        <w:t>12. Frédéric LEBARON, “</w:t>
      </w:r>
      <w:hyperlink w:anchor="Crise_et_mise_en_crise_texte_12" w:history="1">
        <w:r w:rsidRPr="009637FC">
          <w:rPr>
            <w:rStyle w:val="Lienhypertexte"/>
          </w:rPr>
          <w:t>La crise de la croyance économique</w:t>
        </w:r>
      </w:hyperlink>
      <w:r>
        <w:t>.”</w:t>
      </w:r>
      <w:r w:rsidRPr="00BB11AF">
        <w:t xml:space="preserve"> [201]</w:t>
      </w:r>
    </w:p>
    <w:p w:rsidR="003A3061" w:rsidRPr="00BB11AF" w:rsidRDefault="003A3061" w:rsidP="003A3061">
      <w:pPr>
        <w:spacing w:before="120" w:after="120"/>
        <w:jc w:val="both"/>
      </w:pPr>
      <w:r w:rsidRPr="00BB11AF">
        <w:t>13. Yves-Marie ABRAHAM, “</w:t>
      </w:r>
      <w:hyperlink w:anchor="Crise_et_mise_en_crise_texte_13" w:history="1">
        <w:r w:rsidRPr="009637FC">
          <w:rPr>
            <w:rStyle w:val="Lienhypertexte"/>
          </w:rPr>
          <w:t>La décroissance soutenable comme sortie de crises ?</w:t>
        </w:r>
      </w:hyperlink>
      <w:r>
        <w:t>”</w:t>
      </w:r>
      <w:r w:rsidRPr="00BB11AF">
        <w:t xml:space="preserve"> [215]</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14- Remerciements [233]</w:t>
      </w:r>
    </w:p>
    <w:p w:rsidR="003A3061" w:rsidRPr="00BB11AF" w:rsidRDefault="003A3061" w:rsidP="003A3061">
      <w:pPr>
        <w:pStyle w:val="p"/>
      </w:pPr>
    </w:p>
    <w:p w:rsidR="003A3061" w:rsidRDefault="003A3061" w:rsidP="003A3061">
      <w:pPr>
        <w:pStyle w:val="p"/>
      </w:pPr>
      <w:r>
        <w:br w:type="page"/>
      </w:r>
    </w:p>
    <w:p w:rsidR="003A3061" w:rsidRDefault="003A3061" w:rsidP="003A3061">
      <w:pPr>
        <w:pStyle w:val="p"/>
      </w:pPr>
    </w:p>
    <w:p w:rsidR="003A3061" w:rsidRDefault="003A3061" w:rsidP="003A3061">
      <w:pPr>
        <w:pStyle w:val="p"/>
      </w:pPr>
    </w:p>
    <w:p w:rsidR="003A3061" w:rsidRDefault="003A3061" w:rsidP="003A3061">
      <w:pPr>
        <w:pStyle w:val="p"/>
      </w:pPr>
    </w:p>
    <w:p w:rsidR="003A3061" w:rsidRPr="00E07116" w:rsidRDefault="003A3061" w:rsidP="003A3061">
      <w:pPr>
        <w:jc w:val="both"/>
      </w:pPr>
    </w:p>
    <w:p w:rsidR="003A3061" w:rsidRDefault="003A3061" w:rsidP="003A3061">
      <w:pPr>
        <w:jc w:val="both"/>
      </w:pPr>
      <w:r w:rsidRPr="003F76B5">
        <w:rPr>
          <w:b/>
          <w:color w:val="FF0000"/>
        </w:rPr>
        <w:t>NOTES</w:t>
      </w:r>
    </w:p>
    <w:p w:rsidR="003A3061" w:rsidRDefault="003A3061" w:rsidP="003A3061">
      <w:pPr>
        <w:jc w:val="both"/>
      </w:pPr>
    </w:p>
    <w:p w:rsidR="003A3061" w:rsidRPr="00E07116" w:rsidRDefault="003A3061" w:rsidP="003A3061">
      <w:pPr>
        <w:jc w:val="both"/>
      </w:pPr>
      <w:r>
        <w:t>Pour faciliter la consultation des notes en fin de textes, nous les avons toutes converties, dans cette édition numérique des Classiques des sciences sociales, en notes de bas de page. JMT.</w:t>
      </w:r>
    </w:p>
    <w:p w:rsidR="003A3061" w:rsidRDefault="003A3061" w:rsidP="003A3061">
      <w:pPr>
        <w:pStyle w:val="p"/>
      </w:pPr>
    </w:p>
    <w:p w:rsidR="003A3061" w:rsidRDefault="003A3061" w:rsidP="003A3061">
      <w:pPr>
        <w:pStyle w:val="p"/>
      </w:pPr>
    </w:p>
    <w:p w:rsidR="003A3061" w:rsidRDefault="003A3061" w:rsidP="003A3061">
      <w:pPr>
        <w:pStyle w:val="p"/>
      </w:pPr>
    </w:p>
    <w:p w:rsidR="003A3061" w:rsidRPr="00BB11AF" w:rsidRDefault="003A3061" w:rsidP="003A3061">
      <w:pPr>
        <w:pStyle w:val="p"/>
      </w:pPr>
      <w:r w:rsidRPr="00BB11AF">
        <w:br w:type="page"/>
      </w:r>
      <w:r w:rsidRPr="00BB11AF">
        <w:lastRenderedPageBreak/>
        <w:t>[1]</w:t>
      </w:r>
    </w:p>
    <w:p w:rsidR="003A3061" w:rsidRPr="00BB11AF" w:rsidRDefault="003A3061">
      <w:pPr>
        <w:jc w:val="both"/>
      </w:pPr>
    </w:p>
    <w:p w:rsidR="003A3061" w:rsidRPr="00BB11AF" w:rsidRDefault="003A3061">
      <w:pPr>
        <w:jc w:val="both"/>
      </w:pPr>
    </w:p>
    <w:p w:rsidR="003A3061" w:rsidRPr="00BB11AF" w:rsidRDefault="003A3061" w:rsidP="003A3061">
      <w:pPr>
        <w:ind w:hanging="20"/>
        <w:jc w:val="center"/>
        <w:rPr>
          <w:b/>
          <w:sz w:val="24"/>
        </w:rPr>
      </w:pPr>
      <w:bookmarkStart w:id="3" w:name="Crise_et_mise_en_crise_texte_01"/>
      <w:r w:rsidRPr="00BB11AF">
        <w:rPr>
          <w:b/>
          <w:i/>
          <w:color w:val="FF0000"/>
          <w:sz w:val="24"/>
        </w:rPr>
        <w:t>Crise</w:t>
      </w:r>
      <w:r w:rsidRPr="00BB11AF">
        <w:rPr>
          <w:b/>
          <w:sz w:val="24"/>
        </w:rPr>
        <w:t xml:space="preserve"> et mise en </w:t>
      </w:r>
      <w:r w:rsidRPr="00BB11AF">
        <w:rPr>
          <w:b/>
          <w:i/>
          <w:color w:val="FF0000"/>
          <w:sz w:val="24"/>
        </w:rPr>
        <w:t>crise</w:t>
      </w:r>
      <w:r w:rsidRPr="00BB11AF">
        <w:rPr>
          <w:b/>
          <w:sz w:val="24"/>
        </w:rPr>
        <w:t>.</w:t>
      </w:r>
    </w:p>
    <w:p w:rsidR="003A3061" w:rsidRPr="00BB11AF" w:rsidRDefault="003A3061" w:rsidP="003A3061">
      <w:pPr>
        <w:spacing w:after="120"/>
        <w:jc w:val="center"/>
        <w:rPr>
          <w:sz w:val="24"/>
        </w:rPr>
      </w:pPr>
      <w:r w:rsidRPr="00BB11AF">
        <w:rPr>
          <w:sz w:val="24"/>
        </w:rPr>
        <w:t>Actes du colloque annuel de l’ACSALF 2012.</w:t>
      </w:r>
    </w:p>
    <w:p w:rsidR="003A3061" w:rsidRPr="00BB11AF" w:rsidRDefault="003A3061" w:rsidP="003A3061">
      <w:pPr>
        <w:pStyle w:val="Titreniveau1"/>
      </w:pPr>
      <w:r w:rsidRPr="00BB11AF">
        <w:t>1</w:t>
      </w:r>
    </w:p>
    <w:p w:rsidR="003A3061" w:rsidRPr="00BB11AF" w:rsidRDefault="003A3061" w:rsidP="003A3061">
      <w:pPr>
        <w:jc w:val="both"/>
      </w:pPr>
    </w:p>
    <w:p w:rsidR="003A3061" w:rsidRPr="00BB11AF" w:rsidRDefault="003A3061" w:rsidP="003A3061">
      <w:pPr>
        <w:ind w:hanging="20"/>
        <w:jc w:val="center"/>
        <w:rPr>
          <w:b/>
          <w:sz w:val="24"/>
        </w:rPr>
      </w:pPr>
      <w:bookmarkStart w:id="4" w:name="Crise_et_mise_en_crise_intro"/>
      <w:r w:rsidRPr="00BB11AF">
        <w:rPr>
          <w:b/>
          <w:i/>
          <w:color w:val="FF0000"/>
          <w:sz w:val="24"/>
        </w:rPr>
        <w:t>Crise</w:t>
      </w:r>
      <w:r w:rsidRPr="00BB11AF">
        <w:rPr>
          <w:b/>
          <w:sz w:val="24"/>
        </w:rPr>
        <w:t xml:space="preserve"> et mise en </w:t>
      </w:r>
      <w:r w:rsidRPr="00BB11AF">
        <w:rPr>
          <w:b/>
          <w:i/>
          <w:color w:val="FF0000"/>
          <w:sz w:val="24"/>
        </w:rPr>
        <w:t>crise</w:t>
      </w:r>
      <w:r w:rsidRPr="00BB11AF">
        <w:rPr>
          <w:b/>
          <w:sz w:val="24"/>
        </w:rPr>
        <w:t>.</w:t>
      </w:r>
    </w:p>
    <w:p w:rsidR="003A3061" w:rsidRPr="00BB11AF" w:rsidRDefault="003A3061" w:rsidP="003A3061">
      <w:pPr>
        <w:jc w:val="center"/>
        <w:rPr>
          <w:sz w:val="24"/>
        </w:rPr>
      </w:pPr>
      <w:r w:rsidRPr="00BB11AF">
        <w:rPr>
          <w:sz w:val="24"/>
        </w:rPr>
        <w:t>Actes du colloque annuel de l’ACSALF 2012.</w:t>
      </w:r>
    </w:p>
    <w:p w:rsidR="003A3061" w:rsidRPr="00BB11AF" w:rsidRDefault="003A3061" w:rsidP="003A3061">
      <w:pPr>
        <w:pStyle w:val="planchest"/>
      </w:pPr>
      <w:r w:rsidRPr="00BB11AF">
        <w:t>INTRODUCTION</w:t>
      </w:r>
    </w:p>
    <w:bookmarkEnd w:id="3"/>
    <w:bookmarkEnd w:id="4"/>
    <w:p w:rsidR="003A3061" w:rsidRPr="00BB11AF" w:rsidRDefault="003A3061">
      <w:pPr>
        <w:jc w:val="both"/>
      </w:pPr>
    </w:p>
    <w:p w:rsidR="003A3061" w:rsidRPr="00BB11AF" w:rsidRDefault="003A3061">
      <w:pPr>
        <w:jc w:val="both"/>
      </w:pPr>
    </w:p>
    <w:p w:rsidR="003A3061" w:rsidRPr="00BB11AF" w:rsidRDefault="003A3061" w:rsidP="003A3061">
      <w:pPr>
        <w:pStyle w:val="suite"/>
      </w:pPr>
      <w:r w:rsidRPr="00BB11AF">
        <w:t xml:space="preserve">Par </w:t>
      </w:r>
      <w:r>
        <w:t>André TREMBLAY</w:t>
      </w:r>
    </w:p>
    <w:p w:rsidR="003A3061" w:rsidRPr="00BB11AF" w:rsidRDefault="003A3061" w:rsidP="003A3061">
      <w:pPr>
        <w:pStyle w:val="auteurst"/>
      </w:pPr>
      <w:r w:rsidRPr="00BB11AF">
        <w:t>Président de l’ACSALF</w:t>
      </w:r>
    </w:p>
    <w:p w:rsidR="003A3061" w:rsidRPr="00BB11AF" w:rsidRDefault="003A3061" w:rsidP="003A3061">
      <w:pPr>
        <w:pStyle w:val="suite"/>
      </w:pPr>
      <w:r w:rsidRPr="00BB11AF">
        <w:t>Marie-Claude RAINCE</w:t>
      </w:r>
    </w:p>
    <w:p w:rsidR="003A3061" w:rsidRPr="00BB11AF" w:rsidRDefault="003A3061" w:rsidP="003A3061">
      <w:pPr>
        <w:pStyle w:val="auteurst"/>
      </w:pPr>
      <w:r w:rsidRPr="00BB11AF">
        <w:t>VICE-PrésidentE de l’ACSALF</w:t>
      </w:r>
    </w:p>
    <w:p w:rsidR="003A3061" w:rsidRPr="00BB11AF" w:rsidRDefault="003A3061">
      <w:pPr>
        <w:jc w:val="both"/>
      </w:pPr>
    </w:p>
    <w:p w:rsidR="003A3061" w:rsidRPr="00BB11AF" w:rsidRDefault="003A3061">
      <w:pPr>
        <w:jc w:val="both"/>
      </w:pPr>
    </w:p>
    <w:p w:rsidR="003A3061" w:rsidRPr="00BB11AF" w:rsidRDefault="003A3061">
      <w:pPr>
        <w:jc w:val="both"/>
      </w:pPr>
    </w:p>
    <w:p w:rsidR="003A3061" w:rsidRPr="00BB11AF" w:rsidRDefault="003A3061">
      <w:pPr>
        <w:ind w:right="90" w:firstLine="0"/>
        <w:jc w:val="both"/>
        <w:rPr>
          <w:sz w:val="20"/>
        </w:rPr>
      </w:pPr>
      <w:hyperlink w:anchor="tdm" w:history="1">
        <w:r w:rsidRPr="00BB11AF">
          <w:rPr>
            <w:rStyle w:val="Lienhypertexte"/>
            <w:sz w:val="20"/>
          </w:rPr>
          <w:t>Retour à la table des matières</w:t>
        </w:r>
      </w:hyperlink>
    </w:p>
    <w:p w:rsidR="003A3061" w:rsidRPr="00BB11AF" w:rsidRDefault="00356B29" w:rsidP="003A3061">
      <w:pPr>
        <w:spacing w:before="120" w:after="120"/>
        <w:jc w:val="both"/>
      </w:pPr>
      <w:r w:rsidRPr="00BB11AF">
        <w:rPr>
          <w:noProof/>
          <w:lang w:val="fr-FR" w:eastAsia="fr-FR"/>
        </w:rPr>
        <w:drawing>
          <wp:anchor distT="0" distB="0" distL="63500" distR="182880" simplePos="0" relativeHeight="251656704" behindDoc="1" locked="0" layoutInCell="1" allowOverlap="0">
            <wp:simplePos x="0" y="0"/>
            <wp:positionH relativeFrom="margin">
              <wp:posOffset>89535</wp:posOffset>
            </wp:positionH>
            <wp:positionV relativeFrom="margin">
              <wp:posOffset>4688840</wp:posOffset>
            </wp:positionV>
            <wp:extent cx="1130300" cy="787400"/>
            <wp:effectExtent l="25400" t="25400" r="12700" b="12700"/>
            <wp:wrapTight wrapText="bothSides">
              <wp:wrapPolygon edited="0">
                <wp:start x="-485" y="-697"/>
                <wp:lineTo x="-485" y="21948"/>
                <wp:lineTo x="21843" y="21948"/>
                <wp:lineTo x="21843" y="-697"/>
                <wp:lineTo x="-485" y="-697"/>
              </wp:wrapPolygon>
            </wp:wrapTight>
            <wp:docPr id="27" name="Image 13"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image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0300" cy="7874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3A3061" w:rsidRPr="00BB11AF">
        <w:t>La crise est à la fois une notion et un phénomène qui en est venu à prendre une place de plus en plus prépondérante au cours des derni</w:t>
      </w:r>
      <w:r w:rsidR="003A3061" w:rsidRPr="00BB11AF">
        <w:t>è</w:t>
      </w:r>
      <w:r w:rsidR="003A3061" w:rsidRPr="00BB11AF">
        <w:t>res années. C'est celle de 2007-2008, la plus importante crise écon</w:t>
      </w:r>
      <w:r w:rsidR="003A3061" w:rsidRPr="00BB11AF">
        <w:t>o</w:t>
      </w:r>
      <w:r w:rsidR="003A3061" w:rsidRPr="00BB11AF">
        <w:t>mique et financière d</w:t>
      </w:r>
      <w:r w:rsidR="003A3061" w:rsidRPr="00BB11AF">
        <w:t>e</w:t>
      </w:r>
      <w:r w:rsidR="003A3061" w:rsidRPr="00BB11AF">
        <w:t>puis 1929, qui a inspiré l'ACSALF dans le choix du thème de son co</w:t>
      </w:r>
      <w:r w:rsidR="003A3061" w:rsidRPr="00BB11AF">
        <w:t>l</w:t>
      </w:r>
      <w:r w:rsidR="003A3061" w:rsidRPr="00BB11AF">
        <w:t>loque de 2012. La crise qui a secoué le monde arabe et que l'on a appelée sous le nom roma</w:t>
      </w:r>
      <w:r w:rsidR="003A3061" w:rsidRPr="00BB11AF">
        <w:t>n</w:t>
      </w:r>
      <w:r w:rsidR="003A3061" w:rsidRPr="00BB11AF">
        <w:t>tique de « Printemps arabes » n'a fait qu'ajouter une autre dimension, co</w:t>
      </w:r>
      <w:r w:rsidR="003A3061" w:rsidRPr="00BB11AF">
        <w:t>m</w:t>
      </w:r>
      <w:r w:rsidR="003A3061" w:rsidRPr="00BB11AF">
        <w:t>plexification, à la notion qui nous avait inspirés. Une des difficultés de publier un o</w:t>
      </w:r>
      <w:r w:rsidR="003A3061" w:rsidRPr="00BB11AF">
        <w:t>u</w:t>
      </w:r>
      <w:r w:rsidR="003A3061" w:rsidRPr="00BB11AF">
        <w:t>vrage sur la crise contemporaine tient au fait qu'elle semble sans fin, constamment renouvelée et mult</w:t>
      </w:r>
      <w:r w:rsidR="003A3061" w:rsidRPr="00BB11AF">
        <w:t>i</w:t>
      </w:r>
      <w:r w:rsidR="003A3061" w:rsidRPr="00BB11AF">
        <w:t>forme. L'Europe, par exemple, n'est toujours pas sortie de la « crise » économique de 2008 alors que les États-Unis, d'où pourtant elle pr</w:t>
      </w:r>
      <w:r w:rsidR="003A3061" w:rsidRPr="00BB11AF">
        <w:t>o</w:t>
      </w:r>
      <w:r w:rsidR="003A3061" w:rsidRPr="00BB11AF">
        <w:t>vient, claironnent leur prospérité retrouvée. Quant aux Printemps ar</w:t>
      </w:r>
      <w:r w:rsidR="003A3061" w:rsidRPr="00BB11AF">
        <w:t>a</w:t>
      </w:r>
      <w:r w:rsidR="003A3061" w:rsidRPr="00BB11AF">
        <w:t>bes, il y a longtemps que l'on n'évoque plus les e</w:t>
      </w:r>
      <w:r w:rsidR="003A3061" w:rsidRPr="00BB11AF">
        <w:t>s</w:t>
      </w:r>
      <w:r w:rsidR="003A3061" w:rsidRPr="00BB11AF">
        <w:t>poirs qu'ils ont fait naître. Malgré la singularité de chaque cas, les crises politiques et s</w:t>
      </w:r>
      <w:r w:rsidR="003A3061" w:rsidRPr="00BB11AF">
        <w:t>o</w:t>
      </w:r>
      <w:r w:rsidR="003A3061" w:rsidRPr="00BB11AF">
        <w:t xml:space="preserve">ciales, </w:t>
      </w:r>
      <w:r w:rsidR="003A3061" w:rsidRPr="00BB11AF">
        <w:lastRenderedPageBreak/>
        <w:t>voire économiques, ne se sont pas tues pour autant et elles continuent à tr</w:t>
      </w:r>
      <w:r w:rsidR="003A3061" w:rsidRPr="00BB11AF">
        <w:t>a</w:t>
      </w:r>
      <w:r w:rsidR="003A3061" w:rsidRPr="00BB11AF">
        <w:t>vailler ces territoires et ces sociétés. L'Égypte, après une élection d</w:t>
      </w:r>
      <w:r w:rsidR="003A3061" w:rsidRPr="00BB11AF">
        <w:t>é</w:t>
      </w:r>
      <w:r w:rsidR="003A3061" w:rsidRPr="00BB11AF">
        <w:t>mocratique ayant porté au pouvoir les Frères musu</w:t>
      </w:r>
      <w:r w:rsidR="003A3061" w:rsidRPr="00BB11AF">
        <w:t>l</w:t>
      </w:r>
      <w:r w:rsidR="003A3061" w:rsidRPr="00BB11AF">
        <w:t>mans, est revenue à un gouvernement dirigé par un ancien gén</w:t>
      </w:r>
      <w:r w:rsidR="003A3061" w:rsidRPr="00BB11AF">
        <w:t>é</w:t>
      </w:r>
      <w:r w:rsidR="003A3061" w:rsidRPr="00BB11AF">
        <w:t>ral à la suite d'une prise de pouvoir des plus controversée. La Syrie, dont le dirigeant s'accr</w:t>
      </w:r>
      <w:r w:rsidR="003A3061" w:rsidRPr="00BB11AF">
        <w:t>o</w:t>
      </w:r>
      <w:r w:rsidR="003A3061" w:rsidRPr="00BB11AF">
        <w:t>che au pouvoir sans concession, est en proie à une guerre civile sa</w:t>
      </w:r>
      <w:r w:rsidR="003A3061" w:rsidRPr="00BB11AF">
        <w:t>n</w:t>
      </w:r>
      <w:r w:rsidR="003A3061" w:rsidRPr="00BB11AF">
        <w:t>glante qui a peu à peu dégénéré en conflit régional avec l'appar</w:t>
      </w:r>
      <w:r w:rsidR="003A3061" w:rsidRPr="00BB11AF">
        <w:t>i</w:t>
      </w:r>
      <w:r w:rsidR="003A3061" w:rsidRPr="00BB11AF">
        <w:t>tion de l'État islamique et l'intervention aérienne d'une coalition internationale regroupant, notamment, le C</w:t>
      </w:r>
      <w:r w:rsidR="003A3061" w:rsidRPr="00BB11AF">
        <w:t>a</w:t>
      </w:r>
      <w:r w:rsidR="003A3061" w:rsidRPr="00BB11AF">
        <w:t>nada, la France et les États-Unis. Enfin, si une partie significative du Monde arabe semblait en révolte, l'év</w:t>
      </w:r>
      <w:r w:rsidR="003A3061" w:rsidRPr="00BB11AF">
        <w:t>o</w:t>
      </w:r>
      <w:r w:rsidR="003A3061" w:rsidRPr="00BB11AF">
        <w:t>cation même d'un « printemps », lui, semble désormais grotesque ; sauf peut-être pour la Tunisie qui a r</w:t>
      </w:r>
      <w:r w:rsidR="003A3061" w:rsidRPr="00BB11AF">
        <w:t>é</w:t>
      </w:r>
      <w:r w:rsidR="003A3061" w:rsidRPr="00BB11AF">
        <w:t>sisté à l'anarchie de son proche voisin, la Libye, et a su tenir des élections démocratiques où l'alternance a été respectée. Malgré sa prépondéra</w:t>
      </w:r>
      <w:r w:rsidR="003A3061" w:rsidRPr="00BB11AF">
        <w:t>n</w:t>
      </w:r>
      <w:r w:rsidR="003A3061" w:rsidRPr="00BB11AF">
        <w:t>ce, notamment dans n</w:t>
      </w:r>
      <w:r w:rsidR="003A3061" w:rsidRPr="00BB11AF">
        <w:t>o</w:t>
      </w:r>
      <w:r w:rsidR="003A3061" w:rsidRPr="00BB11AF">
        <w:t>tre</w:t>
      </w:r>
      <w:r w:rsidR="003A3061">
        <w:t xml:space="preserve"> </w:t>
      </w:r>
      <w:r w:rsidR="003A3061" w:rsidRPr="00BB11AF">
        <w:t>[2]</w:t>
      </w:r>
      <w:r w:rsidR="003A3061">
        <w:t xml:space="preserve"> </w:t>
      </w:r>
      <w:r w:rsidR="003A3061" w:rsidRPr="00BB11AF">
        <w:t>effort pour circonscrire le thème de la crise en se focalisant sur une région du monde qui a connu son lot de crises, nous ne nous en sommes pas tenus au seul « cas » arabe. Nos conférenciers nous ont pr</w:t>
      </w:r>
      <w:r w:rsidR="003A3061" w:rsidRPr="00BB11AF">
        <w:t>é</w:t>
      </w:r>
      <w:r w:rsidR="003A3061" w:rsidRPr="00BB11AF">
        <w:t>senté la situation du Japon, de l'Argentine, de l'Australie, de la Som</w:t>
      </w:r>
      <w:r w:rsidR="003A3061" w:rsidRPr="00BB11AF">
        <w:t>a</w:t>
      </w:r>
      <w:r w:rsidR="003A3061" w:rsidRPr="00BB11AF">
        <w:t>lie et du Québec, notamment.</w:t>
      </w:r>
    </w:p>
    <w:p w:rsidR="003A3061" w:rsidRPr="00BB11AF" w:rsidRDefault="003A3061" w:rsidP="003A3061">
      <w:pPr>
        <w:spacing w:before="120" w:after="120"/>
        <w:jc w:val="both"/>
      </w:pPr>
      <w:r w:rsidRPr="00BB11AF">
        <w:t>Au moment même où le colloque se déroulait à Montréal, un év</w:t>
      </w:r>
      <w:r w:rsidRPr="00BB11AF">
        <w:t>é</w:t>
      </w:r>
      <w:r w:rsidRPr="00BB11AF">
        <w:t>nement local, en fait toute une série d'événements, s'était elle aussi aussi value une étiquette printanière. Le « Printemps érable », par h</w:t>
      </w:r>
      <w:r w:rsidRPr="00BB11AF">
        <w:t>o</w:t>
      </w:r>
      <w:r w:rsidRPr="00BB11AF">
        <w:t>mophonie plus que par le goût, s'inscrivait davantage que les mouv</w:t>
      </w:r>
      <w:r w:rsidRPr="00BB11AF">
        <w:t>e</w:t>
      </w:r>
      <w:r w:rsidRPr="00BB11AF">
        <w:t>ments moyen-orientaux dans une contestation du capitalisme et plus spécifiquement du néo-libéralisme. Il était donc plus proche d'Occupy Wall Street ou du mouvement des Indignados espagnols que des o</w:t>
      </w:r>
      <w:r w:rsidRPr="00BB11AF">
        <w:t>c</w:t>
      </w:r>
      <w:r w:rsidRPr="00BB11AF">
        <w:t>cupants de la place Tahrir. Pendant de longs mois, au Québec, les c</w:t>
      </w:r>
      <w:r w:rsidRPr="00BB11AF">
        <w:t>é</w:t>
      </w:r>
      <w:r w:rsidRPr="00BB11AF">
        <w:t>geps et les universités se sont trouvés soit en grève, soit le lieu de m</w:t>
      </w:r>
      <w:r w:rsidRPr="00BB11AF">
        <w:t>a</w:t>
      </w:r>
      <w:r w:rsidRPr="00BB11AF">
        <w:t>nifestations.</w:t>
      </w:r>
    </w:p>
    <w:p w:rsidR="003A3061" w:rsidRPr="00BB11AF" w:rsidRDefault="003A3061" w:rsidP="003A3061">
      <w:pPr>
        <w:spacing w:before="120" w:after="120"/>
        <w:jc w:val="both"/>
      </w:pPr>
      <w:r w:rsidRPr="00BB11AF">
        <w:t>Presque trois ans se sont déroulés depuis la tenue du colloque et nous n'avons pas tenté de mettre à jour les textes du colloque en fon</w:t>
      </w:r>
      <w:r w:rsidRPr="00BB11AF">
        <w:t>c</w:t>
      </w:r>
      <w:r w:rsidRPr="00BB11AF">
        <w:t>tion de récents développements. En effet, ce serait s'e</w:t>
      </w:r>
      <w:r w:rsidRPr="00BB11AF">
        <w:t>n</w:t>
      </w:r>
      <w:r w:rsidRPr="00BB11AF">
        <w:t>gager dans une tâche sans fin qui ne rendrait pas justice aux contributions de nos a</w:t>
      </w:r>
      <w:r w:rsidRPr="00BB11AF">
        <w:t>u</w:t>
      </w:r>
      <w:r w:rsidRPr="00BB11AF">
        <w:t>teurs. Celles-ci d'ailleurs dépassent le diktat de l'actualité tout en re</w:t>
      </w:r>
      <w:r w:rsidRPr="00BB11AF">
        <w:t>s</w:t>
      </w:r>
      <w:r w:rsidRPr="00BB11AF">
        <w:t>tant pertinentes pour comprendre les sociétés contemporaines. Si l'empiricité de la crise constituait un aspect important des analyses que nous souhaitions mettre de l'avant, les auteurs ont néanmoins su s'e</w:t>
      </w:r>
      <w:r w:rsidRPr="00BB11AF">
        <w:t>x</w:t>
      </w:r>
      <w:r w:rsidRPr="00BB11AF">
        <w:t xml:space="preserve">tirper des processus empiriques afin de les réinscrire, plus largement, </w:t>
      </w:r>
      <w:r w:rsidRPr="00BB11AF">
        <w:lastRenderedPageBreak/>
        <w:t>dans des théorisations ayant trait au changement social, culturel et p</w:t>
      </w:r>
      <w:r w:rsidRPr="00BB11AF">
        <w:t>o</w:t>
      </w:r>
      <w:r w:rsidRPr="00BB11AF">
        <w:t>litique. La réflexion s'est également faite de manière plus générale en revisitant non seulement des théorisations, mais aussi en prop</w:t>
      </w:r>
      <w:r w:rsidRPr="00BB11AF">
        <w:t>o</w:t>
      </w:r>
      <w:r w:rsidRPr="00BB11AF">
        <w:t>sant et développant des conceptualisations originales.</w:t>
      </w:r>
    </w:p>
    <w:p w:rsidR="003A3061" w:rsidRPr="00BB11AF" w:rsidRDefault="003A3061" w:rsidP="003A3061">
      <w:pPr>
        <w:spacing w:before="120" w:after="120"/>
        <w:jc w:val="both"/>
      </w:pPr>
      <w:r w:rsidRPr="00BB11AF">
        <w:t>Il est important de rappeler que dans cette entreprise nous nous heurtions en premier lieu à un défi de taille, celui de définir ce que nous entendions par le vocable de crise. La portée infl</w:t>
      </w:r>
      <w:r w:rsidRPr="00BB11AF">
        <w:t>a</w:t>
      </w:r>
      <w:r w:rsidRPr="00BB11AF">
        <w:t>tionniste de ce terme nous proscrit en effet d'en donner une déf</w:t>
      </w:r>
      <w:r w:rsidRPr="00BB11AF">
        <w:t>i</w:t>
      </w:r>
      <w:r w:rsidRPr="00BB11AF">
        <w:t>nition unique et figée. Ainsi, nous pouvons comprendre la crise aussi bien en tant qu'éthos, discours ou technologie de gouve</w:t>
      </w:r>
      <w:r w:rsidRPr="00BB11AF">
        <w:t>r</w:t>
      </w:r>
      <w:r w:rsidRPr="00BB11AF">
        <w:t>nement. Elle s'allie fréquemment à des mesures exceptionnelles ou encore elle sert de prétexte à la mise en œuvre de politiques parfois difficilement légitimes. De même, elle peut être économique aussi bien que sociale, se centre sur les indiv</w:t>
      </w:r>
      <w:r w:rsidRPr="00BB11AF">
        <w:t>i</w:t>
      </w:r>
      <w:r w:rsidRPr="00BB11AF">
        <w:t>dus comme sur les sociétés. De facto, divers niveaux d'analyse étaient esse</w:t>
      </w:r>
      <w:r w:rsidRPr="00BB11AF">
        <w:t>n</w:t>
      </w:r>
      <w:r w:rsidRPr="00BB11AF">
        <w:t>tiels pour saisir non seulement l'idée de crise, mais aussi pour comprendre sa nature, ses sens, ses configurations et structures, dans toute leur complexité. En ce sens, il était nécessaire de s'a</w:t>
      </w:r>
      <w:r w:rsidRPr="00BB11AF">
        <w:t>t</w:t>
      </w:r>
      <w:r w:rsidRPr="00BB11AF">
        <w:t>tacher aux multiples formes contemporaines de la crise, mais aussi de compre</w:t>
      </w:r>
      <w:r w:rsidRPr="00BB11AF">
        <w:t>n</w:t>
      </w:r>
      <w:r w:rsidRPr="00BB11AF">
        <w:t>dre comment nous en sommes venus à utiliser ce mot pour dés</w:t>
      </w:r>
      <w:r w:rsidRPr="00BB11AF">
        <w:t>i</w:t>
      </w:r>
      <w:r w:rsidRPr="00BB11AF">
        <w:t>gner certains de ces mouvements de société. Si la crise, de par sa déf</w:t>
      </w:r>
      <w:r w:rsidRPr="00BB11AF">
        <w:t>i</w:t>
      </w:r>
      <w:r w:rsidRPr="00BB11AF">
        <w:t>nition même, a longtemps appartenu au seul domaine médical et, de ce fait, supposait que le retour à l'état antérieur soit une des issues possibles sinon souhaitées de l'après-crise, son introduction dans les sciences sociales fait l'impasse sur cette éventuelle récupération. Ainsi, Koss</w:t>
      </w:r>
      <w:r w:rsidRPr="00BB11AF">
        <w:t>e</w:t>
      </w:r>
      <w:r w:rsidRPr="00BB11AF">
        <w:t>leck et Richter (2006) repèrent en Angleterre dès 1627 un premier us</w:t>
      </w:r>
      <w:r w:rsidRPr="00BB11AF">
        <w:t>a</w:t>
      </w:r>
      <w:r w:rsidRPr="00BB11AF">
        <w:t>ge de la notion de « crise » [3] dans un contexte politique précis ; nous sommes à l'aube de la première révolution anglaise et si le pa</w:t>
      </w:r>
      <w:r w:rsidRPr="00BB11AF">
        <w:t>r</w:t>
      </w:r>
      <w:r w:rsidRPr="00BB11AF">
        <w:t>lementarisme a finalement su stabiliser le système politique britann</w:t>
      </w:r>
      <w:r w:rsidRPr="00BB11AF">
        <w:t>i</w:t>
      </w:r>
      <w:r w:rsidRPr="00BB11AF">
        <w:t>que, il ne constitue en rien un r</w:t>
      </w:r>
      <w:r w:rsidRPr="00BB11AF">
        <w:t>e</w:t>
      </w:r>
      <w:r w:rsidRPr="00BB11AF">
        <w:t>tour à un état antérieur ni la fin de l'histoire. Ainsi, son usage en sciences sociales et humaines à propr</w:t>
      </w:r>
      <w:r w:rsidRPr="00BB11AF">
        <w:t>e</w:t>
      </w:r>
      <w:r w:rsidRPr="00BB11AF">
        <w:t>ment parler apparaît sensiblement à la même époque pour les hist</w:t>
      </w:r>
      <w:r w:rsidRPr="00BB11AF">
        <w:t>o</w:t>
      </w:r>
      <w:r w:rsidRPr="00BB11AF">
        <w:t>riens Hobsbawm (1954) et Trevor-Roper (1959). En France, c'est se</w:t>
      </w:r>
      <w:r w:rsidRPr="00BB11AF">
        <w:t>u</w:t>
      </w:r>
      <w:r w:rsidRPr="00BB11AF">
        <w:t>lement à la fin du XVIII</w:t>
      </w:r>
      <w:r w:rsidRPr="00BB11AF">
        <w:rPr>
          <w:vertAlign w:val="superscript"/>
        </w:rPr>
        <w:t>e</w:t>
      </w:r>
      <w:r w:rsidRPr="00BB11AF">
        <w:t xml:space="preserve"> siècle, un peu avant 1789, qu'un même usage en est fait (Cullen 1993). Des usages qui soulignent tous, la relation intime entre les notions de crise et de révolution. Sans croire que les crises sont nécessairement annonciatr</w:t>
      </w:r>
      <w:r w:rsidRPr="00BB11AF">
        <w:t>i</w:t>
      </w:r>
      <w:r w:rsidRPr="00BB11AF">
        <w:t>ces de révolutions à venir, il semble assuré que la notion de crise en sciences sociales n'est pas s</w:t>
      </w:r>
      <w:r w:rsidRPr="00BB11AF">
        <w:t>i</w:t>
      </w:r>
      <w:r w:rsidRPr="00BB11AF">
        <w:t xml:space="preserve">gne d'un simple malaise passager dont on recouvrera et que la notion </w:t>
      </w:r>
      <w:r w:rsidRPr="00BB11AF">
        <w:lastRenderedPageBreak/>
        <w:t>de « sortie de crise » a peu à voir avec celle de « rétablissement » pr</w:t>
      </w:r>
      <w:r w:rsidRPr="00BB11AF">
        <w:t>o</w:t>
      </w:r>
      <w:r w:rsidRPr="00BB11AF">
        <w:t>pre à la médecine sans pour autant l'excl</w:t>
      </w:r>
      <w:r w:rsidRPr="00BB11AF">
        <w:t>u</w:t>
      </w:r>
      <w:r w:rsidRPr="00BB11AF">
        <w:t>re tout à fait.</w:t>
      </w:r>
    </w:p>
    <w:p w:rsidR="003A3061" w:rsidRPr="00BB11AF" w:rsidRDefault="003A3061" w:rsidP="003A3061">
      <w:pPr>
        <w:spacing w:before="120" w:after="120"/>
        <w:jc w:val="both"/>
      </w:pPr>
      <w:r w:rsidRPr="00BB11AF">
        <w:t>Dans la littérature contemporaine, trois appréhensions de la crise se sont dégagées : a) la crise en tant que rupture dans le prévisible (Arendt 1972 ; Balandier 1971a, 1971b) ; b) la crise en tant que source de transformations majeures (Gluckman 1955, 1963 ; Kapferer 2004, 2005 ; Turner 1969, 1974) ; c) la crise en tant qu'effet de processus ingouvernables (Hall et al. 1978). Toutes la situent dans un processus et nous invitent à le comprendre. C'est ce nos auteurs ont fait.</w:t>
      </w:r>
    </w:p>
    <w:p w:rsidR="003A3061" w:rsidRPr="00BB11AF" w:rsidRDefault="003A3061" w:rsidP="003A3061">
      <w:pPr>
        <w:spacing w:before="120" w:after="120"/>
        <w:jc w:val="both"/>
      </w:pPr>
      <w:r w:rsidRPr="00BB11AF">
        <w:t>Les textes de Sophie Bessis, Zakaria Rhani et Samir Saul s'adre</w:t>
      </w:r>
      <w:r w:rsidRPr="00BB11AF">
        <w:t>s</w:t>
      </w:r>
      <w:r w:rsidRPr="00BB11AF">
        <w:t>sent plus particulièrement au mouvement de transformation de soci</w:t>
      </w:r>
      <w:r w:rsidRPr="00BB11AF">
        <w:t>é</w:t>
      </w:r>
      <w:r w:rsidRPr="00BB11AF">
        <w:t>tés arabo-musulmanes, la Tunisie, le Maroc et l'Égypte. L'analyse de Bessis repose sur une question centrale : « Comment les acteurs de la transition traitent-ils cet arc de cr</w:t>
      </w:r>
      <w:r w:rsidRPr="00BB11AF">
        <w:t>i</w:t>
      </w:r>
      <w:r w:rsidRPr="00BB11AF">
        <w:t>se et pour tenter d’en faire émerger quel type de société ? ». Plus généralement, cette question soulève un débat sur l'identité dans le monde arabe. Un débat que l'histoire réce</w:t>
      </w:r>
      <w:r w:rsidRPr="00BB11AF">
        <w:t>n</w:t>
      </w:r>
      <w:r w:rsidRPr="00BB11AF">
        <w:t>te nous a fait voir à partir du point de vue des pays occidentaux avec la montée du populisme identitaire. Il ne s'agit pas d'un simple effet miroir, mais d'une problématique à la fois fondamentale et spéc</w:t>
      </w:r>
      <w:r w:rsidRPr="00BB11AF">
        <w:t>i</w:t>
      </w:r>
      <w:r w:rsidRPr="00BB11AF">
        <w:t>fique. L'élimination des dictateurs est l'occasion de mettre en place un « nouveau monde ». Celui-ci doit-il se construire en rupture avec la vision du modernisme que bien des dictateurs prônait, c'est-à-dire une version qui laissait plus de place au libéralisme économique qu'à la démocratie ? Ou encore est-ce l'occasion d'un retour de la Tunisie à ses sources culturelles et religieuses ? Telles sont les interrogations qui guident ce texte.</w:t>
      </w:r>
    </w:p>
    <w:p w:rsidR="003A3061" w:rsidRPr="00BB11AF" w:rsidRDefault="003A3061" w:rsidP="003A3061">
      <w:pPr>
        <w:spacing w:before="120" w:after="120"/>
        <w:jc w:val="both"/>
      </w:pPr>
      <w:r w:rsidRPr="00BB11AF">
        <w:t>C'est sous cet angle, celui d'un certain « retour de l'islam », que Rhani aborde sa réflexion. Il réfère à la prise de pouvoir démocratique des partis islamistes en Égypte, au Maroc et en Tunisie. Loin d'en s</w:t>
      </w:r>
      <w:r w:rsidRPr="00BB11AF">
        <w:t>i</w:t>
      </w:r>
      <w:r w:rsidRPr="00BB11AF">
        <w:t>tuer l'émergence exclusive dans les mo</w:t>
      </w:r>
      <w:r w:rsidRPr="00BB11AF">
        <w:t>u</w:t>
      </w:r>
      <w:r w:rsidRPr="00BB11AF">
        <w:t>vements de révolte, il nous rappelle que ce retour a commencé par une révolution islamiste en Iran, il y a plus de quatre déce</w:t>
      </w:r>
      <w:r w:rsidRPr="00BB11AF">
        <w:t>n</w:t>
      </w:r>
      <w:r w:rsidRPr="00BB11AF">
        <w:t>nies. Une révolution parmi d'autres qui ont marqué l'histoire de l'Islam qui fut elle aussi marquée par bien des bifurcations et même quelques branchements dont la Fitna est la plus signific</w:t>
      </w:r>
      <w:r w:rsidRPr="00BB11AF">
        <w:t>a</w:t>
      </w:r>
      <w:r w:rsidRPr="00BB11AF">
        <w:t>tive, accoucheuse d'histoire. Une histoire riche qu'on ramène trop souvent à une vision essentialiste, univoque. Au contraire, la r</w:t>
      </w:r>
      <w:r w:rsidRPr="00BB11AF">
        <w:t>é</w:t>
      </w:r>
      <w:r w:rsidRPr="00BB11AF">
        <w:t>volution iranienne n'est [4] pas un simple retour, une renaissance, mais une refondation inspirée tant de la tradition que d'une vision m</w:t>
      </w:r>
      <w:r w:rsidRPr="00BB11AF">
        <w:t>o</w:t>
      </w:r>
      <w:r w:rsidRPr="00BB11AF">
        <w:lastRenderedPageBreak/>
        <w:t>derniste contestant l'ordre établi, celui de l'impérialisme. Une bifurc</w:t>
      </w:r>
      <w:r w:rsidRPr="00BB11AF">
        <w:t>a</w:t>
      </w:r>
      <w:r w:rsidRPr="00BB11AF">
        <w:t>tion plutôt qu'une renai</w:t>
      </w:r>
      <w:r w:rsidRPr="00BB11AF">
        <w:t>s</w:t>
      </w:r>
      <w:r w:rsidRPr="00BB11AF">
        <w:t>sance donc. Comme le dit si bien Zakaria Rhani : « Ce faisant, le retour de l'islam, annoncé en pompe par L</w:t>
      </w:r>
      <w:r w:rsidRPr="00BB11AF">
        <w:t>e</w:t>
      </w:r>
      <w:r w:rsidRPr="00BB11AF">
        <w:t>wis, est en fait un détour, politique et idéologique, à travers une ce</w:t>
      </w:r>
      <w:r w:rsidRPr="00BB11AF">
        <w:t>r</w:t>
      </w:r>
      <w:r w:rsidRPr="00BB11AF">
        <w:t>taine vision de l'histoire dont on puise des symboles, des récits, des mythes pour donner sens à des prises de position actuelles ». Une le</w:t>
      </w:r>
      <w:r w:rsidRPr="00BB11AF">
        <w:t>c</w:t>
      </w:r>
      <w:r w:rsidRPr="00BB11AF">
        <w:t>ture qu'il étend aux mouvements islami</w:t>
      </w:r>
      <w:r w:rsidRPr="00BB11AF">
        <w:t>s</w:t>
      </w:r>
      <w:r w:rsidRPr="00BB11AF">
        <w:t>tes issus des Printemps arabes et qui en prendront la direction un ce</w:t>
      </w:r>
      <w:r w:rsidRPr="00BB11AF">
        <w:t>r</w:t>
      </w:r>
      <w:r w:rsidRPr="00BB11AF">
        <w:t>tain temps.</w:t>
      </w:r>
    </w:p>
    <w:p w:rsidR="003A3061" w:rsidRPr="00BB11AF" w:rsidRDefault="003A3061" w:rsidP="003A3061">
      <w:pPr>
        <w:spacing w:before="120" w:after="120"/>
        <w:ind w:firstLine="0"/>
        <w:jc w:val="both"/>
      </w:pPr>
      <w:r w:rsidRPr="00BB11AF">
        <w:t>Samir Saul s'interroge également sur l'actualité des crises du pri</w:t>
      </w:r>
      <w:r w:rsidRPr="00BB11AF">
        <w:t>n</w:t>
      </w:r>
      <w:r w:rsidRPr="00BB11AF">
        <w:t>temps arabe. Il tente d'établir le lien entre la crise économ</w:t>
      </w:r>
      <w:r w:rsidRPr="00BB11AF">
        <w:t>i</w:t>
      </w:r>
      <w:r w:rsidRPr="00BB11AF">
        <w:t>que de 2008 et la crise politique de 2011 en Égypte. Il n'en fait certes pas un simple rapport de causalité. En effet, la montée du néolibéralisme en Occ</w:t>
      </w:r>
      <w:r w:rsidRPr="00BB11AF">
        <w:t>i</w:t>
      </w:r>
      <w:r w:rsidRPr="00BB11AF">
        <w:t>dent et la financiarisation de son écon</w:t>
      </w:r>
      <w:r w:rsidRPr="00BB11AF">
        <w:t>o</w:t>
      </w:r>
      <w:r w:rsidRPr="00BB11AF">
        <w:t>mie se sont jouées en parallèle sinon en accord avec le pr</w:t>
      </w:r>
      <w:r w:rsidRPr="00BB11AF">
        <w:t>o</w:t>
      </w:r>
      <w:r w:rsidRPr="00BB11AF">
        <w:t>gramme des ajustements structurels et la critique de l'interve</w:t>
      </w:r>
      <w:r w:rsidRPr="00BB11AF">
        <w:t>n</w:t>
      </w:r>
      <w:r w:rsidRPr="00BB11AF">
        <w:t>tion étatique dans les pays du Sud, notamment l'Égypte. Quel rôle l'échec de l'un a-t-il eu sur le sort de l'autre ? Saul, en bon historien, sait faire ressortir ce qui appartient à une dynamique qui s'inscrit sur plusieurs décennies. Ce qui ressort de cet examen, c'est la mise en évident du caractère à la fois ancré, mais surtout pe</w:t>
      </w:r>
      <w:r w:rsidRPr="00BB11AF">
        <w:t>r</w:t>
      </w:r>
      <w:r w:rsidRPr="00BB11AF">
        <w:t>manent de la crise, sa prise solide dans la longue d</w:t>
      </w:r>
      <w:r w:rsidRPr="00BB11AF">
        <w:t>u</w:t>
      </w:r>
      <w:r w:rsidRPr="00BB11AF">
        <w:t>rée.</w:t>
      </w:r>
    </w:p>
    <w:p w:rsidR="003A3061" w:rsidRPr="00BB11AF" w:rsidRDefault="003A3061" w:rsidP="003A3061">
      <w:pPr>
        <w:spacing w:before="120" w:after="120"/>
        <w:ind w:firstLine="142"/>
        <w:jc w:val="both"/>
      </w:pPr>
      <w:r w:rsidRPr="00BB11AF">
        <w:t>Deux textes s'intéressent à une crise qui s'est étendue bien au-delà de quelques années et qui nous éloigne tant de la crise économique de 2007-2008 que de celle du monde arabe. Malgré quelques éclaircies, le Japon est en crise économique depuis les années 1990. Une crise qui ne l'a pas chassé du troisième rang des économies mondiales, mais en a fait un des pays le plus endettés. Au plan politique, si les gouve</w:t>
      </w:r>
      <w:r w:rsidRPr="00BB11AF">
        <w:t>r</w:t>
      </w:r>
      <w:r w:rsidRPr="00BB11AF">
        <w:t>nements se sont succédés à un rythme effréné depuis 1991 (11 pr</w:t>
      </w:r>
      <w:r w:rsidRPr="00BB11AF">
        <w:t>e</w:t>
      </w:r>
      <w:r w:rsidRPr="00BB11AF">
        <w:t>miers ministres), ils a</w:t>
      </w:r>
      <w:r w:rsidRPr="00BB11AF">
        <w:t>p</w:t>
      </w:r>
      <w:r w:rsidRPr="00BB11AF">
        <w:t>partenaient tous, sauf pour la période de 1993 à 1996, au même parti politique qui est resté au pouvoir depuis 1955, le Parti libéral démocrate, à tendance conservatrice et de droite. L'histo</w:t>
      </w:r>
      <w:r w:rsidRPr="00BB11AF">
        <w:t>i</w:t>
      </w:r>
      <w:r w:rsidRPr="00BB11AF">
        <w:t>re économique du Japon que nous narre Bernard Bernier n'est pas sans nous rappeler les principaux éléments de la crise de 2008 avec ce m</w:t>
      </w:r>
      <w:r w:rsidRPr="00BB11AF">
        <w:t>é</w:t>
      </w:r>
      <w:r w:rsidRPr="00BB11AF">
        <w:t>lange de manœuvres financières et de crise immob</w:t>
      </w:r>
      <w:r w:rsidRPr="00BB11AF">
        <w:t>i</w:t>
      </w:r>
      <w:r w:rsidRPr="00BB11AF">
        <w:t xml:space="preserve">lière, mais elle prend place 18 ans auparavant. Ce dernier nous montre aussi qu'au fil des ans c'est tout un système social qui s'effondre, dont l'emploi à vie. Le lien bien établi depuis la fin de la guerre de Corée entre l'éducation supérieure et le succès dans la vie active se casse en même temps que </w:t>
      </w:r>
      <w:r w:rsidRPr="00BB11AF">
        <w:lastRenderedPageBreak/>
        <w:t>l'espoir des no</w:t>
      </w:r>
      <w:r w:rsidRPr="00BB11AF">
        <w:t>u</w:t>
      </w:r>
      <w:r w:rsidRPr="00BB11AF">
        <w:t>velles générations de travailleurs, tout particulièrement les fe</w:t>
      </w:r>
      <w:r w:rsidRPr="00BB11AF">
        <w:t>m</w:t>
      </w:r>
      <w:r w:rsidRPr="00BB11AF">
        <w:t>mes japonaises.</w:t>
      </w:r>
    </w:p>
    <w:p w:rsidR="003A3061" w:rsidRPr="00BB11AF" w:rsidRDefault="003A3061" w:rsidP="003A3061">
      <w:pPr>
        <w:spacing w:before="120" w:after="120"/>
        <w:jc w:val="both"/>
      </w:pPr>
      <w:r w:rsidRPr="00BB11AF">
        <w:t>C'est à leur situation particulière que Vincent Mirza s'attache. Les femmes japonaises et plus particulièrement les jeunes pr</w:t>
      </w:r>
      <w:r w:rsidRPr="00BB11AF">
        <w:t>o</w:t>
      </w:r>
      <w:r w:rsidRPr="00BB11AF">
        <w:t>fessionnelles qu'il interviewe vivent un double mouvement en bonne partie contr</w:t>
      </w:r>
      <w:r w:rsidRPr="00BB11AF">
        <w:t>a</w:t>
      </w:r>
      <w:r w:rsidRPr="00BB11AF">
        <w:t>dictoire. Alors que l'économie japonaise en crise amène un resserr</w:t>
      </w:r>
      <w:r w:rsidRPr="00BB11AF">
        <w:t>e</w:t>
      </w:r>
      <w:r w:rsidRPr="00BB11AF">
        <w:t>ment de l'emploi et sa flexibilisation, les parcours de ces femmes s'inscrivent dans une dynamique éma</w:t>
      </w:r>
      <w:r w:rsidRPr="00BB11AF">
        <w:t>n</w:t>
      </w:r>
      <w:r w:rsidRPr="00BB11AF">
        <w:t>cipatoire où l'accès au marché du travail et aux bons emplois son centraux. Des jeunes femmes qui cherchent et trouvent [5] dans le travail un sentiment de réalisation de soi qui, traditionnellement, leur était refusé au profit de la vie famili</w:t>
      </w:r>
      <w:r w:rsidRPr="00BB11AF">
        <w:t>a</w:t>
      </w:r>
      <w:r w:rsidRPr="00BB11AF">
        <w:t>le. Son texte nous ra</w:t>
      </w:r>
      <w:r w:rsidRPr="00BB11AF">
        <w:t>p</w:t>
      </w:r>
      <w:r w:rsidRPr="00BB11AF">
        <w:t>pelle que les crises ne sont jamais abstraites et qu'e</w:t>
      </w:r>
      <w:r w:rsidRPr="00BB11AF">
        <w:t>l</w:t>
      </w:r>
      <w:r w:rsidRPr="00BB11AF">
        <w:t>les s'inscrivent dans les parcours de vie de personnes en chair et en os. Des parcours qui sont ici décrits comme ceux de comba</w:t>
      </w:r>
      <w:r w:rsidRPr="00BB11AF">
        <w:t>t</w:t>
      </w:r>
      <w:r w:rsidRPr="00BB11AF">
        <w:t>tantes face à une culture réfractaire.</w:t>
      </w:r>
    </w:p>
    <w:p w:rsidR="003A3061" w:rsidRPr="00BB11AF" w:rsidRDefault="003A3061" w:rsidP="003A3061">
      <w:pPr>
        <w:spacing w:before="120" w:after="120"/>
        <w:jc w:val="both"/>
      </w:pPr>
      <w:r w:rsidRPr="00BB11AF">
        <w:t>Réfractaire, la société somalienne l'est à la transformation du rôle des femmes. Nuru Koki Kyalo passe par l'analyse romane</w:t>
      </w:r>
      <w:r w:rsidRPr="00BB11AF">
        <w:t>s</w:t>
      </w:r>
      <w:r w:rsidRPr="00BB11AF">
        <w:t>que pour nous la faire comprendre. Elle s'appuie principalement sur le roman Née de la côte d'Adam publié en 1970 par Nuru</w:t>
      </w:r>
      <w:r w:rsidRPr="00BB11AF">
        <w:t>d</w:t>
      </w:r>
      <w:r w:rsidRPr="00BB11AF">
        <w:t>din Farah pour nous faire comprendre les ressorts de l'opposition entre les sexes qu'il met en scène dans la plupart de ses romans. Elle démontre comment la r</w:t>
      </w:r>
      <w:r w:rsidRPr="00BB11AF">
        <w:t>é</w:t>
      </w:r>
      <w:r w:rsidRPr="00BB11AF">
        <w:t>alité décrite par Farah reste d'actualité encore aujourd'hui et co</w:t>
      </w:r>
      <w:r w:rsidRPr="00BB11AF">
        <w:t>m</w:t>
      </w:r>
      <w:r w:rsidRPr="00BB11AF">
        <w:t>ment elle génère des crises quot</w:t>
      </w:r>
      <w:r w:rsidRPr="00BB11AF">
        <w:t>i</w:t>
      </w:r>
      <w:r w:rsidRPr="00BB11AF">
        <w:t>diennes, des tentatives d'affirmation et d'autonomie rencontrant des obstacles auxquels l'héroïne doit faire face. La crise ici structure les rapports de genre et les rapports s</w:t>
      </w:r>
      <w:r w:rsidRPr="00BB11AF">
        <w:t>o</w:t>
      </w:r>
      <w:r w:rsidRPr="00BB11AF">
        <w:t>ciaux, en les tr</w:t>
      </w:r>
      <w:r w:rsidRPr="00BB11AF">
        <w:t>a</w:t>
      </w:r>
      <w:r w:rsidRPr="00BB11AF">
        <w:t>vaillant en profondeur.</w:t>
      </w:r>
    </w:p>
    <w:p w:rsidR="003A3061" w:rsidRPr="00BB11AF" w:rsidRDefault="003A3061" w:rsidP="003A3061">
      <w:pPr>
        <w:spacing w:before="120" w:after="120"/>
        <w:jc w:val="both"/>
      </w:pPr>
      <w:r w:rsidRPr="00BB11AF">
        <w:t>Hage et Montera, quant à eux, nous amènent dans l'hémisphère sud. Le premier en Australie où il étudie des phénomènes liés à l'i</w:t>
      </w:r>
      <w:r w:rsidRPr="00BB11AF">
        <w:t>m</w:t>
      </w:r>
      <w:r w:rsidRPr="00BB11AF">
        <w:t>migration et la seconde en Argentine dont elle fait la sociologie polit</w:t>
      </w:r>
      <w:r w:rsidRPr="00BB11AF">
        <w:t>i</w:t>
      </w:r>
      <w:r w:rsidRPr="00BB11AF">
        <w:t>que. Leur méthode aussi bien que les temporal</w:t>
      </w:r>
      <w:r w:rsidRPr="00BB11AF">
        <w:t>i</w:t>
      </w:r>
      <w:r w:rsidRPr="00BB11AF">
        <w:t>tés dans lesquelles ils se situent face à la crise qu'ils analysent son aux antipodes. Ana Sol</w:t>
      </w:r>
      <w:r w:rsidRPr="00BB11AF">
        <w:t>e</w:t>
      </w:r>
      <w:r w:rsidRPr="00BB11AF">
        <w:t>dad Montera nous laisse à voir le processus achevé d'une « sortie de crise ». Elle analyse le di</w:t>
      </w:r>
      <w:r w:rsidRPr="00BB11AF">
        <w:t>s</w:t>
      </w:r>
      <w:r w:rsidRPr="00BB11AF">
        <w:t>cours kirchnériste suite à la crise argentine de 2001 et nous montre comment on a manipulé le discours pour do</w:t>
      </w:r>
      <w:r w:rsidRPr="00BB11AF">
        <w:t>n</w:t>
      </w:r>
      <w:r w:rsidRPr="00BB11AF">
        <w:t>ner l'impression d'une résolution de crise et, dans ses termes, perme</w:t>
      </w:r>
      <w:r w:rsidRPr="00BB11AF">
        <w:t>t</w:t>
      </w:r>
      <w:r w:rsidRPr="00BB11AF">
        <w:t>tre « la recomposition hégémonique du tissu socio-politique arge</w:t>
      </w:r>
      <w:r w:rsidRPr="00BB11AF">
        <w:t>n</w:t>
      </w:r>
      <w:r w:rsidRPr="00BB11AF">
        <w:t>tin » qui l'a suivie. Ici, la crise serait vectrice de changement s</w:t>
      </w:r>
      <w:r w:rsidRPr="00BB11AF">
        <w:t>o</w:t>
      </w:r>
      <w:r w:rsidRPr="00BB11AF">
        <w:t>cial.</w:t>
      </w:r>
    </w:p>
    <w:p w:rsidR="003A3061" w:rsidRDefault="003A3061" w:rsidP="003A3061">
      <w:pPr>
        <w:spacing w:before="120" w:after="120"/>
        <w:jc w:val="both"/>
      </w:pPr>
      <w:r w:rsidRPr="00BB11AF">
        <w:lastRenderedPageBreak/>
        <w:t>Ghassan Flage, pour sa part, utilise l'ethnographie pour fo</w:t>
      </w:r>
      <w:r w:rsidRPr="00BB11AF">
        <w:t>n</w:t>
      </w:r>
      <w:r w:rsidRPr="00BB11AF">
        <w:t>der son analyse, mais ce qu'il nous propose est une compréhe</w:t>
      </w:r>
      <w:r w:rsidRPr="00BB11AF">
        <w:t>n</w:t>
      </w:r>
      <w:r w:rsidRPr="00BB11AF">
        <w:t>sion singulière du développement d'un sentiment anti-immigration chez les Austr</w:t>
      </w:r>
      <w:r w:rsidRPr="00BB11AF">
        <w:t>a</w:t>
      </w:r>
      <w:r w:rsidRPr="00BB11AF">
        <w:t>liens blancs. Pour Hage, qui s'inscrit dans une pensée postmarxiste, la crise ne conduit pas forcément vers la révolution ni à la recherche d'égalité. Au contraire, elle peut bifurquer vers une montée du conse</w:t>
      </w:r>
      <w:r w:rsidRPr="00BB11AF">
        <w:t>r</w:t>
      </w:r>
      <w:r w:rsidRPr="00BB11AF">
        <w:t>vatisme. Il offre ainsi une explication de la montée du populisme ide</w:t>
      </w:r>
      <w:r w:rsidRPr="00BB11AF">
        <w:t>n</w:t>
      </w:r>
      <w:r w:rsidRPr="00BB11AF">
        <w:t>titaire. Plutôt que de se baser sur une notion de position sociale ou de statut, il fait ressortir une action et une dynamique sociale singulière. Ce qui fait qu'une personne éprouve du ressentiment envers les imm</w:t>
      </w:r>
      <w:r w:rsidRPr="00BB11AF">
        <w:t>i</w:t>
      </w:r>
      <w:r w:rsidRPr="00BB11AF">
        <w:t>grants, peu importe sa position sociale, son rang et même son éduc</w:t>
      </w:r>
      <w:r w:rsidRPr="00BB11AF">
        <w:t>a</w:t>
      </w:r>
      <w:r w:rsidRPr="00BB11AF">
        <w:t>tion, c'est qu'elle se sente bloquée dans sa propre progre</w:t>
      </w:r>
      <w:r w:rsidRPr="00BB11AF">
        <w:t>s</w:t>
      </w:r>
      <w:r w:rsidRPr="00BB11AF">
        <w:t>sion, dans son ascension sociale. Selon Hage, le sentiment de n'aller nulle part dans sa vie alimenterait le ressentiment envers les immigrants. On leur reprocherait d'avoir amélioré leur sort alors que les nationaux seraient restés bloqués là où ils étaient, sans espoir d'avancement. L'animosité ne trouve donc pas sa source dans les caractéristiques propres à l'i</w:t>
      </w:r>
      <w:r w:rsidRPr="00BB11AF">
        <w:t>m</w:t>
      </w:r>
      <w:r w:rsidRPr="00BB11AF">
        <w:t>migration, ce qui nous conduit vers une analyse du processus de raci</w:t>
      </w:r>
      <w:r w:rsidRPr="00BB11AF">
        <w:t>a</w:t>
      </w:r>
      <w:r w:rsidRPr="00BB11AF">
        <w:t>lisation par exemple, mais dans des rapports dont le point de départ réside dans l'analyse que l'on fait de sa propre situation.</w:t>
      </w:r>
    </w:p>
    <w:p w:rsidR="003A3061" w:rsidRDefault="003A3061" w:rsidP="003A3061">
      <w:pPr>
        <w:spacing w:before="120" w:after="120"/>
        <w:jc w:val="both"/>
      </w:pPr>
      <w:r w:rsidRPr="00BB11AF">
        <w:t>[6]</w:t>
      </w:r>
    </w:p>
    <w:p w:rsidR="003A3061" w:rsidRDefault="003A3061" w:rsidP="003A3061">
      <w:pPr>
        <w:spacing w:before="120" w:after="120"/>
        <w:jc w:val="both"/>
      </w:pPr>
      <w:r w:rsidRPr="00BB11AF">
        <w:t>Les textes de Gilles Gagné et d'André Tremblay s'inscrivent dans une étude de la dynamique sociale québécoise. Gagné s'inspire du d</w:t>
      </w:r>
      <w:r w:rsidRPr="00BB11AF">
        <w:t>é</w:t>
      </w:r>
      <w:r w:rsidRPr="00BB11AF">
        <w:t>goût provoqué par le dévoilement de la corruption endémique de grands pans de la société québécoise pour pousser la réflexion sur la corru</w:t>
      </w:r>
      <w:r w:rsidRPr="00BB11AF">
        <w:t>p</w:t>
      </w:r>
      <w:r w:rsidRPr="00BB11AF">
        <w:t>tion à un niveau philosophique. Il écrit son texte quelques mois après la mise en place de la Commi</w:t>
      </w:r>
      <w:r w:rsidRPr="00BB11AF">
        <w:t>s</w:t>
      </w:r>
      <w:r w:rsidRPr="00BB11AF">
        <w:t>sion d'enquête sur l'octroi et la gestion des contrats publics dans l'industrie de la construction, mieux connue sous le patronyme de sa présidente la juge France Charbo</w:t>
      </w:r>
      <w:r w:rsidRPr="00BB11AF">
        <w:t>n</w:t>
      </w:r>
      <w:r w:rsidRPr="00BB11AF">
        <w:t>neau. La Commission Charbonneau, dont le mandat concerne la co</w:t>
      </w:r>
      <w:r w:rsidRPr="00BB11AF">
        <w:t>r</w:t>
      </w:r>
      <w:r w:rsidRPr="00BB11AF">
        <w:t>ruption dans l'industrie de la construction, a surtout porté sur le monde mun</w:t>
      </w:r>
      <w:r w:rsidRPr="00BB11AF">
        <w:t>i</w:t>
      </w:r>
      <w:r w:rsidRPr="00BB11AF">
        <w:t>cipal. À la suite de son rapport, plusieurs maires du Québec ont dû démissionner étant donné les révélations qu'on y a entendues, dont le maire de Montréal, la métropole. Après avoir analysé les princip</w:t>
      </w:r>
      <w:r w:rsidRPr="00BB11AF">
        <w:t>a</w:t>
      </w:r>
      <w:r w:rsidRPr="00BB11AF">
        <w:t>les figures de la corruption, Gilles Gagné montre que c'est au cœur même de la société contemporaine que la corru</w:t>
      </w:r>
      <w:r w:rsidRPr="00BB11AF">
        <w:t>p</w:t>
      </w:r>
      <w:r w:rsidRPr="00BB11AF">
        <w:t>tion est installée. Son but est « d'élargir notre approche conceptuelle du problème de la co</w:t>
      </w:r>
      <w:r w:rsidRPr="00BB11AF">
        <w:t>r</w:t>
      </w:r>
      <w:r w:rsidRPr="00BB11AF">
        <w:t>ruption des acteurs pour y inclure celle des institutions et des pra</w:t>
      </w:r>
      <w:r w:rsidRPr="00BB11AF">
        <w:lastRenderedPageBreak/>
        <w:t>t</w:t>
      </w:r>
      <w:r w:rsidRPr="00BB11AF">
        <w:t>i</w:t>
      </w:r>
      <w:r w:rsidRPr="00BB11AF">
        <w:t>ques instit</w:t>
      </w:r>
      <w:r w:rsidRPr="00BB11AF">
        <w:t>u</w:t>
      </w:r>
      <w:r w:rsidRPr="00BB11AF">
        <w:t>tionnalisées ». Les institutions n'étant plus investies par les citoyens, elles deviennent inopérantes, des coquilles juridiques vides dont on peut bifurquer sans état d'âme. La crise, comme mécanisme de go</w:t>
      </w:r>
      <w:r w:rsidRPr="00BB11AF">
        <w:t>u</w:t>
      </w:r>
      <w:r w:rsidRPr="00BB11AF">
        <w:t>vernance, en vient justement à occuper cet espace laissé vacant.</w:t>
      </w:r>
    </w:p>
    <w:p w:rsidR="003A3061" w:rsidRPr="00BB11AF" w:rsidRDefault="003A3061" w:rsidP="003A3061">
      <w:pPr>
        <w:spacing w:before="120" w:after="120"/>
        <w:jc w:val="both"/>
      </w:pPr>
      <w:r w:rsidRPr="00BB11AF">
        <w:t>André Tremblay essaie quant à lui de comprendre le phénomène du « Printemps érable ». Inattendue et inespérée, on ne croyait plus qu'un tel mouvement de contestation fût possible ; la fronde étudiante s'est étendue sur plusieurs mois. L'auteur te</w:t>
      </w:r>
      <w:r w:rsidRPr="00BB11AF">
        <w:t>n</w:t>
      </w:r>
      <w:r w:rsidRPr="00BB11AF">
        <w:t>te de situer la place des Carrés rouges dans le mouvement gén</w:t>
      </w:r>
      <w:r w:rsidRPr="00BB11AF">
        <w:t>é</w:t>
      </w:r>
      <w:r w:rsidRPr="00BB11AF">
        <w:t>ral de la société québécoise depuis les années 1970 et de l'inscrire dans les puissantes transform</w:t>
      </w:r>
      <w:r w:rsidRPr="00BB11AF">
        <w:t>a</w:t>
      </w:r>
      <w:r w:rsidRPr="00BB11AF">
        <w:t>tions stru</w:t>
      </w:r>
      <w:r w:rsidRPr="00BB11AF">
        <w:t>c</w:t>
      </w:r>
      <w:r w:rsidRPr="00BB11AF">
        <w:t>turelles plus larges, tant de l'économie que de la famille. En effet, le mouvement étudiant, bien que ses demandes soient d'ordre économique-contre la hausse rapide des frais de scolarité -, se prése</w:t>
      </w:r>
      <w:r w:rsidRPr="00BB11AF">
        <w:t>n</w:t>
      </w:r>
      <w:r w:rsidRPr="00BB11AF">
        <w:t>tait co</w:t>
      </w:r>
      <w:r w:rsidRPr="00BB11AF">
        <w:t>m</w:t>
      </w:r>
      <w:r w:rsidRPr="00BB11AF">
        <w:t>me égalitaire, féministe et écologiste. Il était tout autant un mouvement social qu'un outil de revendication. La question des obje</w:t>
      </w:r>
      <w:r w:rsidRPr="00BB11AF">
        <w:t>c</w:t>
      </w:r>
      <w:r w:rsidRPr="00BB11AF">
        <w:t>tifs et des modalités de l'action collective s'y trouve posée. C'est l'art</w:t>
      </w:r>
      <w:r w:rsidRPr="00BB11AF">
        <w:t>i</w:t>
      </w:r>
      <w:r w:rsidRPr="00BB11AF">
        <w:t>cul</w:t>
      </w:r>
      <w:r w:rsidRPr="00BB11AF">
        <w:t>a</w:t>
      </w:r>
      <w:r w:rsidRPr="00BB11AF">
        <w:t>tion entre la crise, le collectif et le changement social qui est ici scruté sous l'angle du conflit social.</w:t>
      </w:r>
    </w:p>
    <w:p w:rsidR="003A3061" w:rsidRPr="00BB11AF" w:rsidRDefault="003A3061" w:rsidP="003A3061">
      <w:pPr>
        <w:spacing w:before="120" w:after="120"/>
        <w:jc w:val="both"/>
      </w:pPr>
      <w:r w:rsidRPr="00BB11AF">
        <w:t>Enfin, les deux derniers textes analysent et critiquent les fond</w:t>
      </w:r>
      <w:r w:rsidRPr="00BB11AF">
        <w:t>e</w:t>
      </w:r>
      <w:r w:rsidRPr="00BB11AF">
        <w:t>ments mêmes de l'activité économique contemporaine. Frédéric Leb</w:t>
      </w:r>
      <w:r w:rsidRPr="00BB11AF">
        <w:t>a</w:t>
      </w:r>
      <w:r w:rsidRPr="00BB11AF">
        <w:t>ron s'inquiète du rapport entre les économistes et les acteurs qu'ils sont censés analyser. Il s'étonne tant de cette app</w:t>
      </w:r>
      <w:r w:rsidRPr="00BB11AF">
        <w:t>a</w:t>
      </w:r>
      <w:r w:rsidRPr="00BB11AF">
        <w:t>rente collusion que de la primauté du discours des économistes alors même que son échec le plus patent, la crise financière de 2007, aurait dû entraîner une « crise de la croyance économique dominante ». Il inscrit son « an</w:t>
      </w:r>
      <w:r w:rsidRPr="00BB11AF">
        <w:t>a</w:t>
      </w:r>
      <w:r w:rsidRPr="00BB11AF">
        <w:t>lyse des discours et des croyances économiques » dans le contexte de leur pr</w:t>
      </w:r>
      <w:r w:rsidRPr="00BB11AF">
        <w:t>o</w:t>
      </w:r>
      <w:r w:rsidRPr="00BB11AF">
        <w:t>duction sociale en faisant l'analyse des personnes et des app</w:t>
      </w:r>
      <w:r w:rsidRPr="00BB11AF">
        <w:t>a</w:t>
      </w:r>
      <w:r w:rsidRPr="00BB11AF">
        <w:t>reils qui le produisent et le défendent au-delà de l'épreuve des faits. Cette rem</w:t>
      </w:r>
      <w:r w:rsidRPr="00BB11AF">
        <w:t>i</w:t>
      </w:r>
      <w:r w:rsidRPr="00BB11AF">
        <w:t>se en question de la neutralité scientifique des économistes contemp</w:t>
      </w:r>
      <w:r w:rsidRPr="00BB11AF">
        <w:t>o</w:t>
      </w:r>
      <w:r w:rsidRPr="00BB11AF">
        <w:t>rains les plus proéminents soulève la question d'une autre « vérité économique ». Une autre manière de penser notre rapport à l'écon</w:t>
      </w:r>
      <w:r w:rsidRPr="00BB11AF">
        <w:t>o</w:t>
      </w:r>
      <w:r w:rsidRPr="00BB11AF">
        <w:t>mie est-elle possible ?</w:t>
      </w:r>
    </w:p>
    <w:p w:rsidR="003A3061" w:rsidRDefault="003A3061" w:rsidP="003A3061">
      <w:pPr>
        <w:spacing w:before="120" w:after="120"/>
        <w:ind w:firstLine="426"/>
        <w:jc w:val="both"/>
      </w:pPr>
      <w:r w:rsidRPr="00BB11AF">
        <w:t>[7]</w:t>
      </w:r>
    </w:p>
    <w:p w:rsidR="003A3061" w:rsidRDefault="003A3061" w:rsidP="003A3061">
      <w:pPr>
        <w:spacing w:before="120" w:after="120"/>
        <w:ind w:firstLine="426"/>
        <w:jc w:val="both"/>
      </w:pPr>
      <w:r w:rsidRPr="00BB11AF">
        <w:t>C'est précisément ce à quoi tente de répondre Yves-Marie Abr</w:t>
      </w:r>
      <w:r w:rsidRPr="00BB11AF">
        <w:t>a</w:t>
      </w:r>
      <w:r w:rsidRPr="00BB11AF">
        <w:t>ham. Il nous propose un nouveau modèle économique, celui de la d</w:t>
      </w:r>
      <w:r w:rsidRPr="00BB11AF">
        <w:t>é</w:t>
      </w:r>
      <w:r w:rsidRPr="00BB11AF">
        <w:t>croissa</w:t>
      </w:r>
      <w:r w:rsidRPr="00BB11AF">
        <w:t>n</w:t>
      </w:r>
      <w:r w:rsidRPr="00BB11AF">
        <w:t>ce soutenable. Selon lui, le « problème de la croissance » ne co</w:t>
      </w:r>
      <w:r w:rsidRPr="00BB11AF">
        <w:t>n</w:t>
      </w:r>
      <w:r w:rsidRPr="00BB11AF">
        <w:t>siste pas à la retrouver après que la crise nous l'ait fait perdre. Au contraire, la crise peut être une occasion d'engager un processus o</w:t>
      </w:r>
      <w:r w:rsidRPr="00BB11AF">
        <w:t>r</w:t>
      </w:r>
      <w:r w:rsidRPr="00BB11AF">
        <w:t>donné vers la décroissance. La remise en question « des finalités de notre existence collective » telles que posées par le crédo croissanciste est à la fois un projet politique et théorique. Le projet que l'auteur po</w:t>
      </w:r>
      <w:r w:rsidRPr="00BB11AF">
        <w:t>r</w:t>
      </w:r>
      <w:r w:rsidRPr="00BB11AF">
        <w:t>te et présente veut répondre tant aux crises économiques que s</w:t>
      </w:r>
      <w:r w:rsidRPr="00BB11AF">
        <w:t>o</w:t>
      </w:r>
      <w:r w:rsidRPr="00BB11AF">
        <w:t>ciales et écologiques en offrant une alternative en rupture avec la course effr</w:t>
      </w:r>
      <w:r w:rsidRPr="00BB11AF">
        <w:t>é</w:t>
      </w:r>
      <w:r w:rsidRPr="00BB11AF">
        <w:t>née vers la croissance.</w:t>
      </w:r>
    </w:p>
    <w:p w:rsidR="003A3061" w:rsidRDefault="003A3061" w:rsidP="003A3061">
      <w:pPr>
        <w:spacing w:before="120" w:after="120"/>
        <w:ind w:firstLine="426"/>
        <w:jc w:val="both"/>
      </w:pPr>
      <w:r w:rsidRPr="00BB11AF">
        <w:t>Ces diverses analyses nous ont permis d'éclairer des aspects so</w:t>
      </w:r>
      <w:r w:rsidRPr="00BB11AF">
        <w:t>u</w:t>
      </w:r>
      <w:r w:rsidRPr="00BB11AF">
        <w:t>vent moins explorés par la littérature sur les crises, non seulement d'un point de vue empirique, mais aussi théorique et conceptuel. Depuis la tenue de ce colloque, le constat peut-être fait qu'aussi bien la notion que le phénomène de la crise en sont venus à « normaliser » nos m</w:t>
      </w:r>
      <w:r w:rsidRPr="00BB11AF">
        <w:t>a</w:t>
      </w:r>
      <w:r w:rsidRPr="00BB11AF">
        <w:t>nières de faire l'expérience de la vie en société, mais aussi de nos m</w:t>
      </w:r>
      <w:r w:rsidRPr="00BB11AF">
        <w:t>a</w:t>
      </w:r>
      <w:r w:rsidRPr="00BB11AF">
        <w:t>nières de la pensée. La crise demeure une idée dominante de la co</w:t>
      </w:r>
      <w:r w:rsidRPr="00BB11AF">
        <w:t>n</w:t>
      </w:r>
      <w:r w:rsidRPr="00BB11AF">
        <w:t>temporanéité et nous sommes convaincus que son appréhension sera encore au cœur de nos travaux dans les années à venir ; l'on a qu'à penser à la crise des réfugiés syriens, la crise du processus électoral en Haïti ou encore la crise financière qui se profile en Chine pour s'en convaincre.</w:t>
      </w:r>
    </w:p>
    <w:p w:rsidR="003A3061" w:rsidRPr="00BB11AF" w:rsidRDefault="003A3061" w:rsidP="003A3061">
      <w:pPr>
        <w:spacing w:before="120" w:after="120"/>
        <w:ind w:firstLine="426"/>
        <w:jc w:val="both"/>
      </w:pPr>
      <w:r w:rsidRPr="00BB11AF">
        <w:t>[8]</w:t>
      </w:r>
    </w:p>
    <w:p w:rsidR="003A3061" w:rsidRPr="00BB11AF" w:rsidRDefault="003A3061" w:rsidP="003A3061">
      <w:pPr>
        <w:spacing w:before="120" w:after="120"/>
        <w:jc w:val="both"/>
      </w:pPr>
    </w:p>
    <w:p w:rsidR="003A3061" w:rsidRPr="00BB11AF" w:rsidRDefault="003A3061" w:rsidP="003A3061">
      <w:pPr>
        <w:pStyle w:val="a"/>
      </w:pPr>
      <w:r w:rsidRPr="00BB11AF">
        <w:t>Références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 xml:space="preserve">Arendt, H. 1972. </w:t>
      </w:r>
      <w:r w:rsidRPr="00BB11AF">
        <w:rPr>
          <w:i/>
        </w:rPr>
        <w:t>La crise de la culture</w:t>
      </w:r>
      <w:r w:rsidRPr="00BB11AF">
        <w:t>. Paris : Gallimard.</w:t>
      </w:r>
    </w:p>
    <w:p w:rsidR="003A3061" w:rsidRPr="00BB11AF" w:rsidRDefault="003A3061" w:rsidP="003A3061">
      <w:pPr>
        <w:spacing w:before="120" w:after="120"/>
        <w:jc w:val="both"/>
      </w:pPr>
      <w:r w:rsidRPr="00BB11AF">
        <w:t xml:space="preserve">Balandier, G. 1971a. </w:t>
      </w:r>
      <w:r w:rsidRPr="00BB11AF">
        <w:rPr>
          <w:i/>
        </w:rPr>
        <w:t>Sens et puissance</w:t>
      </w:r>
      <w:r w:rsidRPr="00BB11AF">
        <w:t>. Paris : Presses universita</w:t>
      </w:r>
      <w:r w:rsidRPr="00BB11AF">
        <w:t>i</w:t>
      </w:r>
      <w:r w:rsidRPr="00BB11AF">
        <w:t>res de France.</w:t>
      </w:r>
    </w:p>
    <w:p w:rsidR="003A3061" w:rsidRPr="00BB11AF" w:rsidRDefault="003A3061" w:rsidP="003A3061">
      <w:pPr>
        <w:spacing w:before="120" w:after="120"/>
        <w:jc w:val="both"/>
      </w:pPr>
      <w:r w:rsidRPr="00BB11AF">
        <w:t>_____, 1971b. « Réflexions sur une anthropologie de la modern</w:t>
      </w:r>
      <w:r w:rsidRPr="00BB11AF">
        <w:t>i</w:t>
      </w:r>
      <w:r w:rsidRPr="00BB11AF">
        <w:t xml:space="preserve">té ». </w:t>
      </w:r>
      <w:r w:rsidRPr="00BB11AF">
        <w:rPr>
          <w:i/>
        </w:rPr>
        <w:t>C</w:t>
      </w:r>
      <w:r w:rsidRPr="00BB11AF">
        <w:rPr>
          <w:i/>
        </w:rPr>
        <w:t>a</w:t>
      </w:r>
      <w:r w:rsidRPr="00BB11AF">
        <w:rPr>
          <w:i/>
        </w:rPr>
        <w:t>hiers internationaux de sociologie</w:t>
      </w:r>
      <w:r w:rsidRPr="00BB11AF">
        <w:t>, 51 :197-211.</w:t>
      </w:r>
    </w:p>
    <w:p w:rsidR="003A3061" w:rsidRPr="00BB11AF" w:rsidRDefault="003A3061" w:rsidP="003A3061">
      <w:pPr>
        <w:spacing w:before="120" w:after="120"/>
        <w:jc w:val="both"/>
      </w:pPr>
      <w:r w:rsidRPr="00BB11AF">
        <w:t>Cullen, L. 1993. « History, Economic Crises, and Revolution : U</w:t>
      </w:r>
      <w:r w:rsidRPr="00BB11AF">
        <w:t>n</w:t>
      </w:r>
      <w:r w:rsidRPr="00BB11AF">
        <w:t xml:space="preserve">derstanding Eighteenth Century France ». </w:t>
      </w:r>
      <w:r w:rsidRPr="00BB11AF">
        <w:rPr>
          <w:i/>
        </w:rPr>
        <w:t>Economic History Review</w:t>
      </w:r>
      <w:r w:rsidRPr="00BB11AF">
        <w:t>, XLVI (4) : 635-657.</w:t>
      </w:r>
    </w:p>
    <w:p w:rsidR="003A3061" w:rsidRPr="00BB11AF" w:rsidRDefault="003A3061" w:rsidP="003A3061">
      <w:pPr>
        <w:spacing w:before="120" w:after="120"/>
        <w:jc w:val="both"/>
      </w:pPr>
      <w:r w:rsidRPr="00BB11AF">
        <w:t xml:space="preserve">Gluckman, M. 1955. </w:t>
      </w:r>
      <w:r w:rsidRPr="00BB11AF">
        <w:rPr>
          <w:i/>
        </w:rPr>
        <w:t>Custom and Conflict in Africa</w:t>
      </w:r>
      <w:r w:rsidRPr="00BB11AF">
        <w:t>. Oxford : O</w:t>
      </w:r>
      <w:r w:rsidRPr="00BB11AF">
        <w:t>x</w:t>
      </w:r>
      <w:r w:rsidRPr="00BB11AF">
        <w:t>ford University Press.</w:t>
      </w:r>
    </w:p>
    <w:p w:rsidR="003A3061" w:rsidRPr="00BB11AF" w:rsidRDefault="003A3061" w:rsidP="003A3061">
      <w:pPr>
        <w:spacing w:before="120" w:after="120"/>
        <w:jc w:val="both"/>
      </w:pPr>
      <w:r w:rsidRPr="00BB11AF">
        <w:t xml:space="preserve">_____, 1963. </w:t>
      </w:r>
      <w:r w:rsidRPr="00BB11AF">
        <w:rPr>
          <w:i/>
        </w:rPr>
        <w:t>Order and Rebellion in Tribal Africa</w:t>
      </w:r>
      <w:r w:rsidRPr="00BB11AF">
        <w:t>. London : C</w:t>
      </w:r>
      <w:r w:rsidRPr="00BB11AF">
        <w:t>o</w:t>
      </w:r>
      <w:r w:rsidRPr="00BB11AF">
        <w:t>hen and West.</w:t>
      </w:r>
    </w:p>
    <w:p w:rsidR="003A3061" w:rsidRPr="00BB11AF" w:rsidRDefault="003A3061" w:rsidP="003A3061">
      <w:pPr>
        <w:spacing w:before="120" w:after="120"/>
        <w:jc w:val="both"/>
      </w:pPr>
      <w:r w:rsidRPr="00BB11AF">
        <w:t xml:space="preserve">Hall, S., C. Critcher, T. Jefferson, J. Clarke, and B. Roberts. 1978. </w:t>
      </w:r>
      <w:r w:rsidRPr="00BB11AF">
        <w:rPr>
          <w:i/>
        </w:rPr>
        <w:t>Policing the Crisis : Mugging, the State and Law and O</w:t>
      </w:r>
      <w:r w:rsidRPr="00BB11AF">
        <w:rPr>
          <w:i/>
        </w:rPr>
        <w:t>r</w:t>
      </w:r>
      <w:r w:rsidRPr="00BB11AF">
        <w:rPr>
          <w:i/>
        </w:rPr>
        <w:t>der</w:t>
      </w:r>
      <w:r w:rsidRPr="00BB11AF">
        <w:t>. London : Palgrave Macmillan.</w:t>
      </w:r>
    </w:p>
    <w:p w:rsidR="003A3061" w:rsidRPr="00BB11AF" w:rsidRDefault="003A3061" w:rsidP="003A3061">
      <w:pPr>
        <w:spacing w:before="120" w:after="120"/>
        <w:jc w:val="both"/>
      </w:pPr>
      <w:r w:rsidRPr="00BB11AF">
        <w:t>Hobsbawn, E. 1954. « The General Crisis of European Ec</w:t>
      </w:r>
      <w:r w:rsidRPr="00BB11AF">
        <w:t>o</w:t>
      </w:r>
      <w:r w:rsidRPr="00BB11AF">
        <w:t xml:space="preserve">nomy in the Seventeenth Century ». </w:t>
      </w:r>
      <w:r w:rsidRPr="00BB11AF">
        <w:rPr>
          <w:i/>
        </w:rPr>
        <w:t>Past and Prrsent,</w:t>
      </w:r>
      <w:r w:rsidRPr="00BB11AF">
        <w:t xml:space="preserve"> 5 :33-53.</w:t>
      </w:r>
    </w:p>
    <w:p w:rsidR="003A3061" w:rsidRPr="00BB11AF" w:rsidRDefault="003A3061" w:rsidP="003A3061">
      <w:pPr>
        <w:spacing w:before="120" w:after="120"/>
        <w:jc w:val="both"/>
      </w:pPr>
      <w:r w:rsidRPr="00BB11AF">
        <w:t xml:space="preserve">Kapferer, B., ed. 2004. </w:t>
      </w:r>
      <w:r w:rsidRPr="00BB11AF">
        <w:rPr>
          <w:i/>
        </w:rPr>
        <w:t>The World Trade Center and the Global Crisis. Some Critical Perspectives</w:t>
      </w:r>
      <w:r w:rsidRPr="00BB11AF">
        <w:t>. Oxford : Berghahn Books.</w:t>
      </w:r>
    </w:p>
    <w:p w:rsidR="003A3061" w:rsidRPr="00BB11AF" w:rsidRDefault="003A3061" w:rsidP="003A3061">
      <w:pPr>
        <w:spacing w:before="120" w:after="120"/>
        <w:jc w:val="both"/>
      </w:pPr>
      <w:r w:rsidRPr="00BB11AF">
        <w:t xml:space="preserve">_____, 2005. « Situations, Crisis, and the Anthropology of the Concrète. The Contribution of Max Gluckman ». </w:t>
      </w:r>
      <w:r w:rsidRPr="00BB11AF">
        <w:rPr>
          <w:i/>
        </w:rPr>
        <w:t>Social Analysis</w:t>
      </w:r>
      <w:r w:rsidRPr="00BB11AF">
        <w:t>, 49(3) : 85-122.</w:t>
      </w:r>
    </w:p>
    <w:p w:rsidR="003A3061" w:rsidRPr="00BB11AF" w:rsidRDefault="003A3061" w:rsidP="003A3061">
      <w:pPr>
        <w:spacing w:before="120" w:after="120"/>
        <w:jc w:val="both"/>
      </w:pPr>
      <w:r w:rsidRPr="00BB11AF">
        <w:t xml:space="preserve">Koselleck, R. and M. W. Richter. 2006. « Crisis ». </w:t>
      </w:r>
      <w:r w:rsidRPr="00BB11AF">
        <w:rPr>
          <w:i/>
        </w:rPr>
        <w:t>Journal of the History of Ideas,</w:t>
      </w:r>
      <w:r w:rsidRPr="00BB11AF">
        <w:t xml:space="preserve"> 67 (2) : 357-400. </w:t>
      </w:r>
    </w:p>
    <w:p w:rsidR="003A3061" w:rsidRPr="00BB11AF" w:rsidRDefault="003A3061" w:rsidP="003A3061">
      <w:pPr>
        <w:spacing w:before="120" w:after="120"/>
        <w:jc w:val="both"/>
      </w:pPr>
      <w:r w:rsidRPr="00BB11AF">
        <w:t xml:space="preserve">Trevor-Roper, H. 1959. « The General Crisis of the Seventeenth Century ». </w:t>
      </w:r>
      <w:r w:rsidRPr="00BB11AF">
        <w:rPr>
          <w:i/>
        </w:rPr>
        <w:t>Past &amp; Present</w:t>
      </w:r>
      <w:r w:rsidRPr="00BB11AF">
        <w:t>, 16 : 31-64.</w:t>
      </w:r>
    </w:p>
    <w:p w:rsidR="003A3061" w:rsidRPr="00BB11AF" w:rsidRDefault="003A3061" w:rsidP="003A3061">
      <w:pPr>
        <w:spacing w:before="120" w:after="120"/>
        <w:jc w:val="both"/>
      </w:pPr>
      <w:r w:rsidRPr="00BB11AF">
        <w:t xml:space="preserve">Turner, V. 1969. </w:t>
      </w:r>
      <w:r w:rsidRPr="00BB11AF">
        <w:rPr>
          <w:i/>
        </w:rPr>
        <w:t>The Ritual Pr</w:t>
      </w:r>
      <w:r w:rsidRPr="00BB11AF">
        <w:rPr>
          <w:i/>
        </w:rPr>
        <w:t>o</w:t>
      </w:r>
      <w:r w:rsidRPr="00BB11AF">
        <w:rPr>
          <w:i/>
        </w:rPr>
        <w:t>cess : Structure and Anti-structure</w:t>
      </w:r>
      <w:r w:rsidRPr="00BB11AF">
        <w:t>. Ch</w:t>
      </w:r>
      <w:r w:rsidRPr="00BB11AF">
        <w:t>i</w:t>
      </w:r>
      <w:r w:rsidRPr="00BB11AF">
        <w:t>cago : Aldine Publishing Co.</w:t>
      </w:r>
    </w:p>
    <w:p w:rsidR="003A3061" w:rsidRPr="00BB11AF" w:rsidRDefault="003A3061" w:rsidP="003A3061">
      <w:pPr>
        <w:spacing w:before="120" w:after="120"/>
        <w:jc w:val="both"/>
      </w:pPr>
      <w:r w:rsidRPr="00BB11AF">
        <w:rPr>
          <w:iCs/>
        </w:rPr>
        <w:t>_____, 1974.</w:t>
      </w:r>
      <w:r w:rsidRPr="00BB11AF">
        <w:rPr>
          <w:i/>
          <w:iCs/>
        </w:rPr>
        <w:t xml:space="preserve"> </w:t>
      </w:r>
      <w:r w:rsidRPr="00BB11AF">
        <w:rPr>
          <w:i/>
        </w:rPr>
        <w:t>Dramas, Fields and Metaphors. Symbolic Action in Human Society</w:t>
      </w:r>
      <w:r w:rsidRPr="00BB11AF">
        <w:t>.</w:t>
      </w:r>
      <w:r w:rsidRPr="00BB11AF">
        <w:rPr>
          <w:i/>
          <w:iCs/>
        </w:rPr>
        <w:t xml:space="preserve"> </w:t>
      </w:r>
      <w:r w:rsidRPr="00BB11AF">
        <w:rPr>
          <w:iCs/>
        </w:rPr>
        <w:t>Ithaca : Cornell University Press.</w:t>
      </w:r>
    </w:p>
    <w:p w:rsidR="003A3061" w:rsidRPr="00BB11AF" w:rsidRDefault="003A3061" w:rsidP="003A3061">
      <w:pPr>
        <w:pStyle w:val="p"/>
      </w:pPr>
    </w:p>
    <w:p w:rsidR="003A3061" w:rsidRPr="00BB11AF" w:rsidRDefault="003A3061" w:rsidP="003A3061">
      <w:pPr>
        <w:pStyle w:val="p"/>
      </w:pPr>
      <w:r w:rsidRPr="00BB11AF">
        <w:br w:type="page"/>
        <w:t>[9]</w:t>
      </w:r>
    </w:p>
    <w:p w:rsidR="003A3061" w:rsidRPr="00BB11AF" w:rsidRDefault="003A3061">
      <w:pPr>
        <w:jc w:val="both"/>
      </w:pPr>
    </w:p>
    <w:p w:rsidR="003A3061" w:rsidRPr="00BB11AF" w:rsidRDefault="003A3061" w:rsidP="003A3061">
      <w:pPr>
        <w:jc w:val="both"/>
      </w:pPr>
    </w:p>
    <w:p w:rsidR="003A3061" w:rsidRPr="00BB11AF" w:rsidRDefault="003A3061" w:rsidP="003A3061">
      <w:pPr>
        <w:ind w:hanging="20"/>
        <w:jc w:val="center"/>
        <w:rPr>
          <w:b/>
          <w:sz w:val="24"/>
        </w:rPr>
      </w:pPr>
      <w:bookmarkStart w:id="5" w:name="Crise_et_mise_en_crise_texte_02"/>
      <w:r w:rsidRPr="00BB11AF">
        <w:rPr>
          <w:b/>
          <w:i/>
          <w:color w:val="FF0000"/>
          <w:sz w:val="24"/>
        </w:rPr>
        <w:t>Crise</w:t>
      </w:r>
      <w:r w:rsidRPr="00BB11AF">
        <w:rPr>
          <w:b/>
          <w:sz w:val="24"/>
        </w:rPr>
        <w:t xml:space="preserve"> et mise en </w:t>
      </w:r>
      <w:r w:rsidRPr="00BB11AF">
        <w:rPr>
          <w:b/>
          <w:i/>
          <w:color w:val="FF0000"/>
          <w:sz w:val="24"/>
        </w:rPr>
        <w:t>crise</w:t>
      </w:r>
      <w:r w:rsidRPr="00BB11AF">
        <w:rPr>
          <w:b/>
          <w:sz w:val="24"/>
        </w:rPr>
        <w:t>.</w:t>
      </w:r>
    </w:p>
    <w:p w:rsidR="003A3061" w:rsidRPr="00BB11AF" w:rsidRDefault="003A3061" w:rsidP="003A3061">
      <w:pPr>
        <w:jc w:val="center"/>
        <w:rPr>
          <w:sz w:val="24"/>
        </w:rPr>
      </w:pPr>
      <w:r w:rsidRPr="00BB11AF">
        <w:rPr>
          <w:sz w:val="24"/>
        </w:rPr>
        <w:t>Actes du colloque annuel de l’ACSALF 2012.</w:t>
      </w:r>
    </w:p>
    <w:p w:rsidR="003A3061" w:rsidRPr="00BB11AF" w:rsidRDefault="003A3061" w:rsidP="003A3061">
      <w:pPr>
        <w:jc w:val="center"/>
        <w:rPr>
          <w:sz w:val="24"/>
        </w:rPr>
      </w:pPr>
    </w:p>
    <w:p w:rsidR="003A3061" w:rsidRPr="00BB11AF" w:rsidRDefault="003A3061" w:rsidP="003A3061">
      <w:pPr>
        <w:pStyle w:val="Titreniveau1"/>
      </w:pPr>
      <w:r w:rsidRPr="00BB11AF">
        <w:t>2</w:t>
      </w:r>
    </w:p>
    <w:p w:rsidR="003A3061" w:rsidRPr="00BB11AF" w:rsidRDefault="003A3061" w:rsidP="003A3061">
      <w:pPr>
        <w:pStyle w:val="Titreniveau2"/>
      </w:pPr>
      <w:r w:rsidRPr="00BB11AF">
        <w:t>“Tunisie : quelle gestion</w:t>
      </w:r>
      <w:r w:rsidRPr="00BB11AF">
        <w:br/>
        <w:t>des crises pour quel projet</w:t>
      </w:r>
      <w:r w:rsidRPr="00BB11AF">
        <w:br/>
        <w:t>de société ?”</w:t>
      </w:r>
    </w:p>
    <w:bookmarkEnd w:id="5"/>
    <w:p w:rsidR="003A3061" w:rsidRPr="00BB11AF" w:rsidRDefault="003A3061" w:rsidP="003A3061">
      <w:pPr>
        <w:jc w:val="both"/>
        <w:rPr>
          <w:szCs w:val="36"/>
        </w:rPr>
      </w:pPr>
    </w:p>
    <w:p w:rsidR="003A3061" w:rsidRPr="00BB11AF" w:rsidRDefault="003A3061" w:rsidP="003A3061">
      <w:pPr>
        <w:pStyle w:val="suite"/>
      </w:pPr>
      <w:r w:rsidRPr="00BB11AF">
        <w:t>Par Sophie BESSIS</w:t>
      </w:r>
    </w:p>
    <w:p w:rsidR="003A3061" w:rsidRPr="00BB11AF" w:rsidRDefault="003A3061" w:rsidP="003A3061">
      <w:pPr>
        <w:pStyle w:val="auteurst"/>
      </w:pPr>
      <w:r w:rsidRPr="00BB11AF">
        <w:t>Institut de relations internationales et stratégiques (IRIS), Paris</w:t>
      </w:r>
    </w:p>
    <w:p w:rsidR="003A3061" w:rsidRPr="00BB11AF" w:rsidRDefault="003A3061">
      <w:pPr>
        <w:jc w:val="both"/>
      </w:pPr>
    </w:p>
    <w:p w:rsidR="003A3061" w:rsidRPr="00BB11AF" w:rsidRDefault="003A3061">
      <w:pPr>
        <w:jc w:val="both"/>
      </w:pPr>
    </w:p>
    <w:p w:rsidR="003A3061" w:rsidRPr="00BB11AF" w:rsidRDefault="003A3061" w:rsidP="003A3061">
      <w:pPr>
        <w:pStyle w:val="planche"/>
      </w:pPr>
      <w:r w:rsidRPr="00BB11AF">
        <w:t>Introduction</w:t>
      </w:r>
      <w:r>
        <w:t> </w:t>
      </w:r>
      <w:r>
        <w:rPr>
          <w:rStyle w:val="Appelnotedebasdep"/>
        </w:rPr>
        <w:footnoteReference w:id="1"/>
      </w:r>
    </w:p>
    <w:p w:rsidR="003A3061" w:rsidRPr="00BB11AF" w:rsidRDefault="003A3061">
      <w:pPr>
        <w:jc w:val="both"/>
      </w:pPr>
    </w:p>
    <w:p w:rsidR="003A3061" w:rsidRPr="00BB11AF" w:rsidRDefault="003A3061">
      <w:pPr>
        <w:jc w:val="both"/>
      </w:pPr>
    </w:p>
    <w:p w:rsidR="003A3061" w:rsidRPr="00BB11AF" w:rsidRDefault="003A3061">
      <w:pPr>
        <w:ind w:right="90" w:firstLine="0"/>
        <w:jc w:val="both"/>
        <w:rPr>
          <w:sz w:val="20"/>
        </w:rPr>
      </w:pPr>
      <w:hyperlink w:anchor="tdm" w:history="1">
        <w:r w:rsidRPr="00BB11AF">
          <w:rPr>
            <w:rStyle w:val="Lienhypertexte"/>
            <w:sz w:val="20"/>
          </w:rPr>
          <w:t>Retour à la table des matières</w:t>
        </w:r>
      </w:hyperlink>
    </w:p>
    <w:p w:rsidR="003A3061" w:rsidRPr="00BB11AF" w:rsidRDefault="00356B29" w:rsidP="003A3061">
      <w:pPr>
        <w:spacing w:before="120" w:after="120"/>
        <w:jc w:val="both"/>
      </w:pPr>
      <w:r w:rsidRPr="00BB11AF">
        <w:rPr>
          <w:noProof/>
          <w:lang w:val="fr-FR" w:eastAsia="fr-FR"/>
        </w:rPr>
        <w:drawing>
          <wp:anchor distT="0" distB="0" distL="63500" distR="182880" simplePos="0" relativeHeight="251654656" behindDoc="1" locked="0" layoutInCell="1" allowOverlap="0">
            <wp:simplePos x="0" y="0"/>
            <wp:positionH relativeFrom="margin">
              <wp:posOffset>51435</wp:posOffset>
            </wp:positionH>
            <wp:positionV relativeFrom="margin">
              <wp:posOffset>4803140</wp:posOffset>
            </wp:positionV>
            <wp:extent cx="1130300" cy="787400"/>
            <wp:effectExtent l="25400" t="25400" r="12700" b="12700"/>
            <wp:wrapTight wrapText="bothSides">
              <wp:wrapPolygon edited="0">
                <wp:start x="-485" y="-697"/>
                <wp:lineTo x="-485" y="21948"/>
                <wp:lineTo x="21843" y="21948"/>
                <wp:lineTo x="21843" y="-697"/>
                <wp:lineTo x="-485" y="-697"/>
              </wp:wrapPolygon>
            </wp:wrapTight>
            <wp:docPr id="26" name="Image 11"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image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0300" cy="7874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3A3061" w:rsidRPr="00BB11AF">
        <w:t>Depuis plus d'une décennie, la Tunisie est entrée dans une période de crise, qui s'est déclinée sous une multitude d'aspects : crise écon</w:t>
      </w:r>
      <w:r w:rsidR="003A3061" w:rsidRPr="00BB11AF">
        <w:t>o</w:t>
      </w:r>
      <w:r w:rsidR="003A3061" w:rsidRPr="00BB11AF">
        <w:t>mique et sociale, crise des modes de production et de distribution, cr</w:t>
      </w:r>
      <w:r w:rsidR="003A3061" w:rsidRPr="00BB11AF">
        <w:t>i</w:t>
      </w:r>
      <w:r w:rsidR="003A3061" w:rsidRPr="00BB11AF">
        <w:t>se du politique, crise de l'État, crise du savoir. Ces crises ont d'abord conduit à une série de révoltes pop</w:t>
      </w:r>
      <w:r w:rsidR="003A3061" w:rsidRPr="00BB11AF">
        <w:t>u</w:t>
      </w:r>
      <w:r w:rsidR="003A3061" w:rsidRPr="00BB11AF">
        <w:t>laires, puis à une révolution politique. La chute de la di</w:t>
      </w:r>
      <w:r w:rsidR="003A3061" w:rsidRPr="00BB11AF">
        <w:t>c</w:t>
      </w:r>
      <w:r w:rsidR="003A3061" w:rsidRPr="00BB11AF">
        <w:t>tature, le 14 janvier 2011, n'a pas mis fin à cette conjonction de crises, mais en a modifié le contenu, l'a</w:t>
      </w:r>
      <w:r w:rsidR="003A3061" w:rsidRPr="00BB11AF">
        <w:t>p</w:t>
      </w:r>
      <w:r w:rsidR="003A3061" w:rsidRPr="00BB11AF">
        <w:t>proche et la gestion. Le pays est en effet sorti du cadre autoritaire qui s'était révélé incapable de mettre fin aux dy</w:t>
      </w:r>
      <w:r w:rsidR="003A3061" w:rsidRPr="00BB11AF">
        <w:t>s</w:t>
      </w:r>
      <w:r w:rsidR="003A3061" w:rsidRPr="00BB11AF">
        <w:t>fonctio</w:t>
      </w:r>
      <w:r w:rsidR="003A3061" w:rsidRPr="00BB11AF">
        <w:t>n</w:t>
      </w:r>
      <w:r w:rsidR="003A3061" w:rsidRPr="00BB11AF">
        <w:t>nements qu'il avait en partie créés. Les arbitrages s'effectuent désormais dans un contexte pluraliste qui, par</w:t>
      </w:r>
      <w:r w:rsidR="003A3061" w:rsidRPr="00BB11AF">
        <w:t>a</w:t>
      </w:r>
      <w:r w:rsidR="003A3061" w:rsidRPr="00BB11AF">
        <w:t>doxalement, décuple les effets des crises en introduisant dans le go</w:t>
      </w:r>
      <w:r w:rsidR="003A3061" w:rsidRPr="00BB11AF">
        <w:t>u</w:t>
      </w:r>
      <w:r w:rsidR="003A3061" w:rsidRPr="00BB11AF">
        <w:t>vernement du pays un facteur d'incertitude auquel il n'était pas hab</w:t>
      </w:r>
      <w:r w:rsidR="003A3061" w:rsidRPr="00BB11AF">
        <w:t>i</w:t>
      </w:r>
      <w:r w:rsidR="003A3061" w:rsidRPr="00BB11AF">
        <w:t>tué.</w:t>
      </w:r>
    </w:p>
    <w:p w:rsidR="003A3061" w:rsidRPr="00BB11AF" w:rsidRDefault="003A3061" w:rsidP="003A3061">
      <w:pPr>
        <w:spacing w:before="120" w:after="120"/>
        <w:jc w:val="both"/>
      </w:pPr>
      <w:r w:rsidRPr="00BB11AF">
        <w:t>La Tunisie d'où est partie la grande vague de remise en que</w:t>
      </w:r>
      <w:r w:rsidRPr="00BB11AF">
        <w:t>s</w:t>
      </w:r>
      <w:r w:rsidRPr="00BB11AF">
        <w:t>tion du monde arabe voit également l'environnement géopolit</w:t>
      </w:r>
      <w:r w:rsidRPr="00BB11AF">
        <w:t>i</w:t>
      </w:r>
      <w:r w:rsidRPr="00BB11AF">
        <w:t>que régional évoluer en un nouvel arc de crise. Absente de la première phase rév</w:t>
      </w:r>
      <w:r w:rsidRPr="00BB11AF">
        <w:t>o</w:t>
      </w:r>
      <w:r w:rsidRPr="00BB11AF">
        <w:t>lutionnaire, la question identitaire mise en avant par le parti islamiste Ennahdha- qui en a fait un des socles de son discours - est aussi fa</w:t>
      </w:r>
      <w:r w:rsidRPr="00BB11AF">
        <w:t>c</w:t>
      </w:r>
      <w:r w:rsidRPr="00BB11AF">
        <w:t>teur de crise et recompose le paysage idéologique et politique de la phase actuelle de la tra</w:t>
      </w:r>
      <w:r w:rsidRPr="00BB11AF">
        <w:t>n</w:t>
      </w:r>
      <w:r w:rsidRPr="00BB11AF">
        <w:t>sition. Ainsi, à la crise économico-socio-politique qui a renversé le régime de l'ex-président Ben Ali, la révol</w:t>
      </w:r>
      <w:r w:rsidRPr="00BB11AF">
        <w:t>u</w:t>
      </w:r>
      <w:r w:rsidRPr="00BB11AF">
        <w:t>tion est venue ajo</w:t>
      </w:r>
      <w:r w:rsidRPr="00BB11AF">
        <w:t>u</w:t>
      </w:r>
      <w:r w:rsidRPr="00BB11AF">
        <w:t>ter la crise du rapport d'un peuple à son histoire, à son identité et à la modernité.</w:t>
      </w:r>
    </w:p>
    <w:p w:rsidR="003A3061" w:rsidRPr="00BB11AF" w:rsidRDefault="003A3061" w:rsidP="003A3061">
      <w:pPr>
        <w:spacing w:before="120" w:after="120"/>
        <w:jc w:val="both"/>
      </w:pPr>
      <w:r w:rsidRPr="00BB11AF">
        <w:t>Pris sous cet angle, le soulèvement qui a emporté le vieux régime destourien mérite bien l'appellation de révolution : c'est une nouvelle séquence de son histoire que la Tunisie est en train d'inaugurer do</w:t>
      </w:r>
      <w:r w:rsidRPr="00BB11AF">
        <w:t>u</w:t>
      </w:r>
      <w:r w:rsidRPr="00BB11AF">
        <w:t>loureusement. Comment les acteurs de la trans</w:t>
      </w:r>
      <w:r w:rsidRPr="00BB11AF">
        <w:t>i</w:t>
      </w:r>
      <w:r w:rsidRPr="00BB11AF">
        <w:t>tion traitent-ils cet arc de crise et pour tenter d'en [10] faire émerger quel type de société ? Quels socles historiques et sociétaux privilégiera-t-elle pour se recon</w:t>
      </w:r>
      <w:r w:rsidRPr="00BB11AF">
        <w:t>s</w:t>
      </w:r>
      <w:r w:rsidRPr="00BB11AF">
        <w:t>truire ? C'est à ces questions qu'on tentera d'apporter quelques él</w:t>
      </w:r>
      <w:r w:rsidRPr="00BB11AF">
        <w:t>é</w:t>
      </w:r>
      <w:r w:rsidRPr="00BB11AF">
        <w:t>ments de réponse.</w:t>
      </w:r>
    </w:p>
    <w:p w:rsidR="003A3061" w:rsidRPr="00BB11AF" w:rsidRDefault="003A3061" w:rsidP="003A3061">
      <w:pPr>
        <w:spacing w:before="120" w:after="120"/>
        <w:jc w:val="both"/>
      </w:pPr>
      <w:r w:rsidRPr="00BB11AF">
        <w:t>Pourquoi analyser le cas tunisien alors qu'il s'agit d'un des pays les plus modestes du monde arabe : ni pétrolier, ni très peuplé, ni strat</w:t>
      </w:r>
      <w:r w:rsidRPr="00BB11AF">
        <w:t>é</w:t>
      </w:r>
      <w:r w:rsidRPr="00BB11AF">
        <w:t>gique ? Bien sûr, parce qu'il a inauguré le « printemps » arabe. Au-delà, deux raisons font que son analyse permet d'aller plus avant dans la compréhension du séisme qui affecte aujourd'hui l'ensemble de la région. Depuis longtemps, la Tunisie y est à la fois une exception et un laboratoire. La plus arabe des nations du Maghreb central, mais ayant aussi toujours regardé vers le Nord, elle a subi les influences croisées de l'E</w:t>
      </w:r>
      <w:r w:rsidRPr="00BB11AF">
        <w:t>u</w:t>
      </w:r>
      <w:r w:rsidRPr="00BB11AF">
        <w:t>rope occidentale avec laquelle elle entretient depuis des siècles des relations étroites et avec l'Orient qui a influencé l'hi</w:t>
      </w:r>
      <w:r w:rsidRPr="00BB11AF">
        <w:t>s</w:t>
      </w:r>
      <w:r w:rsidRPr="00BB11AF">
        <w:t>toire de sa pensée. Le réformisme ottoman atteint ses côtes dès les a</w:t>
      </w:r>
      <w:r w:rsidRPr="00BB11AF">
        <w:t>n</w:t>
      </w:r>
      <w:r w:rsidRPr="00BB11AF">
        <w:t>nées 1830, époque à laquelle Ahmed Bey la lance dans un aud</w:t>
      </w:r>
      <w:r w:rsidRPr="00BB11AF">
        <w:t>a</w:t>
      </w:r>
      <w:r w:rsidRPr="00BB11AF">
        <w:t>cieux processus de modernisation. Ce dernier ne s'arrêtera plus. Assiste-t-on aujourd'hui, en 2012, à un renversement de tenda</w:t>
      </w:r>
      <w:r w:rsidRPr="00BB11AF">
        <w:t>n</w:t>
      </w:r>
      <w:r w:rsidRPr="00BB11AF">
        <w:t>ce après près de deux siècles de « réformisme » ? Voilà une question qui peut expl</w:t>
      </w:r>
      <w:r w:rsidRPr="00BB11AF">
        <w:t>i</w:t>
      </w:r>
      <w:r w:rsidRPr="00BB11AF">
        <w:t>quer la profondeur de la crise dans laquelle le pays est plongé. La T</w:t>
      </w:r>
      <w:r w:rsidRPr="00BB11AF">
        <w:t>u</w:t>
      </w:r>
      <w:r w:rsidRPr="00BB11AF">
        <w:t>nisie est également le pays le plus littoral, le plus sédentaire et le plus urbanisé du Maghreb. Peuple d'agriculteurs et d'artisans plus que d'éleveurs et de n</w:t>
      </w:r>
      <w:r w:rsidRPr="00BB11AF">
        <w:t>o</w:t>
      </w:r>
      <w:r w:rsidRPr="00BB11AF">
        <w:t>mades, elle a produit dès le milieu du XIX</w:t>
      </w:r>
      <w:r w:rsidRPr="00BB11AF">
        <w:rPr>
          <w:vertAlign w:val="superscript"/>
        </w:rPr>
        <w:t xml:space="preserve">e </w:t>
      </w:r>
      <w:r w:rsidRPr="00BB11AF">
        <w:t>siècle une catégorie de lettrés ouverts aux vents de la modernité.</w:t>
      </w:r>
    </w:p>
    <w:p w:rsidR="003A3061" w:rsidRPr="00BB11AF" w:rsidRDefault="003A3061" w:rsidP="003A3061">
      <w:pPr>
        <w:spacing w:before="120" w:after="120"/>
        <w:jc w:val="both"/>
      </w:pPr>
      <w:r w:rsidRPr="00BB11AF">
        <w:t>Bien avant la colonisation, la question de la modernité a en effet été posée par les élites intellectuelles et politiques qui ont posé les prémisses d'un État national autonome. En 1861, la R</w:t>
      </w:r>
      <w:r w:rsidRPr="00BB11AF">
        <w:t>é</w:t>
      </w:r>
      <w:r w:rsidRPr="00BB11AF">
        <w:t>gence de Tunis se dote de la première Constitution du monde arabe, préfigurant une m</w:t>
      </w:r>
      <w:r w:rsidRPr="00BB11AF">
        <w:t>o</w:t>
      </w:r>
      <w:r w:rsidRPr="00BB11AF">
        <w:t>narchie constitutionnelle. Dès le début du XX</w:t>
      </w:r>
      <w:r w:rsidRPr="00BB11AF">
        <w:rPr>
          <w:vertAlign w:val="superscript"/>
        </w:rPr>
        <w:t>e</w:t>
      </w:r>
      <w:r w:rsidRPr="00BB11AF">
        <w:t xml:space="preserve"> siècle, la question de la condition féminine fait débat dans les couches urbaines éd</w:t>
      </w:r>
      <w:r w:rsidRPr="00BB11AF">
        <w:t>u</w:t>
      </w:r>
      <w:r w:rsidRPr="00BB11AF">
        <w:t>quées. Elle partage avec l'Égypte cette trajectoire réformiste. Contra</w:t>
      </w:r>
      <w:r w:rsidRPr="00BB11AF">
        <w:t>i</w:t>
      </w:r>
      <w:r w:rsidRPr="00BB11AF">
        <w:t>rement à ce</w:t>
      </w:r>
      <w:r w:rsidRPr="00BB11AF">
        <w:t>t</w:t>
      </w:r>
      <w:r w:rsidRPr="00BB11AF">
        <w:t>te dernière où le national-populisme panarabe triomphe en 1952, dès l'indépendance en 1956, le régime bourguibien, pour autor</w:t>
      </w:r>
      <w:r w:rsidRPr="00BB11AF">
        <w:t>i</w:t>
      </w:r>
      <w:r w:rsidRPr="00BB11AF">
        <w:t>taire qu'il ait été, a ancré quelques principes fondamentaux de la m</w:t>
      </w:r>
      <w:r w:rsidRPr="00BB11AF">
        <w:t>o</w:t>
      </w:r>
      <w:r w:rsidRPr="00BB11AF">
        <w:t>dernité dans les lois et dans les pratiques sociales. Il a forgé parall</w:t>
      </w:r>
      <w:r w:rsidRPr="00BB11AF">
        <w:t>è</w:t>
      </w:r>
      <w:r w:rsidRPr="00BB11AF">
        <w:t>lement la notion de « Tunisianité », coupant ainsi son pays des te</w:t>
      </w:r>
      <w:r w:rsidRPr="00BB11AF">
        <w:t>n</w:t>
      </w:r>
      <w:r w:rsidRPr="00BB11AF">
        <w:t>dances alors majoritaires dans le monde arabe. En 1957, avec l'abol</w:t>
      </w:r>
      <w:r w:rsidRPr="00BB11AF">
        <w:t>i</w:t>
      </w:r>
      <w:r w:rsidRPr="00BB11AF">
        <w:t>tion de la monarchie, la Tunisie est devenue, avec le L</w:t>
      </w:r>
      <w:r w:rsidRPr="00BB11AF">
        <w:t>i</w:t>
      </w:r>
      <w:r w:rsidRPr="00BB11AF">
        <w:t>ban, une des deux seules républiques civiles de la région.</w:t>
      </w:r>
    </w:p>
    <w:p w:rsidR="003A3061" w:rsidRPr="00BB11AF" w:rsidRDefault="003A3061" w:rsidP="003A3061">
      <w:pPr>
        <w:spacing w:before="120" w:after="120"/>
        <w:jc w:val="both"/>
      </w:pPr>
      <w:r w:rsidRPr="00BB11AF">
        <w:t>Le régime de Zine El Abidine Ben Ali n'est pas parvenu, en 23 ans de règne, à déconstruire totalement ce passé. Largement détribalisée, urbanisée et éduquée, la société tunisienne porte en elle la mémoire de cette histoire. Néanmoins, elle est également porteuse d'un autre récit, celui de la dissidence et de l'ancrage dans un autre socle, probabl</w:t>
      </w:r>
      <w:r w:rsidRPr="00BB11AF">
        <w:t>e</w:t>
      </w:r>
      <w:r w:rsidRPr="00BB11AF">
        <w:t>ment aussi solidement ancré dans les mémoires collectives que celle du réformisme moderniste. Le « peuple », que l'on n'appelait pas e</w:t>
      </w:r>
      <w:r w:rsidRPr="00BB11AF">
        <w:t>n</w:t>
      </w:r>
      <w:r w:rsidRPr="00BB11AF">
        <w:t>core ainsi, s'est révolté en 1864 contre la monarchie. Cette révolte, partie des régions intérieures déshéritées, tenta de mettre à bas un pouvoir beylical écrasant sous l'impôt une population misérable et fut réprimée férocement.</w:t>
      </w:r>
    </w:p>
    <w:p w:rsidR="003A3061" w:rsidRPr="00BB11AF" w:rsidRDefault="003A3061" w:rsidP="003A3061">
      <w:pPr>
        <w:spacing w:before="120" w:after="120"/>
        <w:jc w:val="both"/>
      </w:pPr>
      <w:r w:rsidRPr="00BB11AF">
        <w:t>[11]</w:t>
      </w:r>
    </w:p>
    <w:p w:rsidR="003A3061" w:rsidRPr="00BB11AF" w:rsidRDefault="003A3061" w:rsidP="003A3061">
      <w:pPr>
        <w:spacing w:before="120" w:after="120"/>
        <w:jc w:val="both"/>
      </w:pPr>
      <w:r w:rsidRPr="00BB11AF">
        <w:t>Les mots d'ordre de cette révolte étaient religieux et conse</w:t>
      </w:r>
      <w:r w:rsidRPr="00BB11AF">
        <w:t>r</w:t>
      </w:r>
      <w:r w:rsidRPr="00BB11AF">
        <w:t>vateurs, car les secteurs les plus conservateurs de la société tentèrent alors, à tr</w:t>
      </w:r>
      <w:r w:rsidRPr="00BB11AF">
        <w:t>a</w:t>
      </w:r>
      <w:r w:rsidRPr="00BB11AF">
        <w:t>vers elle, de faire tomber une monarchie trop réformatrice à leurs yeux. En 1906, les mêmes régions se révo</w:t>
      </w:r>
      <w:r w:rsidRPr="00BB11AF">
        <w:t>l</w:t>
      </w:r>
      <w:r w:rsidRPr="00BB11AF">
        <w:t>tèrent au nom de l'islam contre le colonisateur. À l'aube de l'i</w:t>
      </w:r>
      <w:r w:rsidRPr="00BB11AF">
        <w:t>n</w:t>
      </w:r>
      <w:r w:rsidRPr="00BB11AF">
        <w:t>dépendance, sous la bannière du yousséfisme, une partie de la population-majoritairement dans l'int</w:t>
      </w:r>
      <w:r w:rsidRPr="00BB11AF">
        <w:t>é</w:t>
      </w:r>
      <w:r w:rsidRPr="00BB11AF">
        <w:t>rieur du pays - se souleva une fois encore au nom de la tradition, de l'arabité et de l'islam contre le pouvoir bourguibien naissant.</w:t>
      </w:r>
    </w:p>
    <w:p w:rsidR="003A3061" w:rsidRPr="00BB11AF" w:rsidRDefault="003A3061" w:rsidP="003A3061">
      <w:pPr>
        <w:spacing w:before="120" w:after="120"/>
        <w:jc w:val="both"/>
      </w:pPr>
      <w:r w:rsidRPr="00BB11AF">
        <w:t>Ce rappel permet de comprendre certains aspects de la crise actue</w:t>
      </w:r>
      <w:r w:rsidRPr="00BB11AF">
        <w:t>l</w:t>
      </w:r>
      <w:r w:rsidRPr="00BB11AF">
        <w:t>le :la Tunisie intérieure « profonde » se sent depuis toujours lai</w:t>
      </w:r>
      <w:r w:rsidRPr="00BB11AF">
        <w:t>s</w:t>
      </w:r>
      <w:r w:rsidRPr="00BB11AF">
        <w:t>sée pour compte par la bourgeoisie urbaine et les classes moyennes côti</w:t>
      </w:r>
      <w:r w:rsidRPr="00BB11AF">
        <w:t>è</w:t>
      </w:r>
      <w:r w:rsidRPr="00BB11AF">
        <w:t>res entreprenantes qui ont constitué la base sociale des modern</w:t>
      </w:r>
      <w:r w:rsidRPr="00BB11AF">
        <w:t>i</w:t>
      </w:r>
      <w:r w:rsidRPr="00BB11AF">
        <w:t>sateurs et, en particulier, de Bourguiba. Ce dernier a tenté de réconc</w:t>
      </w:r>
      <w:r w:rsidRPr="00BB11AF">
        <w:t>i</w:t>
      </w:r>
      <w:r w:rsidRPr="00BB11AF">
        <w:t>lier ces deux Tunisie par le biais des ascenseurs sociaux de l'éducation et de choix économiques créateurs d'emplois à partir de 1970. Aujou</w:t>
      </w:r>
      <w:r w:rsidRPr="00BB11AF">
        <w:t>r</w:t>
      </w:r>
      <w:r w:rsidRPr="00BB11AF">
        <w:t>d'hui, de nouveau, le clivage entre les deux constitue l'un des éléments de la crise. Y a-t-il de nouveau - comme certains l'affirment-confrontation, non pas entre deux Tunisie politiques, mais entre deux Tunisie a</w:t>
      </w:r>
      <w:r w:rsidRPr="00BB11AF">
        <w:t>n</w:t>
      </w:r>
      <w:r w:rsidRPr="00BB11AF">
        <w:t>thropologiques qui se, sont toujours fait face sans jamais se compre</w:t>
      </w:r>
      <w:r w:rsidRPr="00BB11AF">
        <w:t>n</w:t>
      </w:r>
      <w:r w:rsidRPr="00BB11AF">
        <w:t>dre ? Et en quoi consisterait alors cette fameuse « exception tunisie</w:t>
      </w:r>
      <w:r w:rsidRPr="00BB11AF">
        <w:t>n</w:t>
      </w:r>
      <w:r w:rsidRPr="00BB11AF">
        <w:t>ne » dont le déclin possible est au fondement des secousses d'aujou</w:t>
      </w:r>
      <w:r w:rsidRPr="00BB11AF">
        <w:t>r</w:t>
      </w:r>
      <w:r w:rsidRPr="00BB11AF">
        <w:t>d'hui ?</w:t>
      </w:r>
    </w:p>
    <w:p w:rsidR="003A3061" w:rsidRPr="00BB11AF" w:rsidRDefault="003A3061" w:rsidP="003A3061">
      <w:pPr>
        <w:spacing w:before="120" w:after="120"/>
        <w:jc w:val="both"/>
      </w:pPr>
    </w:p>
    <w:p w:rsidR="003A3061" w:rsidRPr="00BB11AF" w:rsidRDefault="003A3061" w:rsidP="003A3061">
      <w:pPr>
        <w:pStyle w:val="planche"/>
      </w:pPr>
      <w:r w:rsidRPr="00BB11AF">
        <w:t>La crise de la fin du XX</w:t>
      </w:r>
      <w:r w:rsidRPr="00BB11AF">
        <w:rPr>
          <w:vertAlign w:val="superscript"/>
        </w:rPr>
        <w:t>e</w:t>
      </w:r>
      <w:r w:rsidRPr="00BB11AF">
        <w:t xml:space="preserve"> siècle</w:t>
      </w:r>
    </w:p>
    <w:p w:rsidR="003A3061" w:rsidRPr="00BB11AF" w:rsidRDefault="003A3061" w:rsidP="003A3061">
      <w:pPr>
        <w:spacing w:before="120" w:after="120"/>
        <w:jc w:val="both"/>
      </w:pPr>
    </w:p>
    <w:p w:rsidR="003A3061" w:rsidRPr="00BB11AF" w:rsidRDefault="003A3061" w:rsidP="003A3061">
      <w:pPr>
        <w:pStyle w:val="a"/>
      </w:pPr>
      <w:r w:rsidRPr="00BB11AF">
        <w:t>L'héritage bourguibien entre épuisement et dévoiement</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La Tunisie est un des trois États musulmans, après la Turquie k</w:t>
      </w:r>
      <w:r w:rsidRPr="00BB11AF">
        <w:t>é</w:t>
      </w:r>
      <w:r w:rsidRPr="00BB11AF">
        <w:t>maliste et l'Iran du premier Palhavi, a avoir connu un processus rad</w:t>
      </w:r>
      <w:r w:rsidRPr="00BB11AF">
        <w:t>i</w:t>
      </w:r>
      <w:r w:rsidRPr="00BB11AF">
        <w:t>cal de modernisation autoritaire. De 1956 à la fin des années 1960, les réformes de Bourguiba ont détruit des infra</w:t>
      </w:r>
      <w:r w:rsidRPr="00BB11AF">
        <w:t>s</w:t>
      </w:r>
      <w:r w:rsidRPr="00BB11AF">
        <w:t>tructures traditionnelles et des modes de fonctionnement sociétaux dont la colonisation avait a</w:t>
      </w:r>
      <w:r w:rsidRPr="00BB11AF">
        <w:t>c</w:t>
      </w:r>
      <w:r w:rsidRPr="00BB11AF">
        <w:t>céléré le délabrement. En matière démographique, familiale, de ra</w:t>
      </w:r>
      <w:r w:rsidRPr="00BB11AF">
        <w:t>p</w:t>
      </w:r>
      <w:r w:rsidRPr="00BB11AF">
        <w:t>ports hommes-femmes, de distribution de la population sur le territo</w:t>
      </w:r>
      <w:r w:rsidRPr="00BB11AF">
        <w:t>i</w:t>
      </w:r>
      <w:r w:rsidRPr="00BB11AF">
        <w:t>re et de rapports de force économiques et sociaux, le pays a été boul</w:t>
      </w:r>
      <w:r w:rsidRPr="00BB11AF">
        <w:t>e</w:t>
      </w:r>
      <w:r w:rsidRPr="00BB11AF">
        <w:t>versé. Sur le plan politique, en revanche, aucun processus de dém</w:t>
      </w:r>
      <w:r w:rsidRPr="00BB11AF">
        <w:t>o</w:t>
      </w:r>
      <w:r w:rsidRPr="00BB11AF">
        <w:t>cratisation n'a été enclenché en trente ans d'autocratie bourgu</w:t>
      </w:r>
      <w:r w:rsidRPr="00BB11AF">
        <w:t>i</w:t>
      </w:r>
      <w:r w:rsidRPr="00BB11AF">
        <w:t>bienne. Terminé sur un coup d'État « constitutionnel », ce long règne po</w:t>
      </w:r>
      <w:r w:rsidRPr="00BB11AF">
        <w:t>u</w:t>
      </w:r>
      <w:r w:rsidRPr="00BB11AF">
        <w:t>vait-il déboucher sur un processus de modernisation de la sphère politique, c'est-à-dire de démocratisation ?</w:t>
      </w:r>
    </w:p>
    <w:p w:rsidR="003A3061" w:rsidRPr="00BB11AF" w:rsidRDefault="003A3061" w:rsidP="003A3061">
      <w:pPr>
        <w:spacing w:before="120" w:after="120"/>
        <w:jc w:val="both"/>
      </w:pPr>
      <w:r w:rsidRPr="00BB11AF">
        <w:t>C'est, en tous cas, l'inverse qui s'est produit. En effet, le pays est passé, sous Ben Ali, de l'État autoritaire à l'État policier au sens pr</w:t>
      </w:r>
      <w:r w:rsidRPr="00BB11AF">
        <w:t>o</w:t>
      </w:r>
      <w:r w:rsidRPr="00BB11AF">
        <w:t>pre du terme, c'est-à-dire qu'il était gouverné non plus par l'in</w:t>
      </w:r>
      <w:r w:rsidRPr="00BB11AF">
        <w:t>s</w:t>
      </w:r>
      <w:r w:rsidRPr="00BB11AF">
        <w:t>tance politique, mais par sa police. Dans un pays où la notion d'État fait sens depuis quelque deux</w:t>
      </w:r>
      <w:r>
        <w:t xml:space="preserve"> </w:t>
      </w:r>
      <w:r w:rsidRPr="00BB11AF">
        <w:t>[12]</w:t>
      </w:r>
      <w:r>
        <w:t xml:space="preserve"> </w:t>
      </w:r>
      <w:r w:rsidRPr="00BB11AF">
        <w:t>siècles, le régime de Zine El Abidine Ben Ali l'a privatisé au profit d'un clan qui en a fait sa propriété. À la po</w:t>
      </w:r>
      <w:r w:rsidRPr="00BB11AF">
        <w:t>i</w:t>
      </w:r>
      <w:r w:rsidRPr="00BB11AF">
        <w:t>gne paternaliste de Bou</w:t>
      </w:r>
      <w:r w:rsidRPr="00BB11AF">
        <w:t>r</w:t>
      </w:r>
      <w:r w:rsidRPr="00BB11AF">
        <w:t>guiba a succédé l'arrogance d'une poignée de pillards décidés à pérenniser par tous les moyens leur pouvoir. En m</w:t>
      </w:r>
      <w:r w:rsidRPr="00BB11AF">
        <w:t>a</w:t>
      </w:r>
      <w:r w:rsidRPr="00BB11AF">
        <w:t>tière sociétale, le su</w:t>
      </w:r>
      <w:r w:rsidRPr="00BB11AF">
        <w:t>c</w:t>
      </w:r>
      <w:r w:rsidRPr="00BB11AF">
        <w:t>cesseur de Bourguiba n'a pas remis en question le projet moderni</w:t>
      </w:r>
      <w:r w:rsidRPr="00BB11AF">
        <w:t>s</w:t>
      </w:r>
      <w:r w:rsidRPr="00BB11AF">
        <w:t>te dont il a, au contraire, fait un fonds de commerce pour améliorer son image internationale, mais s'est en réalité contenté de le gérer de façon minimaliste, comme en témoigne sa gestion du champ religieux : la réislamisation du discours et des pratiques off</w:t>
      </w:r>
      <w:r w:rsidRPr="00BB11AF">
        <w:t>i</w:t>
      </w:r>
      <w:r w:rsidRPr="00BB11AF">
        <w:t>cielles a tenu lieu de stratégie de lutte contre l'islam politique, féroc</w:t>
      </w:r>
      <w:r w:rsidRPr="00BB11AF">
        <w:t>e</w:t>
      </w:r>
      <w:r w:rsidRPr="00BB11AF">
        <w:t>ment réprimé par ai</w:t>
      </w:r>
      <w:r w:rsidRPr="00BB11AF">
        <w:t>l</w:t>
      </w:r>
      <w:r w:rsidRPr="00BB11AF">
        <w:t>leurs.</w:t>
      </w:r>
    </w:p>
    <w:p w:rsidR="003A3061" w:rsidRPr="00BB11AF" w:rsidRDefault="003A3061" w:rsidP="003A3061">
      <w:pPr>
        <w:spacing w:before="120" w:after="120"/>
        <w:jc w:val="both"/>
      </w:pPr>
    </w:p>
    <w:p w:rsidR="003A3061" w:rsidRPr="00BB11AF" w:rsidRDefault="003A3061" w:rsidP="003A3061">
      <w:pPr>
        <w:pStyle w:val="a"/>
      </w:pPr>
      <w:r w:rsidRPr="00BB11AF">
        <w:t>Essoufflement économique</w:t>
      </w:r>
      <w:r>
        <w:br/>
      </w:r>
      <w:r w:rsidRPr="00BB11AF">
        <w:t>et panne de l'ascenseur social</w:t>
      </w:r>
    </w:p>
    <w:p w:rsidR="003A3061" w:rsidRPr="00BB11AF" w:rsidRDefault="003A3061" w:rsidP="003A3061">
      <w:pPr>
        <w:spacing w:before="120" w:after="120"/>
        <w:jc w:val="both"/>
      </w:pPr>
    </w:p>
    <w:p w:rsidR="003A3061" w:rsidRPr="00BB11AF" w:rsidRDefault="003A3061" w:rsidP="003A3061">
      <w:pPr>
        <w:pStyle w:val="b"/>
      </w:pPr>
      <w:r w:rsidRPr="00BB11AF">
        <w:t>• Quelques données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La Tunisie n'est pas un pays rentier. Elle n'a que de modestes r</w:t>
      </w:r>
      <w:r w:rsidRPr="00BB11AF">
        <w:t>i</w:t>
      </w:r>
      <w:r w:rsidRPr="00BB11AF">
        <w:t>chesses naturelles. Contrairement aux voisins (Algérie et L</w:t>
      </w:r>
      <w:r w:rsidRPr="00BB11AF">
        <w:t>i</w:t>
      </w:r>
      <w:r w:rsidRPr="00BB11AF">
        <w:t>bye), la paix sociale ne peut y être achetée par la rente et la d</w:t>
      </w:r>
      <w:r w:rsidRPr="00BB11AF">
        <w:t>e</w:t>
      </w:r>
      <w:r w:rsidRPr="00BB11AF">
        <w:t>mande sociale ne peut être satisfaite que par une économie de production. Malgré une brève expérience « socialiste » (1962-1969) rejetée avec force par la population, la Tunisie est restée en grande partie ce pays de petits propriétaires attachés au maintien de l'entreprise privée, dans le d</w:t>
      </w:r>
      <w:r w:rsidRPr="00BB11AF">
        <w:t>o</w:t>
      </w:r>
      <w:r w:rsidRPr="00BB11AF">
        <w:t>maine agricole comme industriel et tertiaire, mis à part quelques gra</w:t>
      </w:r>
      <w:r w:rsidRPr="00BB11AF">
        <w:t>n</w:t>
      </w:r>
      <w:r w:rsidRPr="00BB11AF">
        <w:t>des entreprises d'État.</w:t>
      </w:r>
    </w:p>
    <w:p w:rsidR="003A3061" w:rsidRPr="00BB11AF" w:rsidRDefault="003A3061" w:rsidP="003A3061">
      <w:pPr>
        <w:spacing w:before="120" w:after="120"/>
        <w:jc w:val="both"/>
      </w:pPr>
      <w:r w:rsidRPr="00BB11AF">
        <w:t>À partir de 1970, l'industrialisation abandonne le modèle d'import-substitution pour le modèle est-asiatique fondé sur l'exportation de biens manufacturés gros consommateurs de main-d'œuvre (quelque 40% des exportations pour le seul textile en 2010) et sur l'incitation à la délocalisation des entreprises e</w:t>
      </w:r>
      <w:r w:rsidRPr="00BB11AF">
        <w:t>u</w:t>
      </w:r>
      <w:r w:rsidRPr="00BB11AF">
        <w:t>ropéennes sur la base de l'avantage comparatif proximité gé</w:t>
      </w:r>
      <w:r w:rsidRPr="00BB11AF">
        <w:t>o</w:t>
      </w:r>
      <w:r w:rsidRPr="00BB11AF">
        <w:t>graphique/coût de la main-d'œuvre. Les deux autres sources de devises ont été le tourisme (6% du PNB, 400 000 emplois directs et un million d'emplois indirects en 2010) et l'agr</w:t>
      </w:r>
      <w:r w:rsidRPr="00BB11AF">
        <w:t>i</w:t>
      </w:r>
      <w:r w:rsidRPr="00BB11AF">
        <w:t>culture d'e</w:t>
      </w:r>
      <w:r w:rsidRPr="00BB11AF">
        <w:t>x</w:t>
      </w:r>
      <w:r w:rsidRPr="00BB11AF">
        <w:t>portation (huile d'olive et agrumes surtout).</w:t>
      </w:r>
    </w:p>
    <w:p w:rsidR="003A3061" w:rsidRPr="00BB11AF" w:rsidRDefault="003A3061" w:rsidP="003A3061">
      <w:pPr>
        <w:spacing w:before="120" w:after="120"/>
        <w:jc w:val="both"/>
      </w:pPr>
      <w:r w:rsidRPr="00BB11AF">
        <w:t>Le modèle a marché un temps : une partie importante de la popul</w:t>
      </w:r>
      <w:r w:rsidRPr="00BB11AF">
        <w:t>a</w:t>
      </w:r>
      <w:r w:rsidRPr="00BB11AF">
        <w:t>tion est sortie de la grande pauvreté à partir des années 1970 et la rel</w:t>
      </w:r>
      <w:r w:rsidRPr="00BB11AF">
        <w:t>a</w:t>
      </w:r>
      <w:r w:rsidRPr="00BB11AF">
        <w:t>tive importance des transferts sociaux (19% du PNB) a permis à l'a</w:t>
      </w:r>
      <w:r w:rsidRPr="00BB11AF">
        <w:t>s</w:t>
      </w:r>
      <w:r w:rsidRPr="00BB11AF">
        <w:t>censeur social de fonctionner, principalement par le biais de la génér</w:t>
      </w:r>
      <w:r w:rsidRPr="00BB11AF">
        <w:t>a</w:t>
      </w:r>
      <w:r w:rsidRPr="00BB11AF">
        <w:t>lisation de l'enseignement. Mais à partir du début des années 1990, les logiques claniques du pouvoir benalien ont orienté la distr</w:t>
      </w:r>
      <w:r w:rsidRPr="00BB11AF">
        <w:t>i</w:t>
      </w:r>
      <w:r w:rsidRPr="00BB11AF">
        <w:t>bution de la richesse nationale vers un mode clientéliste qui a aggravé les frustr</w:t>
      </w:r>
      <w:r w:rsidRPr="00BB11AF">
        <w:t>a</w:t>
      </w:r>
      <w:r w:rsidRPr="00BB11AF">
        <w:t>tions du fait du caractère limité de cette distribution. L'économie tun</w:t>
      </w:r>
      <w:r w:rsidRPr="00BB11AF">
        <w:t>i</w:t>
      </w:r>
      <w:r w:rsidRPr="00BB11AF">
        <w:t>sienne n'est pas rentière, mais sa gestion pendant 20 ans l'a été.</w:t>
      </w:r>
    </w:p>
    <w:p w:rsidR="003A3061" w:rsidRPr="00BB11AF" w:rsidRDefault="003A3061" w:rsidP="003A3061">
      <w:pPr>
        <w:spacing w:before="120" w:after="120"/>
        <w:jc w:val="both"/>
      </w:pPr>
    </w:p>
    <w:p w:rsidR="003A3061" w:rsidRPr="00BB11AF" w:rsidRDefault="003A3061" w:rsidP="003A3061">
      <w:pPr>
        <w:pStyle w:val="b"/>
      </w:pPr>
      <w:r w:rsidRPr="00BB11AF">
        <w:t>• Déséquilibres et contradictions du système</w:t>
      </w:r>
    </w:p>
    <w:p w:rsidR="003A3061" w:rsidRDefault="003A3061" w:rsidP="003A3061">
      <w:pPr>
        <w:spacing w:before="120" w:after="120"/>
        <w:jc w:val="both"/>
      </w:pPr>
    </w:p>
    <w:p w:rsidR="003A3061" w:rsidRPr="00BB11AF" w:rsidRDefault="003A3061" w:rsidP="003A3061">
      <w:pPr>
        <w:spacing w:before="120" w:after="120"/>
        <w:jc w:val="both"/>
      </w:pPr>
      <w:r w:rsidRPr="00BB11AF">
        <w:t>[13]</w:t>
      </w:r>
    </w:p>
    <w:p w:rsidR="003A3061" w:rsidRPr="00BB11AF" w:rsidRDefault="003A3061" w:rsidP="003A3061">
      <w:pPr>
        <w:spacing w:before="120" w:after="120"/>
        <w:jc w:val="both"/>
      </w:pPr>
      <w:r w:rsidRPr="00BB11AF">
        <w:t>Contrairement aux modèles asiatiques, la Tunisie n'a pas su faire de politique de remontée de filières et s'est cantonnée à des act</w:t>
      </w:r>
      <w:r w:rsidRPr="00BB11AF">
        <w:t>i</w:t>
      </w:r>
      <w:r w:rsidRPr="00BB11AF">
        <w:t>vités de sous-traitance à faible valeur ajoutée et dangereusement dépenda</w:t>
      </w:r>
      <w:r w:rsidRPr="00BB11AF">
        <w:t>n</w:t>
      </w:r>
      <w:r w:rsidRPr="00BB11AF">
        <w:t>tes des marchés européens. Le tourisme a connu la même évol</w:t>
      </w:r>
      <w:r w:rsidRPr="00BB11AF">
        <w:t>u</w:t>
      </w:r>
      <w:r w:rsidRPr="00BB11AF">
        <w:t>tion : le tourisme de masse a été privilégié au détriment d'un produit de qu</w:t>
      </w:r>
      <w:r w:rsidRPr="00BB11AF">
        <w:t>a</w:t>
      </w:r>
      <w:r w:rsidRPr="00BB11AF">
        <w:t>lité. Cette activité est, de ce fait, à la merci des diktats des tours opér</w:t>
      </w:r>
      <w:r w:rsidRPr="00BB11AF">
        <w:t>a</w:t>
      </w:r>
      <w:r w:rsidRPr="00BB11AF">
        <w:t>teurs occidentaux.</w:t>
      </w:r>
    </w:p>
    <w:p w:rsidR="003A3061" w:rsidRPr="00BB11AF" w:rsidRDefault="003A3061" w:rsidP="003A3061">
      <w:pPr>
        <w:spacing w:before="120" w:after="120"/>
        <w:jc w:val="both"/>
      </w:pPr>
      <w:r w:rsidRPr="00BB11AF">
        <w:t>Or, en même temps, la politique éducative centrée de façon très démagogique sur le développement exponentiel de l'enseignement supérieur, a fabriqué des dizaines de milliers de diplômés que la stru</w:t>
      </w:r>
      <w:r w:rsidRPr="00BB11AF">
        <w:t>c</w:t>
      </w:r>
      <w:r w:rsidRPr="00BB11AF">
        <w:t>tur</w:t>
      </w:r>
      <w:r w:rsidRPr="00BB11AF">
        <w:t>a</w:t>
      </w:r>
      <w:r w:rsidRPr="00BB11AF">
        <w:t>tion de l'économie est incapable d'absorber. En effet, son type de spécialisation fait qu'elle n'a pas besoin d'une main-d'œuvre très qual</w:t>
      </w:r>
      <w:r w:rsidRPr="00BB11AF">
        <w:t>i</w:t>
      </w:r>
      <w:r w:rsidRPr="00BB11AF">
        <w:t>fiée. Les rares secteurs montés en gamme qui en ont besoin ne se s</w:t>
      </w:r>
      <w:r w:rsidRPr="00BB11AF">
        <w:t>a</w:t>
      </w:r>
      <w:r w:rsidRPr="00BB11AF">
        <w:t>tisfont pas du faible niveau de qualification des diplômés de l'unive</w:t>
      </w:r>
      <w:r w:rsidRPr="00BB11AF">
        <w:t>r</w:t>
      </w:r>
      <w:r w:rsidRPr="00BB11AF">
        <w:t>sité tun</w:t>
      </w:r>
      <w:r w:rsidRPr="00BB11AF">
        <w:t>i</w:t>
      </w:r>
      <w:r w:rsidRPr="00BB11AF">
        <w:t>sienne.</w:t>
      </w:r>
    </w:p>
    <w:p w:rsidR="003A3061" w:rsidRPr="00BB11AF" w:rsidRDefault="003A3061" w:rsidP="003A3061">
      <w:pPr>
        <w:spacing w:before="120" w:after="120"/>
        <w:jc w:val="both"/>
      </w:pPr>
      <w:r w:rsidRPr="00BB11AF">
        <w:t>Quant aux déséquilibres régionaux, ils ont des causes à la fois pol</w:t>
      </w:r>
      <w:r w:rsidRPr="00BB11AF">
        <w:t>i</w:t>
      </w:r>
      <w:r w:rsidRPr="00BB11AF">
        <w:t>tiques et économiques. Le choix économique de l'extraversion a priv</w:t>
      </w:r>
      <w:r w:rsidRPr="00BB11AF">
        <w:t>i</w:t>
      </w:r>
      <w:r w:rsidRPr="00BB11AF">
        <w:t>légié le littoral par rapport à l'intérieur du pays : industries exportatr</w:t>
      </w:r>
      <w:r w:rsidRPr="00BB11AF">
        <w:t>i</w:t>
      </w:r>
      <w:r w:rsidRPr="00BB11AF">
        <w:t>ces, activités touristiques et infrastructures se sont concentrées le long de la côte, laissant à l'intérieur une grande agriculture céréalière et oléicole et les industries minières, une petite paysannerie marginal</w:t>
      </w:r>
      <w:r w:rsidRPr="00BB11AF">
        <w:t>i</w:t>
      </w:r>
      <w:r w:rsidRPr="00BB11AF">
        <w:t>sée et des villes sans d</w:t>
      </w:r>
      <w:r w:rsidRPr="00BB11AF">
        <w:t>y</w:t>
      </w:r>
      <w:r w:rsidRPr="00BB11AF">
        <w:t>namisme. Cette tendance a été accentuée par le fait que les élites ayant gouverné le pays depuis 1956 sont côtières, sahéliennes en particulier, et ont eu maille à partir avec la vieille trad</w:t>
      </w:r>
      <w:r w:rsidRPr="00BB11AF">
        <w:t>i</w:t>
      </w:r>
      <w:r w:rsidRPr="00BB11AF">
        <w:t>tion de dissidence des régions montagneuses de l'Ouest. Les débuts de l'indépendance ont été marqués par les affrontements entre ces deux Tunisie et se sont soldés par la victoire de la Tunisie urbaine et littor</w:t>
      </w:r>
      <w:r w:rsidRPr="00BB11AF">
        <w:t>a</w:t>
      </w:r>
      <w:r w:rsidRPr="00BB11AF">
        <w:t>le.</w:t>
      </w:r>
    </w:p>
    <w:p w:rsidR="003A3061" w:rsidRPr="00BB11AF" w:rsidRDefault="003A3061" w:rsidP="003A3061">
      <w:pPr>
        <w:spacing w:before="120" w:after="120"/>
        <w:jc w:val="both"/>
      </w:pPr>
    </w:p>
    <w:p w:rsidR="003A3061" w:rsidRPr="00BB11AF" w:rsidRDefault="003A3061" w:rsidP="003A3061">
      <w:pPr>
        <w:pStyle w:val="a"/>
      </w:pPr>
      <w:r w:rsidRPr="00BB11AF">
        <w:t>L'épuisement du modèle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À partir de la fin des années 1990, il devenait de plus en plus clair que la politique mise en œuvre depuis le début des années 1970 ne pouvait plus apporter de nouveaux dividendes et que la Tunisie vivait sur ses acquis. L'ajustement structurel de la fin des années 1980 avait déjà commencé à précariser les catégories inférieures des classes moye</w:t>
      </w:r>
      <w:r w:rsidRPr="00BB11AF">
        <w:t>n</w:t>
      </w:r>
      <w:r w:rsidRPr="00BB11AF">
        <w:t>nes qui ont dès lors décroché du reste des classes moyennes. L'inve</w:t>
      </w:r>
      <w:r w:rsidRPr="00BB11AF">
        <w:t>r</w:t>
      </w:r>
      <w:r w:rsidRPr="00BB11AF">
        <w:t>sion de tendance se confirme par l'analyse de l'évolution du taux de pauvreté : alors qu'il a baissé rapidement de 1975 à 1985 (22% de la population en 1975, 7,7% en 1985), sa baisse se ralentit nett</w:t>
      </w:r>
      <w:r w:rsidRPr="00BB11AF">
        <w:t>e</w:t>
      </w:r>
      <w:r w:rsidRPr="00BB11AF">
        <w:t>ment à partir de 1990</w:t>
      </w:r>
      <w:r>
        <w:t> </w:t>
      </w:r>
      <w:r>
        <w:rPr>
          <w:rStyle w:val="Appelnotedebasdep"/>
        </w:rPr>
        <w:footnoteReference w:id="2"/>
      </w:r>
      <w:r w:rsidRPr="00BB11AF">
        <w:t>. Les bases de la crise sociale étaient jetées.</w:t>
      </w:r>
    </w:p>
    <w:p w:rsidR="003A3061" w:rsidRPr="00BB11AF" w:rsidRDefault="003A3061" w:rsidP="003A3061">
      <w:pPr>
        <w:spacing w:before="120" w:after="120"/>
        <w:jc w:val="both"/>
      </w:pPr>
    </w:p>
    <w:p w:rsidR="003A3061" w:rsidRPr="00BB11AF" w:rsidRDefault="003A3061" w:rsidP="003A3061">
      <w:pPr>
        <w:pStyle w:val="b"/>
      </w:pPr>
      <w:r w:rsidRPr="00BB11AF">
        <w:t>• La kleptocratie benaliste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La transformation du régime en un appareil de prédation systém</w:t>
      </w:r>
      <w:r w:rsidRPr="00BB11AF">
        <w:t>i</w:t>
      </w:r>
      <w:r w:rsidRPr="00BB11AF">
        <w:t>que a été productrice d'insécurité économique et de précarité sociale. La crainte de la prédation a aggravé le sous-investissement qui a fra</w:t>
      </w:r>
      <w:r w:rsidRPr="00BB11AF">
        <w:t>p</w:t>
      </w:r>
      <w:r w:rsidRPr="00BB11AF">
        <w:t>pé en priorité les régions les plus démunies. Les inégalités régi</w:t>
      </w:r>
      <w:r w:rsidRPr="00BB11AF">
        <w:t>o</w:t>
      </w:r>
      <w:r w:rsidRPr="00BB11AF">
        <w:t>nales et sociales s'en sont trouvées</w:t>
      </w:r>
      <w:r>
        <w:t xml:space="preserve"> </w:t>
      </w:r>
      <w:r w:rsidRPr="00BB11AF">
        <w:t>[14]</w:t>
      </w:r>
      <w:r>
        <w:t xml:space="preserve"> </w:t>
      </w:r>
      <w:r w:rsidRPr="00BB11AF">
        <w:t>accentuées. Le népotisme a exace</w:t>
      </w:r>
      <w:r w:rsidRPr="00BB11AF">
        <w:t>r</w:t>
      </w:r>
      <w:r w:rsidRPr="00BB11AF">
        <w:t>bé l'exaspération des catégories exclues des redistributions clientéli</w:t>
      </w:r>
      <w:r w:rsidRPr="00BB11AF">
        <w:t>s</w:t>
      </w:r>
      <w:r w:rsidRPr="00BB11AF">
        <w:t>tes.</w:t>
      </w:r>
    </w:p>
    <w:p w:rsidR="003A3061" w:rsidRPr="00BB11AF" w:rsidRDefault="003A3061" w:rsidP="003A3061">
      <w:pPr>
        <w:spacing w:before="120" w:after="120"/>
        <w:jc w:val="both"/>
      </w:pPr>
      <w:r>
        <w:br w:type="page"/>
      </w:r>
    </w:p>
    <w:p w:rsidR="003A3061" w:rsidRPr="00BB11AF" w:rsidRDefault="003A3061" w:rsidP="003A3061">
      <w:pPr>
        <w:pStyle w:val="b"/>
      </w:pPr>
      <w:r w:rsidRPr="00BB11AF">
        <w:t>• La crise de 2008</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Le retournement de conjoncture sur les marchés traditionnels a a</w:t>
      </w:r>
      <w:r w:rsidRPr="00BB11AF">
        <w:t>c</w:t>
      </w:r>
      <w:r w:rsidRPr="00BB11AF">
        <w:t>céléré la dégradation amorcée une dizaine d'années aupar</w:t>
      </w:r>
      <w:r w:rsidRPr="00BB11AF">
        <w:t>a</w:t>
      </w:r>
      <w:r w:rsidRPr="00BB11AF">
        <w:t>vant. La crise de l'emploi s'en est trouvée accentuée à un point insupportable. L'autisme du pouvoir a fait le reste puisqu'il n'a su traiter les revend</w:t>
      </w:r>
      <w:r w:rsidRPr="00BB11AF">
        <w:t>i</w:t>
      </w:r>
      <w:r w:rsidRPr="00BB11AF">
        <w:t>cations que par la répression, comme l'a montré la « répétition génér</w:t>
      </w:r>
      <w:r w:rsidRPr="00BB11AF">
        <w:t>a</w:t>
      </w:r>
      <w:r w:rsidRPr="00BB11AF">
        <w:t>le » de la révolte du bassin minier de 2008 de Gafsa-Metlaoui-R</w:t>
      </w:r>
      <w:r w:rsidRPr="00BB11AF">
        <w:t>e</w:t>
      </w:r>
      <w:r w:rsidRPr="00BB11AF">
        <w:t>deyef. Pendant quelque six mois, une région entière s'est soulevée contre un pouvoir central sourd à ses attentes. On n'a peut-être pas assez vu, à cette époque, à quel point cette révolte annonçait le gro</w:t>
      </w:r>
      <w:r w:rsidRPr="00BB11AF">
        <w:t>n</w:t>
      </w:r>
      <w:r w:rsidRPr="00BB11AF">
        <w:t>dement de tout un pays et, en particulier, d'un nombre de plus en plus grand d'exclus d'un système aux bénéficiaires de plus en plus rares.</w:t>
      </w:r>
    </w:p>
    <w:p w:rsidR="003A3061" w:rsidRPr="00BB11AF" w:rsidRDefault="003A3061" w:rsidP="003A3061">
      <w:pPr>
        <w:spacing w:before="120" w:after="120"/>
        <w:jc w:val="both"/>
      </w:pPr>
      <w:r w:rsidRPr="00BB11AF">
        <w:t>La fin de toute perspective d'amélioration des conditions de vie et de sortie du piège de la pauvreté rendait la Tunisie mûre pour un changement, mais lequel ? Ajustement négocié ou changement de r</w:t>
      </w:r>
      <w:r w:rsidRPr="00BB11AF">
        <w:t>é</w:t>
      </w:r>
      <w:r w:rsidRPr="00BB11AF">
        <w:t>gime ? Le propre des dictatures est qu'elles ne peuvent évoluer, l'i</w:t>
      </w:r>
      <w:r w:rsidRPr="00BB11AF">
        <w:t>m</w:t>
      </w:r>
      <w:r w:rsidRPr="00BB11AF">
        <w:t>mobilisme est le pivot de leur stratégie de survie. Quand elles chance</w:t>
      </w:r>
      <w:r w:rsidRPr="00BB11AF">
        <w:t>l</w:t>
      </w:r>
      <w:r w:rsidRPr="00BB11AF">
        <w:t>lent, leur nature même induit l'in</w:t>
      </w:r>
      <w:r w:rsidRPr="00BB11AF">
        <w:t>é</w:t>
      </w:r>
      <w:r w:rsidRPr="00BB11AF">
        <w:t>luctabilité d'un changement radical. C'est ce qui s'est passé.</w:t>
      </w:r>
    </w:p>
    <w:p w:rsidR="003A3061" w:rsidRPr="00BB11AF" w:rsidRDefault="003A3061" w:rsidP="003A3061">
      <w:pPr>
        <w:spacing w:before="120" w:after="120"/>
        <w:jc w:val="both"/>
      </w:pPr>
    </w:p>
    <w:p w:rsidR="003A3061" w:rsidRPr="00BB11AF" w:rsidRDefault="003A3061" w:rsidP="003A3061">
      <w:pPr>
        <w:pStyle w:val="planche"/>
      </w:pPr>
      <w:r w:rsidRPr="00BB11AF">
        <w:t>La révolution, séisme politique</w:t>
      </w:r>
      <w:r>
        <w:br/>
      </w:r>
      <w:r w:rsidRPr="00BB11AF">
        <w:t>et crise sociale</w:t>
      </w:r>
    </w:p>
    <w:p w:rsidR="003A3061" w:rsidRPr="00BB11AF" w:rsidRDefault="003A3061" w:rsidP="003A3061">
      <w:pPr>
        <w:spacing w:before="120" w:after="120"/>
        <w:jc w:val="both"/>
      </w:pPr>
    </w:p>
    <w:p w:rsidR="003A3061" w:rsidRPr="00BB11AF" w:rsidRDefault="003A3061" w:rsidP="003A3061">
      <w:pPr>
        <w:pStyle w:val="a"/>
      </w:pPr>
      <w:r>
        <w:t>Espoirs et incertitudes de l</w:t>
      </w:r>
      <w:r w:rsidRPr="00BB11AF">
        <w:t>'après 14 janvier 2011</w:t>
      </w:r>
    </w:p>
    <w:p w:rsidR="003A3061" w:rsidRPr="00BB11AF" w:rsidRDefault="003A3061" w:rsidP="003A3061">
      <w:pPr>
        <w:spacing w:before="120" w:after="120"/>
        <w:jc w:val="both"/>
      </w:pPr>
    </w:p>
    <w:p w:rsidR="003A3061" w:rsidRPr="00BB11AF" w:rsidRDefault="003A3061" w:rsidP="003A3061">
      <w:pPr>
        <w:pStyle w:val="b"/>
      </w:pPr>
      <w:r w:rsidRPr="00BB11AF">
        <w:t>• Une révolution démocratique ?</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En quelques jours, les Tunisiens et les Tunisiennes se sont libérés du mortel sentiment d'impuissance et de mépris de soi dans lequel ils étaient confinés. Ils se sont affranchis de la peur, libérant du même coup l'ensemble du monde arabe de sa glaci</w:t>
      </w:r>
      <w:r w:rsidRPr="00BB11AF">
        <w:t>a</w:t>
      </w:r>
      <w:r w:rsidRPr="00BB11AF">
        <w:t>tion dictatoriale. Un tel séisme n'a pour équivalent que la chute du Mur de Berlin qui libéra naguère l'Europe de l'Est de la chape de plomb poststalinienne. Les prémisses d'une révolution pu</w:t>
      </w:r>
      <w:r w:rsidRPr="00BB11AF">
        <w:t>i</w:t>
      </w:r>
      <w:r w:rsidRPr="00BB11AF">
        <w:t>sent en général dans la montée de la conscience des injustices sociales chez les classes populaires. Son premier moment p</w:t>
      </w:r>
      <w:r w:rsidRPr="00BB11AF">
        <w:t>a</w:t>
      </w:r>
      <w:r w:rsidRPr="00BB11AF">
        <w:t>roxystique, l'acte fondateur de la mise à mort de l'ancien, est un moment de réconciliation nationale. Tous les Tun</w:t>
      </w:r>
      <w:r w:rsidRPr="00BB11AF">
        <w:t>i</w:t>
      </w:r>
      <w:r w:rsidRPr="00BB11AF">
        <w:t>siens et les Tunisiennes, en lui donnant certes des contenus divers, ont fait leur la revendication de dignité (</w:t>
      </w:r>
      <w:r w:rsidRPr="00BB11AF">
        <w:rPr>
          <w:i/>
        </w:rPr>
        <w:t>karama</w:t>
      </w:r>
      <w:r w:rsidRPr="00BB11AF">
        <w:t>) qui a été un mot clef de cette révolution.</w:t>
      </w:r>
    </w:p>
    <w:p w:rsidR="003A3061" w:rsidRPr="00BB11AF" w:rsidRDefault="003A3061" w:rsidP="003A3061">
      <w:pPr>
        <w:spacing w:before="120" w:after="120"/>
        <w:jc w:val="both"/>
      </w:pPr>
      <w:r w:rsidRPr="00BB11AF">
        <w:t>[15]</w:t>
      </w:r>
    </w:p>
    <w:p w:rsidR="003A3061" w:rsidRPr="00BB11AF" w:rsidRDefault="003A3061" w:rsidP="003A3061">
      <w:pPr>
        <w:spacing w:before="120" w:after="120"/>
        <w:jc w:val="both"/>
      </w:pPr>
      <w:r w:rsidRPr="00BB11AF">
        <w:t>Le moment révolutionnaire tunisien se déroule en deux temps. Le premier va du 17 décembre 2010 à début janvier 2011, où l'acteur principal est les populations des régions déshéritées su</w:t>
      </w:r>
      <w:r w:rsidRPr="00BB11AF">
        <w:t>i</w:t>
      </w:r>
      <w:r w:rsidRPr="00BB11AF">
        <w:t>vies par les quartiers populaires des grandes villes (qui en sont le plus souvent les extensions métropolitaines), les chômeurs, les jeunes privés d'avenir. Le mythe du pays des classes moyennes se fissure. Le « peuple », ca</w:t>
      </w:r>
      <w:r w:rsidRPr="00BB11AF">
        <w:t>n</w:t>
      </w:r>
      <w:r w:rsidRPr="00BB11AF">
        <w:t>tonné depuis des décennies dans la marginalité, retrouve une existe</w:t>
      </w:r>
      <w:r w:rsidRPr="00BB11AF">
        <w:t>n</w:t>
      </w:r>
      <w:r w:rsidRPr="00BB11AF">
        <w:t>ce. Dans le second temps, celui des occupations dites de Kasbah 1 et Kasbah 2</w:t>
      </w:r>
      <w:r>
        <w:t> </w:t>
      </w:r>
      <w:r>
        <w:rPr>
          <w:rStyle w:val="Appelnotedebasdep"/>
        </w:rPr>
        <w:footnoteReference w:id="3"/>
      </w:r>
      <w:r w:rsidRPr="00BB11AF">
        <w:t>, la notion de « peuple souverain » atteint sa plénitude puisque ce dernier parvient non seulement à congédier le gouvern</w:t>
      </w:r>
      <w:r w:rsidRPr="00BB11AF">
        <w:t>e</w:t>
      </w:r>
      <w:r w:rsidRPr="00BB11AF">
        <w:t>ment, mais à bouleverser le cadre de la transition elle-même en obt</w:t>
      </w:r>
      <w:r w:rsidRPr="00BB11AF">
        <w:t>e</w:t>
      </w:r>
      <w:r w:rsidRPr="00BB11AF">
        <w:t>nant l'élection d'une Assemblée constituante, destinée à faire entrer la Tunisie dans une « deuxième république », en lieu et place des éle</w:t>
      </w:r>
      <w:r w:rsidRPr="00BB11AF">
        <w:t>c</w:t>
      </w:r>
      <w:r w:rsidRPr="00BB11AF">
        <w:t>tions présidentielles et législatives en cas de vacance du pouvoir, pr</w:t>
      </w:r>
      <w:r w:rsidRPr="00BB11AF">
        <w:t>é</w:t>
      </w:r>
      <w:r w:rsidRPr="00BB11AF">
        <w:t>vues par la Constitution de 1959 alors en vigueur.</w:t>
      </w:r>
    </w:p>
    <w:p w:rsidR="003A3061" w:rsidRPr="00BB11AF" w:rsidRDefault="003A3061" w:rsidP="003A3061">
      <w:pPr>
        <w:spacing w:before="120" w:after="120"/>
        <w:jc w:val="both"/>
      </w:pPr>
    </w:p>
    <w:p w:rsidR="003A3061" w:rsidRPr="00BB11AF" w:rsidRDefault="003A3061" w:rsidP="003A3061">
      <w:pPr>
        <w:pStyle w:val="b"/>
      </w:pPr>
      <w:r w:rsidRPr="00BB11AF">
        <w:t>• Transitibon ou crise politique ?</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La classe politique et la société civile tablent en 2011 sur une tra</w:t>
      </w:r>
      <w:r w:rsidRPr="00BB11AF">
        <w:t>n</w:t>
      </w:r>
      <w:r w:rsidRPr="00BB11AF">
        <w:t>sition qui montrerait la maturité du pays. Dans les faits, des instit</w:t>
      </w:r>
      <w:r w:rsidRPr="00BB11AF">
        <w:t>u</w:t>
      </w:r>
      <w:r w:rsidRPr="00BB11AF">
        <w:t>tions provisoires se mettent en place pour préparer des élections fixées au 23 octobre 2011. Les débats sont vifs, la presse est libre et les T</w:t>
      </w:r>
      <w:r w:rsidRPr="00BB11AF">
        <w:t>u</w:t>
      </w:r>
      <w:r w:rsidRPr="00BB11AF">
        <w:t>nisiens apprennent sur le tas et avec délices l'exercice de la vie dém</w:t>
      </w:r>
      <w:r w:rsidRPr="00BB11AF">
        <w:t>o</w:t>
      </w:r>
      <w:r w:rsidRPr="00BB11AF">
        <w:t>cratique. À condition de ne pas quitter cette sphère, on peut rester co</w:t>
      </w:r>
      <w:r w:rsidRPr="00BB11AF">
        <w:t>n</w:t>
      </w:r>
      <w:r w:rsidRPr="00BB11AF">
        <w:t>fiant dans l'avenir. Mais deux autres paramètres font que la crise n'a</w:t>
      </w:r>
      <w:r w:rsidRPr="00BB11AF">
        <w:t>p</w:t>
      </w:r>
      <w:r w:rsidRPr="00BB11AF">
        <w:t>partient pas seulement au passé. Elle prend de nouvelles formes et engage de nouveaux acteurs : les deux Tunisie et l'islam politique. E</w:t>
      </w:r>
      <w:r w:rsidRPr="00BB11AF">
        <w:t>n</w:t>
      </w:r>
      <w:r w:rsidRPr="00BB11AF">
        <w:t>fin, le choix qualifié de « populaire » - alors qu'il a été soufflé par des a</w:t>
      </w:r>
      <w:r w:rsidRPr="00BB11AF">
        <w:t>c</w:t>
      </w:r>
      <w:r w:rsidRPr="00BB11AF">
        <w:t>teurs politiques précis - d'une Assemblée constituante a ouvert la porte à, une possible crise constitutionnelle que l'on évoquera plus loin.</w:t>
      </w:r>
    </w:p>
    <w:p w:rsidR="003A3061" w:rsidRPr="00BB11AF" w:rsidRDefault="003A3061" w:rsidP="003A3061">
      <w:pPr>
        <w:spacing w:before="120" w:after="120"/>
        <w:jc w:val="both"/>
      </w:pPr>
    </w:p>
    <w:p w:rsidR="003A3061" w:rsidRPr="00BB11AF" w:rsidRDefault="003A3061" w:rsidP="003A3061">
      <w:pPr>
        <w:pStyle w:val="a"/>
      </w:pPr>
      <w:r w:rsidRPr="00BB11AF">
        <w:t>Les deux Tunisie ou que faire du bled Es-Siba ?</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Le bassin minier de Gafsa était en dissidence depuis 2008. Les r</w:t>
      </w:r>
      <w:r w:rsidRPr="00BB11AF">
        <w:t>é</w:t>
      </w:r>
      <w:r w:rsidRPr="00BB11AF">
        <w:t>gions intérieures de Sidi Bou Zid-Thala-Kasserine ég</w:t>
      </w:r>
      <w:r w:rsidRPr="00BB11AF">
        <w:t>a</w:t>
      </w:r>
      <w:r w:rsidRPr="00BB11AF">
        <w:t>lement, depuis fin 2010. Si des évènements plus ou moins violents secouent périod</w:t>
      </w:r>
      <w:r w:rsidRPr="00BB11AF">
        <w:t>i</w:t>
      </w:r>
      <w:r w:rsidRPr="00BB11AF">
        <w:t>quement l'ensemble du pays depuis la ch</w:t>
      </w:r>
      <w:r w:rsidRPr="00BB11AF">
        <w:t>u</w:t>
      </w:r>
      <w:r w:rsidRPr="00BB11AF">
        <w:t>te de la dictature, c'est dans ces régions que l'autorité de l'État est le plus contestée : mises à part les revendications sociales d'une population décidée à réclamer sa part du gâteau national dont elle estime avoir été privée, ce sont tous les sy</w:t>
      </w:r>
      <w:r w:rsidRPr="00BB11AF">
        <w:t>m</w:t>
      </w:r>
      <w:r w:rsidRPr="00BB11AF">
        <w:t>boles de l'autorité qui sont systématiquement saccagés : sièges des gouvernorats et des délégations (préfectures et sous-préfectures), tr</w:t>
      </w:r>
      <w:r w:rsidRPr="00BB11AF">
        <w:t>i</w:t>
      </w:r>
      <w:r w:rsidRPr="00BB11AF">
        <w:t>bunaux, commissariats de police, etc. Alors que la réalité éc</w:t>
      </w:r>
      <w:r w:rsidRPr="00BB11AF">
        <w:t>o</w:t>
      </w:r>
      <w:r w:rsidRPr="00BB11AF">
        <w:t>nomique et sociale de la tribu a depuis longtemps disparu, le fantasme de l'a</w:t>
      </w:r>
      <w:r w:rsidRPr="00BB11AF">
        <w:t>p</w:t>
      </w:r>
      <w:r w:rsidRPr="00BB11AF">
        <w:t>partenance tribale prime désormais dans ces r</w:t>
      </w:r>
      <w:r w:rsidRPr="00BB11AF">
        <w:t>é</w:t>
      </w:r>
      <w:r w:rsidRPr="00BB11AF">
        <w:t>gions sur d'autres types de solidarité. Plus que d'autres sympt</w:t>
      </w:r>
      <w:r w:rsidRPr="00BB11AF">
        <w:t>ô</w:t>
      </w:r>
      <w:r w:rsidRPr="00BB11AF">
        <w:t>mes, ce néo-tribalisme est le signe d'une profonde crise de l'État : il a cessé d'être craint, il n'est pas respecté, ce qui veut dire que la majorité de la population de ces r</w:t>
      </w:r>
      <w:r w:rsidRPr="00BB11AF">
        <w:t>é</w:t>
      </w:r>
      <w:r w:rsidRPr="00BB11AF">
        <w:t>gions ne le cons</w:t>
      </w:r>
      <w:r w:rsidRPr="00BB11AF">
        <w:t>i</w:t>
      </w:r>
      <w:r w:rsidRPr="00BB11AF">
        <w:t>dère pas</w:t>
      </w:r>
      <w:r>
        <w:t xml:space="preserve"> </w:t>
      </w:r>
      <w:r w:rsidRPr="00BB11AF">
        <w:t>[16]</w:t>
      </w:r>
      <w:r>
        <w:t xml:space="preserve"> </w:t>
      </w:r>
      <w:r w:rsidRPr="00BB11AF">
        <w:t>comme le sien. Nostalgie de l'État-providence et tradition disside</w:t>
      </w:r>
      <w:r w:rsidRPr="00BB11AF">
        <w:t>n</w:t>
      </w:r>
      <w:r w:rsidRPr="00BB11AF">
        <w:t>te de refus de toute autorité centrale se mélangent aujou</w:t>
      </w:r>
      <w:r w:rsidRPr="00BB11AF">
        <w:t>r</w:t>
      </w:r>
      <w:r w:rsidRPr="00BB11AF">
        <w:t>d'hui.</w:t>
      </w:r>
    </w:p>
    <w:p w:rsidR="003A3061" w:rsidRPr="00BB11AF" w:rsidRDefault="003A3061" w:rsidP="003A3061">
      <w:pPr>
        <w:spacing w:before="120" w:after="120"/>
        <w:jc w:val="both"/>
      </w:pPr>
      <w:r w:rsidRPr="00BB11AF">
        <w:t>Cette Tunisie rurale ou de petites villes, laissée pour compte, a larg</w:t>
      </w:r>
      <w:r w:rsidRPr="00BB11AF">
        <w:t>e</w:t>
      </w:r>
      <w:r w:rsidRPr="00BB11AF">
        <w:t>ment voté Ennahdha, mais pas seulement, et l'arrivée d'Ennahdha aux affaires n'a pas calmé ses revendications. Pour la première fois de son histoire, elle peut parler. À la fois conservatrice et se voulant le cœur de la révolution</w:t>
      </w:r>
      <w:r>
        <w:t> </w:t>
      </w:r>
      <w:r>
        <w:rPr>
          <w:rStyle w:val="Appelnotedebasdep"/>
        </w:rPr>
        <w:footnoteReference w:id="4"/>
      </w:r>
      <w:r w:rsidRPr="00BB11AF">
        <w:t>, elle veut peser sur les choix du pays. La litt</w:t>
      </w:r>
      <w:r w:rsidRPr="00BB11AF">
        <w:t>o</w:t>
      </w:r>
      <w:r w:rsidRPr="00BB11AF">
        <w:t>ralisation de la population fait que les régions intérieures ne p</w:t>
      </w:r>
      <w:r w:rsidRPr="00BB11AF">
        <w:t>è</w:t>
      </w:r>
      <w:r w:rsidRPr="00BB11AF">
        <w:t>sent plus que le tiers de la population totale. Cela suffit toutefois pour que la question « régionale » soit un élément central de la crise. Si le pr</w:t>
      </w:r>
      <w:r w:rsidRPr="00BB11AF">
        <w:t>o</w:t>
      </w:r>
      <w:r w:rsidRPr="00BB11AF">
        <w:t>cessus de démocratisation n'est pas remis en cause par un nouvel ép</w:t>
      </w:r>
      <w:r w:rsidRPr="00BB11AF">
        <w:t>i</w:t>
      </w:r>
      <w:r w:rsidRPr="00BB11AF">
        <w:t>sode dictatorial, ces régions n'accepteront plus le centralisme pol</w:t>
      </w:r>
      <w:r w:rsidRPr="00BB11AF">
        <w:t>i</w:t>
      </w:r>
      <w:r w:rsidRPr="00BB11AF">
        <w:t>tique et administratif. Mais jusqu'où peut aller une décentralis</w:t>
      </w:r>
      <w:r w:rsidRPr="00BB11AF">
        <w:t>a</w:t>
      </w:r>
      <w:r w:rsidRPr="00BB11AF">
        <w:t>tion, dans un tel contexte, sans remettre en cause la notion m</w:t>
      </w:r>
      <w:r w:rsidRPr="00BB11AF">
        <w:t>ê</w:t>
      </w:r>
      <w:r w:rsidRPr="00BB11AF">
        <w:t>me d'État ?</w:t>
      </w:r>
    </w:p>
    <w:p w:rsidR="003A3061" w:rsidRPr="00BB11AF" w:rsidRDefault="003A3061" w:rsidP="003A3061">
      <w:pPr>
        <w:spacing w:before="120" w:after="120"/>
        <w:jc w:val="both"/>
      </w:pPr>
    </w:p>
    <w:p w:rsidR="003A3061" w:rsidRPr="00BB11AF" w:rsidRDefault="003A3061" w:rsidP="003A3061">
      <w:pPr>
        <w:pStyle w:val="a"/>
      </w:pPr>
      <w:r>
        <w:t>Retour de l'islamisme</w:t>
      </w:r>
      <w:r>
        <w:br/>
      </w:r>
      <w:r w:rsidRPr="00BB11AF">
        <w:t>et mise en scène de la crise identitaire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Dans le monde arabe, la question identitaire présente quelques pa</w:t>
      </w:r>
      <w:r w:rsidRPr="00BB11AF">
        <w:t>r</w:t>
      </w:r>
      <w:r w:rsidRPr="00BB11AF">
        <w:t>ticularités. Alors que dans une bonne partie du monde et, en partic</w:t>
      </w:r>
      <w:r w:rsidRPr="00BB11AF">
        <w:t>u</w:t>
      </w:r>
      <w:r w:rsidRPr="00BB11AF">
        <w:t>lier, dans les démocraties européennes et américaines le multicultur</w:t>
      </w:r>
      <w:r w:rsidRPr="00BB11AF">
        <w:t>a</w:t>
      </w:r>
      <w:r w:rsidRPr="00BB11AF">
        <w:t>lisme (quels que soient les conflits qu'il peut engendrer) devient une modal</w:t>
      </w:r>
      <w:r w:rsidRPr="00BB11AF">
        <w:t>i</w:t>
      </w:r>
      <w:r w:rsidRPr="00BB11AF">
        <w:t>té majoritaire du vivre ensemble, le monde arabe se caractérise par sa difficulté à intégrer cette dimension dans son mode d'être. Les idéol</w:t>
      </w:r>
      <w:r w:rsidRPr="00BB11AF">
        <w:t>o</w:t>
      </w:r>
      <w:r w:rsidRPr="00BB11AF">
        <w:t>gies nationalistes, comme celles s'appuyant sur le référentiel religieux, se caractérisent par un refus de la pluralité et la volonté d'assurer l'hégémonie absolue de l'arabité ou de l'islam, ou plus so</w:t>
      </w:r>
      <w:r w:rsidRPr="00BB11AF">
        <w:t>u</w:t>
      </w:r>
      <w:r w:rsidRPr="00BB11AF">
        <w:t>vent des deux ensemble, sur l'ensemble du patrimoine culturel et du fonctionnement politique et sociétal des pays considérés. L'épine israélienne puis, plus récemment, les interventions occidentales en Irak ont exacerbé le sentiment d'agression et, conséquemment, l'e</w:t>
      </w:r>
      <w:r w:rsidRPr="00BB11AF">
        <w:t>n</w:t>
      </w:r>
      <w:r w:rsidRPr="00BB11AF">
        <w:t>fermement collectif dans l'obsession identitaire. Cependant, la con</w:t>
      </w:r>
      <w:r w:rsidRPr="00BB11AF">
        <w:t>s</w:t>
      </w:r>
      <w:r w:rsidRPr="00BB11AF">
        <w:t>truction d'une identité fe</w:t>
      </w:r>
      <w:r w:rsidRPr="00BB11AF">
        <w:t>r</w:t>
      </w:r>
      <w:r w:rsidRPr="00BB11AF">
        <w:t>mée n'est pas seulement de nature réactive, elle a des racines plus profondes. La période postcoloniale se caract</w:t>
      </w:r>
      <w:r w:rsidRPr="00BB11AF">
        <w:t>é</w:t>
      </w:r>
      <w:r w:rsidRPr="00BB11AF">
        <w:t>rise par la marginalisation des minorités ethniques et, au Maghreb, par la disparition quasi totale des minorités religieuses. D'une certaine f</w:t>
      </w:r>
      <w:r w:rsidRPr="00BB11AF">
        <w:t>a</w:t>
      </w:r>
      <w:r w:rsidRPr="00BB11AF">
        <w:t>çon, alors que les pays dits développés et certains pays émergents se « multiculturalisme », on est majoritairement, dans les pays ar</w:t>
      </w:r>
      <w:r w:rsidRPr="00BB11AF">
        <w:t>a</w:t>
      </w:r>
      <w:r w:rsidRPr="00BB11AF">
        <w:t>bes, à la recherche éperdue d'une introuvable pureté identitaire.</w:t>
      </w:r>
    </w:p>
    <w:p w:rsidR="003A3061" w:rsidRPr="00BB11AF" w:rsidRDefault="003A3061" w:rsidP="003A3061">
      <w:pPr>
        <w:spacing w:before="120" w:after="120"/>
        <w:jc w:val="both"/>
      </w:pPr>
      <w:r w:rsidRPr="00BB11AF">
        <w:t>Les débats autour de l'identité existent depuis longtemps en Tun</w:t>
      </w:r>
      <w:r w:rsidRPr="00BB11AF">
        <w:t>i</w:t>
      </w:r>
      <w:r w:rsidRPr="00BB11AF">
        <w:t>sie où le nationalisme arabe puis l'islamisme ont fait co</w:t>
      </w:r>
      <w:r w:rsidRPr="00BB11AF">
        <w:t>m</w:t>
      </w:r>
      <w:r w:rsidRPr="00BB11AF">
        <w:t>me ailleurs des émules. Ils ont ressurgi sous des formes nouvelles en 2011 en r</w:t>
      </w:r>
      <w:r w:rsidRPr="00BB11AF">
        <w:t>é</w:t>
      </w:r>
      <w:r w:rsidRPr="00BB11AF">
        <w:t>activant les lignes de clivage entre partisans d'une « tunisianité » (c'est le terme consacré) intégrant l'ensemble des apports et des stratific</w:t>
      </w:r>
      <w:r w:rsidRPr="00BB11AF">
        <w:t>a</w:t>
      </w:r>
      <w:r w:rsidRPr="00BB11AF">
        <w:t>tions historiques qui font la Tunisie d'aujourd'hui et une arabo-islam</w:t>
      </w:r>
      <w:r w:rsidRPr="00BB11AF">
        <w:t>i</w:t>
      </w:r>
      <w:r w:rsidRPr="00BB11AF">
        <w:t>té qui aurait enseveli ces apports pour occuper la totalité du champ ide</w:t>
      </w:r>
      <w:r w:rsidRPr="00BB11AF">
        <w:t>n</w:t>
      </w:r>
      <w:r w:rsidRPr="00BB11AF">
        <w:t>titaire. Mais ce qui est</w:t>
      </w:r>
      <w:r>
        <w:t xml:space="preserve"> </w:t>
      </w:r>
      <w:r w:rsidRPr="00BB11AF">
        <w:t>[17] nouveau depuis la formation du gouve</w:t>
      </w:r>
      <w:r w:rsidRPr="00BB11AF">
        <w:t>r</w:t>
      </w:r>
      <w:r w:rsidRPr="00BB11AF">
        <w:t xml:space="preserve">nement à majorité </w:t>
      </w:r>
      <w:r w:rsidRPr="00BB11AF">
        <w:rPr>
          <w:i/>
        </w:rPr>
        <w:t>Ennahdha</w:t>
      </w:r>
      <w:r w:rsidRPr="00BB11AF">
        <w:t>, c'est que la question identitaire se rés</w:t>
      </w:r>
      <w:r w:rsidRPr="00BB11AF">
        <w:t>u</w:t>
      </w:r>
      <w:r w:rsidRPr="00BB11AF">
        <w:t>me exclusivement à sa d</w:t>
      </w:r>
      <w:r w:rsidRPr="00BB11AF">
        <w:t>i</w:t>
      </w:r>
      <w:r w:rsidRPr="00BB11AF">
        <w:t>mension religieuse, alors que cette dernière a été absente des di</w:t>
      </w:r>
      <w:r w:rsidRPr="00BB11AF">
        <w:t>s</w:t>
      </w:r>
      <w:r w:rsidRPr="00BB11AF">
        <w:t>cours au cours des premiers mois de la révolution. Contrairement à ce que pouvaient laisser croire les assurances do</w:t>
      </w:r>
      <w:r w:rsidRPr="00BB11AF">
        <w:t>n</w:t>
      </w:r>
      <w:r w:rsidRPr="00BB11AF">
        <w:t>nées pendant leur ca</w:t>
      </w:r>
      <w:r w:rsidRPr="00BB11AF">
        <w:t>m</w:t>
      </w:r>
      <w:r w:rsidRPr="00BB11AF">
        <w:t>pagne électorale, les dirigeants islamistes sont vite revenus aux fondame</w:t>
      </w:r>
      <w:r w:rsidRPr="00BB11AF">
        <w:t>n</w:t>
      </w:r>
      <w:r w:rsidRPr="00BB11AF">
        <w:t>taux de l'islam politique : islam et politique ne sont pas diss</w:t>
      </w:r>
      <w:r w:rsidRPr="00BB11AF">
        <w:t>o</w:t>
      </w:r>
      <w:r w:rsidRPr="00BB11AF">
        <w:t>ciables, a répété nombre de fois leur leader, Rached Ghannouchi, et la réislamisation progressive de la société est une pri</w:t>
      </w:r>
      <w:r w:rsidRPr="00BB11AF">
        <w:t>o</w:t>
      </w:r>
      <w:r w:rsidRPr="00BB11AF">
        <w:t>rité. La « parenthèse » la</w:t>
      </w:r>
      <w:r w:rsidRPr="00BB11AF">
        <w:t>ï</w:t>
      </w:r>
      <w:r w:rsidRPr="00BB11AF">
        <w:t>cisante doit être refermée. Le programme idéologique de l'islam pol</w:t>
      </w:r>
      <w:r w:rsidRPr="00BB11AF">
        <w:t>i</w:t>
      </w:r>
      <w:r w:rsidRPr="00BB11AF">
        <w:t>tique tunisien a pour axe le démantèlement de « l'exception tunisie</w:t>
      </w:r>
      <w:r w:rsidRPr="00BB11AF">
        <w:t>n</w:t>
      </w:r>
      <w:r w:rsidRPr="00BB11AF">
        <w:t>ne ».</w:t>
      </w:r>
    </w:p>
    <w:p w:rsidR="003A3061" w:rsidRPr="00BB11AF" w:rsidRDefault="003A3061" w:rsidP="003A3061">
      <w:pPr>
        <w:spacing w:before="120" w:after="120"/>
        <w:jc w:val="both"/>
      </w:pPr>
      <w:r w:rsidRPr="00BB11AF">
        <w:t>Il serait trop long de faire ici l'inventaire de la plongée du pays dans un débat sur le religieux qui n'a jamais eu lieu avec une telle i</w:t>
      </w:r>
      <w:r w:rsidRPr="00BB11AF">
        <w:t>n</w:t>
      </w:r>
      <w:r w:rsidRPr="00BB11AF">
        <w:t>tensité au cours de son histoire moderne, même au temps où Bourgu</w:t>
      </w:r>
      <w:r w:rsidRPr="00BB11AF">
        <w:t>i</w:t>
      </w:r>
      <w:r w:rsidRPr="00BB11AF">
        <w:t>ba pr</w:t>
      </w:r>
      <w:r w:rsidRPr="00BB11AF">
        <w:t>e</w:t>
      </w:r>
      <w:r w:rsidRPr="00BB11AF">
        <w:t>nait les mesures les plus laïcisantes (le jeûne du ramadan en 1962, par exemple). Ce débat a commencé dès les premières réunions de l'A</w:t>
      </w:r>
      <w:r w:rsidRPr="00BB11AF">
        <w:t>s</w:t>
      </w:r>
      <w:r w:rsidRPr="00BB11AF">
        <w:t>semblée nationale constituante (ANC) en novembre 2011, quand Ennahdha a commencé à revenir sur ses promesses de camp</w:t>
      </w:r>
      <w:r w:rsidRPr="00BB11AF">
        <w:t>a</w:t>
      </w:r>
      <w:r w:rsidRPr="00BB11AF">
        <w:t>gne de ne pas toucher aux acquis modernistes de la Tunisie, en part</w:t>
      </w:r>
      <w:r w:rsidRPr="00BB11AF">
        <w:t>i</w:t>
      </w:r>
      <w:r w:rsidRPr="00BB11AF">
        <w:t>culier aux droits des femmes, qui la distinguent du reste du monde arabe. Les coups de boutoir islamistes ont principalement porté sur les questions suivantes :</w:t>
      </w:r>
    </w:p>
    <w:p w:rsidR="003A3061" w:rsidRPr="00BB11AF" w:rsidRDefault="003A3061" w:rsidP="003A3061">
      <w:pPr>
        <w:spacing w:before="120" w:after="120"/>
        <w:jc w:val="both"/>
      </w:pPr>
    </w:p>
    <w:p w:rsidR="003A3061" w:rsidRPr="00BB11AF" w:rsidRDefault="003A3061" w:rsidP="003A3061">
      <w:pPr>
        <w:spacing w:before="120" w:after="120"/>
        <w:ind w:left="720" w:hanging="360"/>
        <w:jc w:val="both"/>
      </w:pPr>
      <w:r w:rsidRPr="00BB11AF">
        <w:t>*</w:t>
      </w:r>
      <w:r w:rsidRPr="00BB11AF">
        <w:tab/>
        <w:t xml:space="preserve">La question de la </w:t>
      </w:r>
      <w:r w:rsidRPr="00BB11AF">
        <w:rPr>
          <w:i/>
        </w:rPr>
        <w:t>Charia</w:t>
      </w:r>
      <w:r w:rsidRPr="00BB11AF">
        <w:t xml:space="preserve"> et la primauté de l'article 1 de la Con</w:t>
      </w:r>
      <w:r w:rsidRPr="00BB11AF">
        <w:t>s</w:t>
      </w:r>
      <w:r w:rsidRPr="00BB11AF">
        <w:t>titution, spécifiant que la religion du pays est l'islam.</w:t>
      </w:r>
    </w:p>
    <w:p w:rsidR="003A3061" w:rsidRPr="00BB11AF" w:rsidRDefault="003A3061" w:rsidP="003A3061">
      <w:pPr>
        <w:spacing w:before="120" w:after="120"/>
        <w:ind w:left="720" w:hanging="360"/>
        <w:jc w:val="both"/>
      </w:pPr>
      <w:r w:rsidRPr="00BB11AF">
        <w:t>*</w:t>
      </w:r>
      <w:r w:rsidRPr="00BB11AF">
        <w:tab/>
        <w:t>La remise en cause par touches successives du Code du statut personnel de 1956 et des lois émancipatrices qui l'ont su</w:t>
      </w:r>
      <w:r w:rsidRPr="00BB11AF">
        <w:t>i</w:t>
      </w:r>
      <w:r w:rsidRPr="00BB11AF">
        <w:t>vi : adoption, polygamie, acceptation du mariage orfi</w:t>
      </w:r>
      <w:r>
        <w:t> </w:t>
      </w:r>
      <w:r>
        <w:rPr>
          <w:rStyle w:val="Appelnotedebasdep"/>
        </w:rPr>
        <w:footnoteReference w:id="5"/>
      </w:r>
      <w:r w:rsidRPr="00BB11AF">
        <w:t>, « complémentarité entre les hommes et les femmes dans le c</w:t>
      </w:r>
      <w:r w:rsidRPr="00BB11AF">
        <w:t>a</w:t>
      </w:r>
      <w:r w:rsidRPr="00BB11AF">
        <w:t>dre de la famille » dans l'actuel pr</w:t>
      </w:r>
      <w:r w:rsidRPr="00BB11AF">
        <w:t>o</w:t>
      </w:r>
      <w:r w:rsidRPr="00BB11AF">
        <w:t>jet de Constitution.</w:t>
      </w:r>
    </w:p>
    <w:p w:rsidR="003A3061" w:rsidRPr="00BB11AF" w:rsidRDefault="003A3061" w:rsidP="003A3061">
      <w:pPr>
        <w:spacing w:before="120" w:after="120"/>
        <w:ind w:left="720" w:hanging="360"/>
        <w:jc w:val="both"/>
      </w:pPr>
      <w:r w:rsidRPr="00BB11AF">
        <w:t>*</w:t>
      </w:r>
      <w:r w:rsidRPr="00BB11AF">
        <w:tab/>
        <w:t>La constitutionnalisation de la criminalisation de « l'atteinte au sacré ».</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Sur toutes ces questions, la stratégie d'</w:t>
      </w:r>
      <w:r w:rsidRPr="00BB11AF">
        <w:rPr>
          <w:i/>
        </w:rPr>
        <w:t>Ennahdha</w:t>
      </w:r>
      <w:r w:rsidRPr="00BB11AF">
        <w:t xml:space="preserve"> est de lancer des ballons d'essai pour tester le degré de recevabilité de la société à ses pr</w:t>
      </w:r>
      <w:r w:rsidRPr="00BB11AF">
        <w:t>o</w:t>
      </w:r>
      <w:r w:rsidRPr="00BB11AF">
        <w:t xml:space="preserve">positions. Jusqu'ici, les résistances de la société civile ont imposé au parti dominant des reculs tactiques. Ainsi, au terme d'une intense contestation, le terme de </w:t>
      </w:r>
      <w:r w:rsidRPr="00BB11AF">
        <w:rPr>
          <w:i/>
        </w:rPr>
        <w:t>Charia</w:t>
      </w:r>
      <w:r w:rsidRPr="00BB11AF">
        <w:t xml:space="preserve"> ne fig</w:t>
      </w:r>
      <w:r w:rsidRPr="00BB11AF">
        <w:t>u</w:t>
      </w:r>
      <w:r w:rsidRPr="00BB11AF">
        <w:t>rera pas dans la Constitution, de même que celui de compléme</w:t>
      </w:r>
      <w:r w:rsidRPr="00BB11AF">
        <w:t>n</w:t>
      </w:r>
      <w:r w:rsidRPr="00BB11AF">
        <w:t>tarité entre les sexes. Mais à chaque fois, les polémiques dést</w:t>
      </w:r>
      <w:r w:rsidRPr="00BB11AF">
        <w:t>a</w:t>
      </w:r>
      <w:r w:rsidRPr="00BB11AF">
        <w:t>bilisent un champ politique sommé de se focaliser sur ces seules questions.</w:t>
      </w:r>
    </w:p>
    <w:p w:rsidR="003A3061" w:rsidRPr="00BB11AF" w:rsidRDefault="003A3061" w:rsidP="003A3061">
      <w:pPr>
        <w:spacing w:before="120" w:after="120"/>
        <w:jc w:val="both"/>
      </w:pPr>
    </w:p>
    <w:p w:rsidR="003A3061" w:rsidRPr="00BB11AF" w:rsidRDefault="003A3061" w:rsidP="003A3061">
      <w:pPr>
        <w:pStyle w:val="a"/>
      </w:pPr>
      <w:r w:rsidRPr="00BB11AF">
        <w:t>Le phénomène dit salafiste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La montée en puissance d'un mouvement dit salafiste est aujou</w:t>
      </w:r>
      <w:r w:rsidRPr="00BB11AF">
        <w:t>r</w:t>
      </w:r>
      <w:r w:rsidRPr="00BB11AF">
        <w:t>d'hui un des principaux abcès de fixation de la crise « identitaro-religieuse » que traverse la Tunisie. Retour du r</w:t>
      </w:r>
      <w:r w:rsidRPr="00BB11AF">
        <w:t>e</w:t>
      </w:r>
      <w:r w:rsidRPr="00BB11AF">
        <w:t>foulé ou phénomène nouveau ? Depuis des années, les opér</w:t>
      </w:r>
      <w:r w:rsidRPr="00BB11AF">
        <w:t>a</w:t>
      </w:r>
      <w:r w:rsidRPr="00BB11AF">
        <w:t>tions antiterroristes dans le monde arabo-musulman ont</w:t>
      </w:r>
      <w:r>
        <w:t xml:space="preserve"> </w:t>
      </w:r>
      <w:r w:rsidRPr="00BB11AF">
        <w:t>[18]</w:t>
      </w:r>
      <w:r>
        <w:t xml:space="preserve"> </w:t>
      </w:r>
      <w:r w:rsidRPr="00BB11AF">
        <w:t>identifié un nombre non négligeable de jihadistes tunisiens, dont quelques centaines en Irak. En Tunisie même, quelques groupes jih</w:t>
      </w:r>
      <w:r w:rsidRPr="00BB11AF">
        <w:t>a</w:t>
      </w:r>
      <w:r w:rsidRPr="00BB11AF">
        <w:t>distes auteurs de tentatives d'attentats avaient été démantelés à l'ép</w:t>
      </w:r>
      <w:r w:rsidRPr="00BB11AF">
        <w:t>o</w:t>
      </w:r>
      <w:r w:rsidRPr="00BB11AF">
        <w:t>que de Ben Ali. Après le 14 janvier 2011, une amnistie générale les a libérés au même titre que les si</w:t>
      </w:r>
      <w:r w:rsidRPr="00BB11AF">
        <w:t>m</w:t>
      </w:r>
      <w:r w:rsidRPr="00BB11AF">
        <w:t>ples prisonniers d'opinion. Ils ont aussitôt repris du service.</w:t>
      </w:r>
    </w:p>
    <w:p w:rsidR="003A3061" w:rsidRPr="00BB11AF" w:rsidRDefault="003A3061" w:rsidP="003A3061">
      <w:pPr>
        <w:spacing w:before="120" w:after="120"/>
        <w:jc w:val="both"/>
      </w:pPr>
      <w:r w:rsidRPr="00BB11AF">
        <w:t>Cela ne suffit pas, toutefois, à expliquer la relative ampleur du ph</w:t>
      </w:r>
      <w:r w:rsidRPr="00BB11AF">
        <w:t>é</w:t>
      </w:r>
      <w:r w:rsidRPr="00BB11AF">
        <w:t>nomène. On estime aujourd'hui à une grosse dizaine de milliers le nombre de salafistes en Tunisie, toutes tendances confondues. La r</w:t>
      </w:r>
      <w:r w:rsidRPr="00BB11AF">
        <w:t>é</w:t>
      </w:r>
      <w:r w:rsidRPr="00BB11AF">
        <w:t>islamisation des discours et de la sociabilité dès le début des années Ben Ali a préparé la société à leur dév</w:t>
      </w:r>
      <w:r w:rsidRPr="00BB11AF">
        <w:t>e</w:t>
      </w:r>
      <w:r w:rsidRPr="00BB11AF">
        <w:t>loppement. Il en est de même que les contenus éducatifs de plus en plus conservateurs après la brève réforme des manuels scolaires entreprise en 1989 par le ministre M</w:t>
      </w:r>
      <w:r w:rsidRPr="00BB11AF">
        <w:t>o</w:t>
      </w:r>
      <w:r w:rsidRPr="00BB11AF">
        <w:t xml:space="preserve">hammed Charfi. Enfin, le </w:t>
      </w:r>
      <w:r w:rsidRPr="001D2A92">
        <w:rPr>
          <w:i/>
        </w:rPr>
        <w:t>soft power</w:t>
      </w:r>
      <w:r w:rsidRPr="00BB11AF">
        <w:t xml:space="preserve"> médiatique des monarchies du Golfe a joué un rôle majeur, non seulement dans la réislamisation s</w:t>
      </w:r>
      <w:r w:rsidRPr="00BB11AF">
        <w:t>o</w:t>
      </w:r>
      <w:r w:rsidRPr="00BB11AF">
        <w:t>ciétale et l'émergence d'une nouvelle bigoterie, mais aussi dans la « wahabisation » de l'islam maghrébin, comme ailleurs dans le monde musulman.</w:t>
      </w:r>
    </w:p>
    <w:p w:rsidR="003A3061" w:rsidRPr="00BB11AF" w:rsidRDefault="003A3061" w:rsidP="003A3061">
      <w:pPr>
        <w:spacing w:before="120" w:after="120"/>
        <w:jc w:val="both"/>
      </w:pPr>
      <w:r w:rsidRPr="00BB11AF">
        <w:t>Les affinités idéologiques entre Ennahdha et les courants dits sal</w:t>
      </w:r>
      <w:r w:rsidRPr="00BB11AF">
        <w:t>a</w:t>
      </w:r>
      <w:r w:rsidRPr="00BB11AF">
        <w:t>fi</w:t>
      </w:r>
      <w:r w:rsidRPr="00BB11AF">
        <w:t>s</w:t>
      </w:r>
      <w:r w:rsidRPr="00BB11AF">
        <w:t>tes ont fait le reste. Ces derniers fonctionnent comme une armée de réserve du parti au pouvoir et un outil de réislamis</w:t>
      </w:r>
      <w:r w:rsidRPr="00BB11AF">
        <w:t>a</w:t>
      </w:r>
      <w:r w:rsidRPr="00BB11AF">
        <w:t>tion de la société, par la contrainte au besoin. D'une certaine f</w:t>
      </w:r>
      <w:r w:rsidRPr="00BB11AF">
        <w:t>a</w:t>
      </w:r>
      <w:r w:rsidRPr="00BB11AF">
        <w:t>çon, ces groupes font « le sale boulot » à la place d'un parti so</w:t>
      </w:r>
      <w:r w:rsidRPr="00BB11AF">
        <w:t>u</w:t>
      </w:r>
      <w:r w:rsidRPr="00BB11AF">
        <w:t>cieux de sauvegarder son image de respectabilité. Ils servent aussi de repoussoir en direction de l'op</w:t>
      </w:r>
      <w:r w:rsidRPr="00BB11AF">
        <w:t>i</w:t>
      </w:r>
      <w:r w:rsidRPr="00BB11AF">
        <w:t>nion, incitant celle-ci à voir en Ennahdha un islamisme « modéré » face aux extrémi</w:t>
      </w:r>
      <w:r w:rsidRPr="00BB11AF">
        <w:t>s</w:t>
      </w:r>
      <w:r w:rsidRPr="00BB11AF">
        <w:t>tes. Ce parti se présente d'ailleurs volontiers comme une formation « de juste milieu » face aux deux extrémismes qui m</w:t>
      </w:r>
      <w:r w:rsidRPr="00BB11AF">
        <w:t>e</w:t>
      </w:r>
      <w:r w:rsidRPr="00BB11AF">
        <w:t>naceraient le consensus tunisien : le salafiste djihadiste (par oppos</w:t>
      </w:r>
      <w:r w:rsidRPr="00BB11AF">
        <w:t>i</w:t>
      </w:r>
      <w:r w:rsidRPr="00BB11AF">
        <w:t>tion au salafiste non violent qui, lui, serait acceptable) et les « extrémistes laïques », c'est-à-dire tous ceux qui réclament une sép</w:t>
      </w:r>
      <w:r w:rsidRPr="00BB11AF">
        <w:t>a</w:t>
      </w:r>
      <w:r w:rsidRPr="00BB11AF">
        <w:t>ration entre les sphères politique et religieuse et s'élèvent contre les exactions des groupes extrémistes. Dans une inte</w:t>
      </w:r>
      <w:r w:rsidRPr="00BB11AF">
        <w:t>r</w:t>
      </w:r>
      <w:r w:rsidRPr="00BB11AF">
        <w:t xml:space="preserve">view accordée le 27 août 2011 au journal </w:t>
      </w:r>
      <w:r w:rsidRPr="001D2A92">
        <w:rPr>
          <w:i/>
        </w:rPr>
        <w:t>Echourouk</w:t>
      </w:r>
      <w:r w:rsidRPr="00BB11AF">
        <w:t>, Rached Ghannouchi disait des sal</w:t>
      </w:r>
      <w:r w:rsidRPr="00BB11AF">
        <w:t>a</w:t>
      </w:r>
      <w:r w:rsidRPr="00BB11AF">
        <w:t>fistes : « Ce sont nos frères et nous essayons de dialoguer avec eux et de coopérer sur la base de nos accords, en s'excusant les uns des autres de ce qui peut const</w:t>
      </w:r>
      <w:r w:rsidRPr="00BB11AF">
        <w:t>i</w:t>
      </w:r>
      <w:r w:rsidRPr="00BB11AF">
        <w:t>tuer nos différences ». Dans la conférence de presse du 30 août 2012, il présentait le phénomène salafiste comme « tout à fait compréhensible. Il est le résultat de l'oppression dont l'islam a fait l'objet depuis des dizaines d'années dans ce pays. Il faut l'appréhender comme un phénomène intellectuel ».</w:t>
      </w:r>
    </w:p>
    <w:p w:rsidR="003A3061" w:rsidRPr="00BB11AF" w:rsidRDefault="003A3061" w:rsidP="003A3061">
      <w:pPr>
        <w:spacing w:before="120" w:after="120"/>
        <w:jc w:val="both"/>
      </w:pPr>
      <w:r w:rsidRPr="00BB11AF">
        <w:t>L'émergence fulgurante de ce phénomène est un élément ce</w:t>
      </w:r>
      <w:r w:rsidRPr="00BB11AF">
        <w:t>n</w:t>
      </w:r>
      <w:r w:rsidRPr="00BB11AF">
        <w:t>tral de la crise, dans la mesure où ses militants n'hésitent pas à employer la violence contre leurs adversaires ou contre une population insuff</w:t>
      </w:r>
      <w:r w:rsidRPr="00BB11AF">
        <w:t>i</w:t>
      </w:r>
      <w:r w:rsidRPr="00BB11AF">
        <w:t>samment musulmane à leur goût. Il ne se passe pas une journée sans attaque contre la presse, les intellectuels, les universités, les artistes, les femmes, les mosquées, les croyants non-salafistes, etc. Or, jusqu'à l'attaque de l'ambassade des États-Unis le 14 septembre 2012, leur impunité a été total [19] malgré les précautions langagières de que</w:t>
      </w:r>
      <w:r w:rsidRPr="00BB11AF">
        <w:t>l</w:t>
      </w:r>
      <w:r w:rsidRPr="00BB11AF">
        <w:t>ques responsables d'</w:t>
      </w:r>
      <w:r w:rsidRPr="001D2A92">
        <w:rPr>
          <w:i/>
        </w:rPr>
        <w:t>E</w:t>
      </w:r>
      <w:r w:rsidRPr="001D2A92">
        <w:rPr>
          <w:i/>
        </w:rPr>
        <w:t>n</w:t>
      </w:r>
      <w:r w:rsidRPr="001D2A92">
        <w:rPr>
          <w:i/>
        </w:rPr>
        <w:t>nahdha</w:t>
      </w:r>
      <w:r w:rsidRPr="00BB11AF">
        <w:t xml:space="preserve"> condamnant le recours à la violence.</w:t>
      </w:r>
    </w:p>
    <w:p w:rsidR="003A3061" w:rsidRPr="00BB11AF" w:rsidRDefault="003A3061" w:rsidP="003A3061">
      <w:pPr>
        <w:spacing w:before="120" w:after="120"/>
        <w:jc w:val="both"/>
      </w:pPr>
      <w:r w:rsidRPr="00BB11AF">
        <w:t>En fait, il existe désormais deux lignes de fracture en matière rel</w:t>
      </w:r>
      <w:r w:rsidRPr="00BB11AF">
        <w:t>i</w:t>
      </w:r>
      <w:r w:rsidRPr="00BB11AF">
        <w:t>gie</w:t>
      </w:r>
      <w:r w:rsidRPr="00BB11AF">
        <w:t>u</w:t>
      </w:r>
      <w:r w:rsidRPr="00BB11AF">
        <w:t>se : sécularistes contre islamistes, mais également musulmans dits tunisiens contre salafistes qui tentent de leur imp</w:t>
      </w:r>
      <w:r w:rsidRPr="00BB11AF">
        <w:t>o</w:t>
      </w:r>
      <w:r w:rsidRPr="00BB11AF">
        <w:t>ser un islam de type nouveau qu'ils ne reconnaissent pas comme étant le leur. Les conflits pour le contrôle des mosquées se sont ainsi multipliés en 2012.</w:t>
      </w:r>
    </w:p>
    <w:p w:rsidR="003A3061" w:rsidRPr="00BB11AF" w:rsidRDefault="003A3061" w:rsidP="003A3061">
      <w:pPr>
        <w:spacing w:before="120" w:after="120"/>
        <w:jc w:val="both"/>
      </w:pPr>
    </w:p>
    <w:p w:rsidR="003A3061" w:rsidRPr="00BB11AF" w:rsidRDefault="003A3061" w:rsidP="003A3061">
      <w:pPr>
        <w:pStyle w:val="planche"/>
      </w:pPr>
      <w:r w:rsidRPr="00BB11AF">
        <w:t>Les nouveaux horizons de crise</w:t>
      </w:r>
    </w:p>
    <w:p w:rsidR="003A3061" w:rsidRPr="00BB11AF" w:rsidRDefault="003A3061" w:rsidP="003A3061">
      <w:pPr>
        <w:spacing w:before="120" w:after="120"/>
        <w:jc w:val="both"/>
      </w:pPr>
    </w:p>
    <w:p w:rsidR="003A3061" w:rsidRPr="00BB11AF" w:rsidRDefault="003A3061" w:rsidP="003A3061">
      <w:pPr>
        <w:pStyle w:val="a"/>
      </w:pPr>
      <w:r w:rsidRPr="00BB11AF">
        <w:t>Incertitudes économiqu</w:t>
      </w:r>
      <w:r>
        <w:t>es</w:t>
      </w:r>
      <w:r>
        <w:br/>
      </w:r>
      <w:r w:rsidRPr="00BB11AF">
        <w:t>et aggravation de la crise sociale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Depuis janvier 2011, la crise sociale s'est aggravée. À la panne de croissance résultant des soubresauts révolutionnaires a succédé l'am</w:t>
      </w:r>
      <w:r w:rsidRPr="00BB11AF">
        <w:t>a</w:t>
      </w:r>
      <w:r w:rsidRPr="00BB11AF">
        <w:t>teurisme d'un gouvernement incapable de prése</w:t>
      </w:r>
      <w:r w:rsidRPr="00BB11AF">
        <w:t>n</w:t>
      </w:r>
      <w:r w:rsidRPr="00BB11AF">
        <w:t xml:space="preserve">ter un programme cohérent de relance économique. En la matière, </w:t>
      </w:r>
      <w:r w:rsidRPr="00BB11AF">
        <w:rPr>
          <w:i/>
        </w:rPr>
        <w:t>Ennahdha</w:t>
      </w:r>
      <w:r w:rsidRPr="00BB11AF">
        <w:t xml:space="preserve"> se caract</w:t>
      </w:r>
      <w:r w:rsidRPr="00BB11AF">
        <w:t>é</w:t>
      </w:r>
      <w:r w:rsidRPr="00BB11AF">
        <w:t>rise par un mélange d'ultralibéralisme économique, de discours social d'inspiration religieuse et de type compassionnel et d'appel aux pétr</w:t>
      </w:r>
      <w:r w:rsidRPr="00BB11AF">
        <w:t>o</w:t>
      </w:r>
      <w:r w:rsidRPr="00BB11AF">
        <w:t>monarchies priées d'inve</w:t>
      </w:r>
      <w:r w:rsidRPr="00BB11AF">
        <w:t>s</w:t>
      </w:r>
      <w:r w:rsidRPr="00BB11AF">
        <w:t>tir massivement dans le pays.</w:t>
      </w:r>
    </w:p>
    <w:p w:rsidR="003A3061" w:rsidRPr="00BB11AF" w:rsidRDefault="003A3061" w:rsidP="003A3061">
      <w:pPr>
        <w:spacing w:before="120" w:after="120"/>
        <w:jc w:val="both"/>
      </w:pPr>
      <w:r w:rsidRPr="00BB11AF">
        <w:t>Les propositions des oppositions se caractérisent également par leur flou et leur incapacité à définir un ordre de priorités. La crise r</w:t>
      </w:r>
      <w:r w:rsidRPr="00BB11AF">
        <w:t>é</w:t>
      </w:r>
      <w:r w:rsidRPr="00BB11AF">
        <w:t>sulte donc en partie d'une absence d'offre politique en matière écon</w:t>
      </w:r>
      <w:r w:rsidRPr="00BB11AF">
        <w:t>o</w:t>
      </w:r>
      <w:r w:rsidRPr="00BB11AF">
        <w:t>mique qui est elle-même la conséquence d'une crise de la pensée dans ce domaine. L'on sait que le mode de développement en vigueur d</w:t>
      </w:r>
      <w:r w:rsidRPr="00BB11AF">
        <w:t>e</w:t>
      </w:r>
      <w:r w:rsidRPr="00BB11AF">
        <w:t>puis 40 ans ne fonctionne plus, mais personne n'est capable de prop</w:t>
      </w:r>
      <w:r w:rsidRPr="00BB11AF">
        <w:t>o</w:t>
      </w:r>
      <w:r w:rsidRPr="00BB11AF">
        <w:t>ser des alternatives ou -au moins- une inflexion des trajectoires. L'exasp</w:t>
      </w:r>
      <w:r w:rsidRPr="00BB11AF">
        <w:t>é</w:t>
      </w:r>
      <w:r w:rsidRPr="00BB11AF">
        <w:t>ration sociale est telle dans une conjoncture d'accroissement du chômage, de poussée inflationniste, de stagnation de l'investiss</w:t>
      </w:r>
      <w:r w:rsidRPr="00BB11AF">
        <w:t>e</w:t>
      </w:r>
      <w:r w:rsidRPr="00BB11AF">
        <w:t>ment et d'absence de perspectives, que d'aucuns n'hésitent pas à év</w:t>
      </w:r>
      <w:r w:rsidRPr="00BB11AF">
        <w:t>o</w:t>
      </w:r>
      <w:r w:rsidRPr="00BB11AF">
        <w:t>quer l'éventualité d'une « seconde révolution » qui enflammerait les régions et les quartiers les plus déshérités.</w:t>
      </w:r>
    </w:p>
    <w:p w:rsidR="003A3061" w:rsidRPr="00BB11AF" w:rsidRDefault="003A3061" w:rsidP="003A3061">
      <w:pPr>
        <w:spacing w:before="120" w:after="120"/>
        <w:jc w:val="both"/>
      </w:pPr>
      <w:r w:rsidRPr="00BB11AF">
        <w:t>Vers quelles mouvances politiques se dirigera une population d</w:t>
      </w:r>
      <w:r w:rsidRPr="00BB11AF">
        <w:t>é</w:t>
      </w:r>
      <w:r w:rsidRPr="00BB11AF">
        <w:t>sabusée lors des prochaines élections qui devraient avoir lieu en se</w:t>
      </w:r>
      <w:r w:rsidRPr="00BB11AF">
        <w:t>p</w:t>
      </w:r>
      <w:r w:rsidRPr="00BB11AF">
        <w:t>tembre 2013 ? C'est une des inconnues du proche avenir.</w:t>
      </w:r>
    </w:p>
    <w:p w:rsidR="003A3061" w:rsidRPr="00BB11AF" w:rsidRDefault="003A3061" w:rsidP="003A3061">
      <w:pPr>
        <w:spacing w:before="120" w:after="120"/>
        <w:jc w:val="both"/>
      </w:pPr>
    </w:p>
    <w:p w:rsidR="003A3061" w:rsidRPr="00BB11AF" w:rsidRDefault="003A3061" w:rsidP="003A3061">
      <w:pPr>
        <w:pStyle w:val="a"/>
      </w:pPr>
      <w:r w:rsidRPr="00BB11AF">
        <w:t>Quelle société demain ?</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La question socio-économique, pourtant au cœur de la crise et qui en déterminera en grande partie les modalités de sortie, est en fait o</w:t>
      </w:r>
      <w:r w:rsidRPr="00BB11AF">
        <w:t>c</w:t>
      </w:r>
      <w:r w:rsidRPr="00BB11AF">
        <w:t>cultée par le houleux débat sur le contenu de la pr</w:t>
      </w:r>
      <w:r w:rsidRPr="00BB11AF">
        <w:t>o</w:t>
      </w:r>
      <w:r w:rsidRPr="00BB11AF">
        <w:t>chaine constitution et les valeurs sur lesquelles devrait se fonder la société tunisienne de demain. Deux</w:t>
      </w:r>
      <w:r>
        <w:t xml:space="preserve"> </w:t>
      </w:r>
      <w:r w:rsidRPr="00BB11AF">
        <w:t>[20]</w:t>
      </w:r>
      <w:r>
        <w:t xml:space="preserve"> </w:t>
      </w:r>
      <w:r w:rsidRPr="00BB11AF">
        <w:t>projets difficilement conciliables se font aujou</w:t>
      </w:r>
      <w:r w:rsidRPr="00BB11AF">
        <w:t>r</w:t>
      </w:r>
      <w:r w:rsidRPr="00BB11AF">
        <w:t>d'hui concurrence auprès de la population. Poursuite et approfondi</w:t>
      </w:r>
      <w:r w:rsidRPr="00BB11AF">
        <w:t>s</w:t>
      </w:r>
      <w:r w:rsidRPr="00BB11AF">
        <w:t>sement du projet m</w:t>
      </w:r>
      <w:r w:rsidRPr="00BB11AF">
        <w:t>o</w:t>
      </w:r>
      <w:r w:rsidRPr="00BB11AF">
        <w:t>derniste ou « retour » de la Tunisie dans le giron arabo-islamique opéré dans le cadre nouveau d'une hégémonie régi</w:t>
      </w:r>
      <w:r w:rsidRPr="00BB11AF">
        <w:t>o</w:t>
      </w:r>
      <w:r w:rsidRPr="00BB11AF">
        <w:t>nale de l'islam polit</w:t>
      </w:r>
      <w:r w:rsidRPr="00BB11AF">
        <w:t>i</w:t>
      </w:r>
      <w:r w:rsidRPr="00BB11AF">
        <w:t>que sunnite ? Tel est aujourd'hui l'enjeu.</w:t>
      </w:r>
    </w:p>
    <w:p w:rsidR="003A3061" w:rsidRPr="00BB11AF" w:rsidRDefault="003A3061" w:rsidP="003A3061">
      <w:pPr>
        <w:spacing w:before="120" w:after="120"/>
        <w:jc w:val="both"/>
      </w:pPr>
      <w:r w:rsidRPr="00BB11AF">
        <w:t>Ce débat se focalise pour l'instant autour du projet de constitution et l'on peut parler à cet égard de véritable crise institutionnelle. D'abord, parce que la majorité cherche à imposer son projet politique et sociétal par le biais du futur texte, en reniant au besoin ses prome</w:t>
      </w:r>
      <w:r w:rsidRPr="00BB11AF">
        <w:t>s</w:t>
      </w:r>
      <w:r w:rsidRPr="00BB11AF">
        <w:t>ses passées et en montrant une faible aptitude au compromis. Dans une déclaration faite à Doha en septembre 2012, Rached Gha</w:t>
      </w:r>
      <w:r w:rsidRPr="00BB11AF">
        <w:t>n</w:t>
      </w:r>
      <w:r w:rsidRPr="00BB11AF">
        <w:t xml:space="preserve">nouchi précisait : « si </w:t>
      </w:r>
      <w:r w:rsidRPr="00BB11AF">
        <w:rPr>
          <w:i/>
        </w:rPr>
        <w:t>Ennahdha</w:t>
      </w:r>
      <w:r w:rsidRPr="00BB11AF">
        <w:t xml:space="preserve"> échoue, elle sera remplacée par un autre pa</w:t>
      </w:r>
      <w:r w:rsidRPr="00BB11AF">
        <w:t>r</w:t>
      </w:r>
      <w:r w:rsidRPr="00BB11AF">
        <w:t>ti islamiste. La T</w:t>
      </w:r>
      <w:r w:rsidRPr="00BB11AF">
        <w:t>u</w:t>
      </w:r>
      <w:r w:rsidRPr="00BB11AF">
        <w:t>nisie est définitivement entrée dans l'ère islamique. Et ce n'est qu'un retour à la normale. Jamais la Tunisie ne sera go</w:t>
      </w:r>
      <w:r w:rsidRPr="00BB11AF">
        <w:t>u</w:t>
      </w:r>
      <w:r w:rsidRPr="00BB11AF">
        <w:t>vernée par des laïcs ». Ensuite, parce que le mandat de la Constituante ne saurait être prorogé trop au-delà de son délai légal, c'est-à-dire le 23 octobre 2012. Les acteurs politiques semblent hésiter aujourd'hui entre une crise de légitimité au cas où l'ANC outrepasserait son ma</w:t>
      </w:r>
      <w:r w:rsidRPr="00BB11AF">
        <w:t>n</w:t>
      </w:r>
      <w:r w:rsidRPr="00BB11AF">
        <w:t>dat et le vide, au cas où une contestation trop forte aboutirait à sa di</w:t>
      </w:r>
      <w:r w:rsidRPr="00BB11AF">
        <w:t>s</w:t>
      </w:r>
      <w:r w:rsidRPr="00BB11AF">
        <w:t>solution.</w:t>
      </w:r>
    </w:p>
    <w:p w:rsidR="003A3061" w:rsidRPr="00BB11AF" w:rsidRDefault="003A3061" w:rsidP="003A3061">
      <w:pPr>
        <w:spacing w:before="120" w:after="120"/>
        <w:jc w:val="both"/>
      </w:pPr>
      <w:r w:rsidRPr="00BB11AF">
        <w:t>Par-delà cette échéance, ce sont réellement les contours de la Tun</w:t>
      </w:r>
      <w:r w:rsidRPr="00BB11AF">
        <w:t>i</w:t>
      </w:r>
      <w:r w:rsidRPr="00BB11AF">
        <w:t>sie de demain qui sont aujourd'hui en débat. Jusqu'ici, l'action d'une société civile vigoureuse entrave l'entreprise hégémonique du parti dominant et l'application accélérée de son pr</w:t>
      </w:r>
      <w:r w:rsidRPr="00BB11AF">
        <w:t>o</w:t>
      </w:r>
      <w:r w:rsidRPr="00BB11AF">
        <w:t>gramme idéologique. Mais la Tunisie fait partie d'une région en plein bouleversement dont elle subit les influences.</w:t>
      </w:r>
    </w:p>
    <w:p w:rsidR="003A3061" w:rsidRPr="00BB11AF" w:rsidRDefault="003A3061" w:rsidP="003A3061">
      <w:pPr>
        <w:spacing w:before="120" w:after="120"/>
        <w:jc w:val="both"/>
      </w:pPr>
    </w:p>
    <w:p w:rsidR="003A3061" w:rsidRPr="00BB11AF" w:rsidRDefault="003A3061" w:rsidP="003A3061">
      <w:pPr>
        <w:pStyle w:val="a"/>
      </w:pPr>
      <w:r w:rsidRPr="00BB11AF">
        <w:t>L'environnement régional et international</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L'environnement régional aura-t-il raison de l'exception tunisie</w:t>
      </w:r>
      <w:r w:rsidRPr="00BB11AF">
        <w:t>n</w:t>
      </w:r>
      <w:r w:rsidRPr="00BB11AF">
        <w:t>ne ? Telle est aujourd'hui la question que posent les défenseurs de ce</w:t>
      </w:r>
      <w:r w:rsidRPr="00BB11AF">
        <w:t>t</w:t>
      </w:r>
      <w:r w:rsidRPr="00BB11AF">
        <w:t>te dernière. Sans la surestimer, il faut bien constater qu'elle existe. Elle est visible, de l'évolution des structures sociétales aux comport</w:t>
      </w:r>
      <w:r w:rsidRPr="00BB11AF">
        <w:t>e</w:t>
      </w:r>
      <w:r w:rsidRPr="00BB11AF">
        <w:t>ments collectifs, à la visibilité publique des femmes, jusqu'à l'aspect de la rue, du moins jusqu'à une période récente. L'histoire enseigne tout</w:t>
      </w:r>
      <w:r w:rsidRPr="00BB11AF">
        <w:t>e</w:t>
      </w:r>
      <w:r w:rsidRPr="00BB11AF">
        <w:t>fois qu'il n'est pas d'évolution qui ne soit réversible et que la modern</w:t>
      </w:r>
      <w:r w:rsidRPr="00BB11AF">
        <w:t>i</w:t>
      </w:r>
      <w:r w:rsidRPr="00BB11AF">
        <w:t>sation à marches forcées du dernier demi-siècle n'équivaut pas à une entrée définitive dans l'ère (ou l'aire) de la modernité. La Tunisie r</w:t>
      </w:r>
      <w:r w:rsidRPr="00BB11AF">
        <w:t>e</w:t>
      </w:r>
      <w:r w:rsidRPr="00BB11AF">
        <w:t>garde aujourd'hui de nouveau vers l'Orient, non pas l'Orient réfo</w:t>
      </w:r>
      <w:r w:rsidRPr="00BB11AF">
        <w:t>r</w:t>
      </w:r>
      <w:r w:rsidRPr="00BB11AF">
        <w:t>miste du début du siècle dernier, mais vers les pétromonarchies du Golfe, mélange d'indéracinable conservatisme, de libéralisme débridé et d'hyper-modernisme technologique, paradis du « wahabisme » et des banques.</w:t>
      </w:r>
    </w:p>
    <w:p w:rsidR="003A3061" w:rsidRPr="00BB11AF" w:rsidRDefault="003A3061" w:rsidP="003A3061">
      <w:pPr>
        <w:spacing w:before="120" w:after="120"/>
        <w:jc w:val="both"/>
      </w:pPr>
      <w:r w:rsidRPr="00BB11AF">
        <w:t>Ce tropisme des élites islamistes et d'une partie des couches moyennes séduites par ce mélange paradoxal nourrit une nouvelle d</w:t>
      </w:r>
      <w:r w:rsidRPr="00BB11AF">
        <w:t>i</w:t>
      </w:r>
      <w:r w:rsidRPr="00BB11AF">
        <w:t>mension de la crise identitaire qui traverse la notion m</w:t>
      </w:r>
      <w:r w:rsidRPr="00BB11AF">
        <w:t>ê</w:t>
      </w:r>
      <w:r w:rsidRPr="00BB11AF">
        <w:t>me d'arabité.</w:t>
      </w:r>
    </w:p>
    <w:p w:rsidR="003A3061" w:rsidRPr="00BB11AF" w:rsidRDefault="003A3061" w:rsidP="003A3061">
      <w:pPr>
        <w:spacing w:before="120" w:after="120"/>
        <w:jc w:val="both"/>
      </w:pPr>
      <w:r w:rsidRPr="00BB11AF">
        <w:t>[21]</w:t>
      </w:r>
    </w:p>
    <w:p w:rsidR="003A3061" w:rsidRPr="00BB11AF" w:rsidRDefault="003A3061" w:rsidP="003A3061">
      <w:pPr>
        <w:spacing w:before="120" w:after="120"/>
        <w:jc w:val="both"/>
      </w:pPr>
      <w:r w:rsidRPr="00BB11AF">
        <w:t>Depuis que le Qatar se pose officiellement en parrain du nouveau pouvoir tunisien, une partie non négligeable de l'op</w:t>
      </w:r>
      <w:r w:rsidRPr="00BB11AF">
        <w:t>i</w:t>
      </w:r>
      <w:r w:rsidRPr="00BB11AF">
        <w:t>nion s'élève contre ce qu'elle perçoit comme une colonisation rampante idéologique, m</w:t>
      </w:r>
      <w:r w:rsidRPr="00BB11AF">
        <w:t>é</w:t>
      </w:r>
      <w:r w:rsidRPr="00BB11AF">
        <w:t>diatique, financière. Cette hostilité recoupe le débat entre tunisianité et arabité. Cette dernière n'est en effet revendiquée par l'opinion libérale (au sens politique du terme) que si elle ne remet pas en cause la pe</w:t>
      </w:r>
      <w:r w:rsidRPr="00BB11AF">
        <w:t>r</w:t>
      </w:r>
      <w:r w:rsidRPr="00BB11AF">
        <w:t>sonnalité tunisienne et, surtout, si elle ne revêt pas le costume de r</w:t>
      </w:r>
      <w:r w:rsidRPr="00BB11AF">
        <w:t>i</w:t>
      </w:r>
      <w:r w:rsidRPr="00BB11AF">
        <w:t>ches émirs à la pesante arrogance : être arabe oui, mais tout le monde n'est pas arabe de la même façon, de même que l'islam -pensent la m</w:t>
      </w:r>
      <w:r w:rsidRPr="00BB11AF">
        <w:t>a</w:t>
      </w:r>
      <w:r w:rsidRPr="00BB11AF">
        <w:t>jor</w:t>
      </w:r>
      <w:r w:rsidRPr="00BB11AF">
        <w:t>i</w:t>
      </w:r>
      <w:r w:rsidRPr="00BB11AF">
        <w:t>té des Tunisiens- ne saurait se résumer à ses dérives salafistes.</w:t>
      </w:r>
    </w:p>
    <w:p w:rsidR="003A3061" w:rsidRPr="00BB11AF" w:rsidRDefault="003A3061" w:rsidP="003A3061">
      <w:pPr>
        <w:spacing w:before="120" w:after="120"/>
        <w:jc w:val="both"/>
      </w:pPr>
      <w:r w:rsidRPr="00BB11AF">
        <w:t>Il n'en reste pas moins que le rapprochement de la nouvelle Tunisie avec le monde arabo-musulman est spectaculaire, y compris sur le plan diplomatique. Certes, les liens avec les États-Unis et l'Europe demeurent déterminants, mais ils sont contrebalancés par le renforc</w:t>
      </w:r>
      <w:r w:rsidRPr="00BB11AF">
        <w:t>e</w:t>
      </w:r>
      <w:r w:rsidRPr="00BB11AF">
        <w:t>ment de la coopération avec une Turquie désormais omniprésente dans la région et avec l'ensemble des pétromonarchies. La Tunisie r</w:t>
      </w:r>
      <w:r w:rsidRPr="00BB11AF">
        <w:t>e</w:t>
      </w:r>
      <w:r w:rsidRPr="00BB11AF">
        <w:t>joint ainsi l'axe des rég</w:t>
      </w:r>
      <w:r w:rsidRPr="00BB11AF">
        <w:t>i</w:t>
      </w:r>
      <w:r w:rsidRPr="00BB11AF">
        <w:t>mes islamistes sunnites Ankara-Ryadh-Doha ; et désormais Le Caire et, à l'extrême Ouest, le Maroc. Dans un tel contexte, vu les appuis dont bénéficie l'actuel régime et les facteurs d'instabilité régionale, il paraît difficile de sauvegarder une que</w:t>
      </w:r>
      <w:r w:rsidRPr="00BB11AF">
        <w:t>l</w:t>
      </w:r>
      <w:r w:rsidRPr="00BB11AF">
        <w:t>conque exceptionnalité. Néanmoins, la donne intérieure permet aussi de dire que tout n'est pas joué.</w:t>
      </w:r>
    </w:p>
    <w:p w:rsidR="003A3061" w:rsidRDefault="003A3061" w:rsidP="003A3061">
      <w:pPr>
        <w:spacing w:before="120" w:after="120"/>
        <w:jc w:val="both"/>
      </w:pPr>
      <w:r w:rsidRPr="00BB11AF">
        <w:t>En conclusion, jamais, au cours de son histoire récente, la Tunisie n'a connu d'horizon aussi incertain. Les tendances qui voient le jour bo</w:t>
      </w:r>
      <w:r w:rsidRPr="00BB11AF">
        <w:t>u</w:t>
      </w:r>
      <w:r w:rsidRPr="00BB11AF">
        <w:t>leversent nombre d'analyses sur la trajectoire à la fois banale et atypique de ce pays dont les élites, se sont lon</w:t>
      </w:r>
      <w:r w:rsidRPr="00BB11AF">
        <w:t>g</w:t>
      </w:r>
      <w:r w:rsidRPr="00BB11AF">
        <w:t>temps voulues pas tout à fait comme les autres. Serait-ce, d</w:t>
      </w:r>
      <w:r w:rsidRPr="00BB11AF">
        <w:t>e</w:t>
      </w:r>
      <w:r w:rsidRPr="00BB11AF">
        <w:t>puis des décennies, les analystes qui se sont trompés ou la crise actuelle peut-elle être lue comme un épisode régressif constitutif des processus révolutionnaires dans le</w:t>
      </w:r>
      <w:r w:rsidRPr="00BB11AF">
        <w:t>s</w:t>
      </w:r>
      <w:r w:rsidRPr="00BB11AF">
        <w:t>quels le nouveau est to</w:t>
      </w:r>
      <w:r w:rsidRPr="00BB11AF">
        <w:t>u</w:t>
      </w:r>
      <w:r w:rsidRPr="00BB11AF">
        <w:t>jours différent de que l'on imaginait ?</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[22]</w:t>
      </w:r>
    </w:p>
    <w:p w:rsidR="003A3061" w:rsidRPr="00BB11AF" w:rsidRDefault="003A3061" w:rsidP="003A3061">
      <w:pPr>
        <w:pStyle w:val="p"/>
      </w:pPr>
      <w:r w:rsidRPr="00BB11AF">
        <w:br w:type="page"/>
        <w:t>[23]</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hanging="20"/>
        <w:jc w:val="center"/>
        <w:rPr>
          <w:b/>
          <w:sz w:val="24"/>
        </w:rPr>
      </w:pPr>
      <w:bookmarkStart w:id="6" w:name="Crise_et_mise_en_crise_texte_03"/>
      <w:r w:rsidRPr="00BB11AF">
        <w:rPr>
          <w:b/>
          <w:i/>
          <w:color w:val="FF0000"/>
          <w:sz w:val="24"/>
        </w:rPr>
        <w:t>Crise</w:t>
      </w:r>
      <w:r w:rsidRPr="00BB11AF">
        <w:rPr>
          <w:b/>
          <w:sz w:val="24"/>
        </w:rPr>
        <w:t xml:space="preserve"> et mise en </w:t>
      </w:r>
      <w:r w:rsidRPr="00BB11AF">
        <w:rPr>
          <w:b/>
          <w:i/>
          <w:color w:val="FF0000"/>
          <w:sz w:val="24"/>
        </w:rPr>
        <w:t>crise</w:t>
      </w:r>
      <w:r w:rsidRPr="00BB11AF">
        <w:rPr>
          <w:b/>
          <w:sz w:val="24"/>
        </w:rPr>
        <w:t>.</w:t>
      </w:r>
    </w:p>
    <w:p w:rsidR="003A3061" w:rsidRPr="00BB11AF" w:rsidRDefault="003A3061" w:rsidP="003A3061">
      <w:pPr>
        <w:jc w:val="center"/>
        <w:rPr>
          <w:sz w:val="24"/>
        </w:rPr>
      </w:pPr>
      <w:r w:rsidRPr="00BB11AF">
        <w:rPr>
          <w:sz w:val="24"/>
        </w:rPr>
        <w:t>Actes du colloque annuel de l’ACSALF 2012.</w:t>
      </w:r>
    </w:p>
    <w:p w:rsidR="003A3061" w:rsidRPr="00BB11AF" w:rsidRDefault="003A3061" w:rsidP="003A3061">
      <w:pPr>
        <w:jc w:val="center"/>
        <w:rPr>
          <w:sz w:val="24"/>
        </w:rPr>
      </w:pPr>
    </w:p>
    <w:p w:rsidR="003A3061" w:rsidRPr="00BB11AF" w:rsidRDefault="003A3061" w:rsidP="003A3061">
      <w:pPr>
        <w:pStyle w:val="Titreniveau1"/>
      </w:pPr>
      <w:r w:rsidRPr="00BB11AF">
        <w:t>3</w:t>
      </w:r>
    </w:p>
    <w:p w:rsidR="003A3061" w:rsidRPr="00BB11AF" w:rsidRDefault="003A3061" w:rsidP="003A3061">
      <w:pPr>
        <w:pStyle w:val="Titreniveau2"/>
      </w:pPr>
      <w:r w:rsidRPr="00BB11AF">
        <w:t>“Révoltes arabes</w:t>
      </w:r>
      <w:r w:rsidRPr="00BB11AF">
        <w:br/>
        <w:t>et islams politiques :</w:t>
      </w:r>
      <w:r w:rsidRPr="00BB11AF">
        <w:br/>
        <w:t>retour du religieux</w:t>
      </w:r>
      <w:r w:rsidRPr="00BB11AF">
        <w:br/>
        <w:t>ou transition politique ?”</w:t>
      </w:r>
    </w:p>
    <w:bookmarkEnd w:id="6"/>
    <w:p w:rsidR="003A3061" w:rsidRPr="00BB11AF" w:rsidRDefault="003A3061" w:rsidP="003A3061">
      <w:pPr>
        <w:jc w:val="both"/>
        <w:rPr>
          <w:szCs w:val="36"/>
        </w:rPr>
      </w:pPr>
    </w:p>
    <w:p w:rsidR="003A3061" w:rsidRPr="00BB11AF" w:rsidRDefault="003A3061" w:rsidP="003A3061">
      <w:pPr>
        <w:pStyle w:val="suite"/>
      </w:pPr>
      <w:r w:rsidRPr="00BB11AF">
        <w:t>Par Zakaria RHANI</w:t>
      </w:r>
    </w:p>
    <w:p w:rsidR="003A3061" w:rsidRPr="00BB11AF" w:rsidRDefault="003A3061" w:rsidP="003A3061">
      <w:pPr>
        <w:pStyle w:val="auteurst"/>
      </w:pPr>
      <w:r w:rsidRPr="00BB11AF">
        <w:t>Université Mohammed V, Rabat</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right="90" w:firstLine="0"/>
        <w:jc w:val="both"/>
        <w:rPr>
          <w:sz w:val="20"/>
        </w:rPr>
      </w:pPr>
      <w:hyperlink w:anchor="tdm" w:history="1">
        <w:r w:rsidRPr="00BB11AF">
          <w:rPr>
            <w:rStyle w:val="Lienhypertexte"/>
            <w:sz w:val="20"/>
          </w:rPr>
          <w:t>Retour à la table des matières</w:t>
        </w:r>
      </w:hyperlink>
    </w:p>
    <w:p w:rsidR="003A3061" w:rsidRPr="00BB11AF" w:rsidRDefault="00356B29" w:rsidP="003A3061">
      <w:pPr>
        <w:spacing w:before="120" w:after="120"/>
        <w:jc w:val="both"/>
      </w:pPr>
      <w:r w:rsidRPr="00BB11AF">
        <w:rPr>
          <w:noProof/>
          <w:lang w:val="fr-FR" w:eastAsia="fr-FR"/>
        </w:rPr>
        <w:drawing>
          <wp:anchor distT="0" distB="0" distL="63500" distR="182880" simplePos="0" relativeHeight="251655680" behindDoc="1" locked="0" layoutInCell="1" allowOverlap="0">
            <wp:simplePos x="0" y="0"/>
            <wp:positionH relativeFrom="margin">
              <wp:posOffset>89535</wp:posOffset>
            </wp:positionH>
            <wp:positionV relativeFrom="margin">
              <wp:posOffset>4460240</wp:posOffset>
            </wp:positionV>
            <wp:extent cx="1130300" cy="787400"/>
            <wp:effectExtent l="25400" t="25400" r="12700" b="12700"/>
            <wp:wrapTight wrapText="bothSides">
              <wp:wrapPolygon edited="0">
                <wp:start x="-485" y="-697"/>
                <wp:lineTo x="-485" y="21948"/>
                <wp:lineTo x="21843" y="21948"/>
                <wp:lineTo x="21843" y="-697"/>
                <wp:lineTo x="-485" y="-697"/>
              </wp:wrapPolygon>
            </wp:wrapTight>
            <wp:docPr id="25" name="Image 12"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image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0300" cy="7874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3A3061" w:rsidRPr="00BB11AF">
        <w:t>Vous avez sans doute croisé sur le net une car</w:t>
      </w:r>
      <w:r w:rsidR="003A3061" w:rsidRPr="00BB11AF">
        <w:t>i</w:t>
      </w:r>
      <w:r w:rsidR="003A3061" w:rsidRPr="00BB11AF">
        <w:t>cature d'Ashraf Hamdi qui, depuis 2011, a largement circulé dans les r</w:t>
      </w:r>
      <w:r w:rsidR="003A3061" w:rsidRPr="00BB11AF">
        <w:t>é</w:t>
      </w:r>
      <w:r w:rsidR="003A3061" w:rsidRPr="00BB11AF">
        <w:t>seaux sociaux, suite aux succès des islamistes dans les législatives qui ont suivi les soulèv</w:t>
      </w:r>
      <w:r w:rsidR="003A3061" w:rsidRPr="00BB11AF">
        <w:t>e</w:t>
      </w:r>
      <w:r w:rsidR="003A3061" w:rsidRPr="00BB11AF">
        <w:t>ments dans le Monde arabe. On y voit un homme, à peu près dans la cinquantaine, qui porte une djellaba, une capuche (</w:t>
      </w:r>
      <w:r w:rsidR="003A3061" w:rsidRPr="00BB11AF">
        <w:rPr>
          <w:i/>
        </w:rPr>
        <w:t>taguiya</w:t>
      </w:r>
      <w:r w:rsidR="003A3061" w:rsidRPr="00BB11AF">
        <w:t>) blanche et des babouches. Le corps opulent. Une longue barbe, dense et bien soignée. Une moustache bien rasée. La lèvre inférieure, épai</w:t>
      </w:r>
      <w:r w:rsidR="003A3061" w:rsidRPr="00BB11AF">
        <w:t>s</w:t>
      </w:r>
      <w:r w:rsidR="003A3061" w:rsidRPr="00BB11AF">
        <w:t>se et pendante, dessine un sourire très large, les yeux fermés, les sou</w:t>
      </w:r>
      <w:r w:rsidR="003A3061" w:rsidRPr="00BB11AF">
        <w:t>r</w:t>
      </w:r>
      <w:r w:rsidR="003A3061" w:rsidRPr="00BB11AF">
        <w:t>cils soulevés en signe d'une confiance aveugle. L'homme barbu ma</w:t>
      </w:r>
      <w:r w:rsidR="003A3061" w:rsidRPr="00BB11AF">
        <w:t>r</w:t>
      </w:r>
      <w:r w:rsidR="003A3061" w:rsidRPr="00BB11AF">
        <w:t>che, un fouet à la main, sur le dos d'un jeune se tenant sur quatre pa</w:t>
      </w:r>
      <w:r w:rsidR="003A3061" w:rsidRPr="00BB11AF">
        <w:t>t</w:t>
      </w:r>
      <w:r w:rsidR="003A3061" w:rsidRPr="00BB11AF">
        <w:t>tes et se dirige vers un trône placé sur une estrade. Dans une n</w:t>
      </w:r>
      <w:r w:rsidR="003A3061" w:rsidRPr="00BB11AF">
        <w:t>u</w:t>
      </w:r>
      <w:r w:rsidR="003A3061" w:rsidRPr="00BB11AF">
        <w:t>dité totale, sans habits ni cheveux, le visage placide et illisible, la bouche cousue, les yeux baissés et dans son animalité primit</w:t>
      </w:r>
      <w:r w:rsidR="003A3061" w:rsidRPr="00BB11AF">
        <w:t>i</w:t>
      </w:r>
      <w:r w:rsidR="003A3061" w:rsidRPr="00BB11AF">
        <w:t>ve, le jeune pose sa tête à l'extrémité du podium pour que le joyeux barbu puisse marcher nonchalamment vers le tr</w:t>
      </w:r>
      <w:r w:rsidR="003A3061" w:rsidRPr="00BB11AF">
        <w:t>ô</w:t>
      </w:r>
      <w:r w:rsidR="003A3061" w:rsidRPr="00BB11AF">
        <w:t xml:space="preserve">ne. Sur le corps nu du jeune homme, à l'emplacement des viscères, le caricaturiste inscrit le mot </w:t>
      </w:r>
      <w:r w:rsidR="003A3061" w:rsidRPr="002A0BF2">
        <w:rPr>
          <w:i/>
        </w:rPr>
        <w:t>thawra</w:t>
      </w:r>
      <w:r w:rsidR="003A3061" w:rsidRPr="00BB11AF">
        <w:t>. Voulait-il, ainsi, exprimer un par</w:t>
      </w:r>
      <w:r w:rsidR="003A3061" w:rsidRPr="00BB11AF">
        <w:t>a</w:t>
      </w:r>
      <w:r w:rsidR="003A3061" w:rsidRPr="00BB11AF">
        <w:t>doxe ; que cette révolte égyptienne, née des tréfonds d'une jeunesse nue, sans appartenance politique et idéolog</w:t>
      </w:r>
      <w:r w:rsidR="003A3061" w:rsidRPr="00BB11AF">
        <w:t>i</w:t>
      </w:r>
      <w:r w:rsidR="003A3061" w:rsidRPr="00BB11AF">
        <w:t xml:space="preserve">que et qui a viscéralement désiré le changement radical, porte au pouvoir les </w:t>
      </w:r>
      <w:r w:rsidR="003A3061" w:rsidRPr="002A0BF2">
        <w:rPr>
          <w:i/>
        </w:rPr>
        <w:t>shuyukh</w:t>
      </w:r>
      <w:r w:rsidR="003A3061" w:rsidRPr="00BB11AF">
        <w:t xml:space="preserve"> de l'islam politique, c'est-à-dire les Frères m</w:t>
      </w:r>
      <w:r w:rsidR="003A3061" w:rsidRPr="00BB11AF">
        <w:t>u</w:t>
      </w:r>
      <w:r w:rsidR="003A3061" w:rsidRPr="00BB11AF">
        <w:t>sulmans. Il exprime en tout cas, de manière éminemment parlante, les idées qui ont dominé certaines an</w:t>
      </w:r>
      <w:r w:rsidR="003A3061" w:rsidRPr="00BB11AF">
        <w:t>a</w:t>
      </w:r>
      <w:r w:rsidR="003A3061" w:rsidRPr="00BB11AF">
        <w:t>lyses sociopolitiques et médiat</w:t>
      </w:r>
      <w:r w:rsidR="003A3061" w:rsidRPr="00BB11AF">
        <w:t>i</w:t>
      </w:r>
      <w:r w:rsidR="003A3061" w:rsidRPr="00BB11AF">
        <w:t>ques, à savoir : les « islamistes » ont « détourné » les révoltes arabes ou, pour le dire autrement, les révol</w:t>
      </w:r>
      <w:r w:rsidR="003A3061" w:rsidRPr="00BB11AF">
        <w:t>u</w:t>
      </w:r>
      <w:r w:rsidR="003A3061" w:rsidRPr="00BB11AF">
        <w:t>tions ont réco</w:t>
      </w:r>
      <w:r w:rsidR="003A3061" w:rsidRPr="00BB11AF">
        <w:t>m</w:t>
      </w:r>
      <w:r w:rsidR="003A3061" w:rsidRPr="00BB11AF">
        <w:t>pensé des partis pensés être antirévolutionnaires</w:t>
      </w:r>
      <w:r w:rsidR="003A3061">
        <w:t> </w:t>
      </w:r>
      <w:r w:rsidR="003A3061">
        <w:rPr>
          <w:rStyle w:val="Appelnotedebasdep"/>
        </w:rPr>
        <w:footnoteReference w:id="6"/>
      </w:r>
      <w:r w:rsidR="003A3061" w:rsidRPr="00BB11AF">
        <w:t>.</w:t>
      </w:r>
    </w:p>
    <w:p w:rsidR="003A3061" w:rsidRPr="00BB11AF" w:rsidRDefault="003A3061" w:rsidP="003A3061">
      <w:pPr>
        <w:spacing w:before="120" w:after="120"/>
        <w:jc w:val="both"/>
      </w:pPr>
      <w:r w:rsidRPr="00BB11AF">
        <w:t>Dans ce texte, je m'intéresse moins aux mouvements de révolte, comme tels, qu'aux processus politico-religieux qui les ont animées ; et ce pour examiner deux idées assez consacrées et qui ont refait su</w:t>
      </w:r>
      <w:r w:rsidRPr="00BB11AF">
        <w:t>r</w:t>
      </w:r>
      <w:r w:rsidRPr="00BB11AF">
        <w:t>face après les réussites électorales des islamistes (Maroc, Tunisie, Égypte), c'est-à-dire le « retour du religieux » et le « post-islamisme ». Partant d'une analyse spécifique des dispositifs symboliques et</w:t>
      </w:r>
      <w:r>
        <w:t xml:space="preserve"> </w:t>
      </w:r>
      <w:r w:rsidRPr="00BB11AF">
        <w:t>[24]</w:t>
      </w:r>
      <w:r>
        <w:t xml:space="preserve"> </w:t>
      </w:r>
      <w:r w:rsidRPr="00BB11AF">
        <w:t>politiques mobilisés par la révolution iranienne, nous tenterons, dans un premier temps, d'analyser la notion, dominante dans certaines an</w:t>
      </w:r>
      <w:r w:rsidRPr="00BB11AF">
        <w:t>a</w:t>
      </w:r>
      <w:r w:rsidRPr="00BB11AF">
        <w:t>lyses politiques, du « retour de l'Islam », telle que formulée par Be</w:t>
      </w:r>
      <w:r w:rsidRPr="00BB11AF">
        <w:t>r</w:t>
      </w:r>
      <w:r w:rsidRPr="00BB11AF">
        <w:t>nard Lewis. Ce qui nous, amène à faire un détour historique, pour an</w:t>
      </w:r>
      <w:r w:rsidRPr="00BB11AF">
        <w:t>a</w:t>
      </w:r>
      <w:r w:rsidRPr="00BB11AF">
        <w:t>lyser, à partir d'une perspective anthropologique, certains mythes fo</w:t>
      </w:r>
      <w:r w:rsidRPr="00BB11AF">
        <w:t>n</w:t>
      </w:r>
      <w:r w:rsidRPr="00BB11AF">
        <w:t>dateurs de la rébellion et de la contre-rébellion dans la culture islam</w:t>
      </w:r>
      <w:r w:rsidRPr="00BB11AF">
        <w:t>i</w:t>
      </w:r>
      <w:r w:rsidRPr="00BB11AF">
        <w:t>que. Des mythes qui sont encore mobilisés tant par des analy</w:t>
      </w:r>
      <w:r w:rsidRPr="00BB11AF">
        <w:t>s</w:t>
      </w:r>
      <w:r w:rsidRPr="00BB11AF">
        <w:t>tes que par des mouvances islamistes, d'une part, pour séparer un islam sunn</w:t>
      </w:r>
      <w:r w:rsidRPr="00BB11AF">
        <w:t>i</w:t>
      </w:r>
      <w:r w:rsidRPr="00BB11AF">
        <w:t>te conservateur d'un islam chiite révolutionnaire et pour d</w:t>
      </w:r>
      <w:r w:rsidRPr="00BB11AF">
        <w:t>é</w:t>
      </w:r>
      <w:r w:rsidRPr="00BB11AF">
        <w:t>fendre, d'autre part, certaines positions politiques actuelles. Dans un second temps, nous examinerons les positions et les parcours polit</w:t>
      </w:r>
      <w:r w:rsidRPr="00BB11AF">
        <w:t>i</w:t>
      </w:r>
      <w:r w:rsidRPr="00BB11AF">
        <w:t>ques « postrévolutionnaires » contrastés des islamistes, surtout dans le cas du Maroc, pour ainsi illustrer la plasticité et la contingence des post</w:t>
      </w:r>
      <w:r w:rsidRPr="00BB11AF">
        <w:t>u</w:t>
      </w:r>
      <w:r w:rsidRPr="00BB11AF">
        <w:t>res herméneutiques qui expriment de nouvelles articulations du polit</w:t>
      </w:r>
      <w:r w:rsidRPr="00BB11AF">
        <w:t>i</w:t>
      </w:r>
      <w:r w:rsidRPr="00BB11AF">
        <w:t>co-religieux. Des postures qui dépendent moins d'un enferm</w:t>
      </w:r>
      <w:r w:rsidRPr="00BB11AF">
        <w:t>e</w:t>
      </w:r>
      <w:r w:rsidRPr="00BB11AF">
        <w:t>ment dans les textes fondateurs que des expériences personnelles et des a</w:t>
      </w:r>
      <w:r w:rsidRPr="00BB11AF">
        <w:t>m</w:t>
      </w:r>
      <w:r w:rsidRPr="00BB11AF">
        <w:t>bitions politiques. Ceci nous permettra, à la fin, de discuter la pert</w:t>
      </w:r>
      <w:r w:rsidRPr="00BB11AF">
        <w:t>i</w:t>
      </w:r>
      <w:r w:rsidRPr="00BB11AF">
        <w:t>nence de la théorie du « post-islamisme » dans les transitions actue</w:t>
      </w:r>
      <w:r w:rsidRPr="00BB11AF">
        <w:t>l</w:t>
      </w:r>
      <w:r w:rsidRPr="00BB11AF">
        <w:t>les.</w:t>
      </w:r>
    </w:p>
    <w:p w:rsidR="003A3061" w:rsidRDefault="003A3061" w:rsidP="003A3061">
      <w:pPr>
        <w:spacing w:before="120" w:after="120"/>
        <w:jc w:val="both"/>
      </w:pPr>
    </w:p>
    <w:p w:rsidR="003A3061" w:rsidRPr="00BB11AF" w:rsidRDefault="003A3061" w:rsidP="003A3061">
      <w:pPr>
        <w:spacing w:before="120" w:after="120"/>
        <w:jc w:val="both"/>
      </w:pPr>
    </w:p>
    <w:p w:rsidR="003A3061" w:rsidRPr="00BB11AF" w:rsidRDefault="003A3061" w:rsidP="003A3061">
      <w:pPr>
        <w:pStyle w:val="a"/>
      </w:pPr>
      <w:r w:rsidRPr="00BB11AF">
        <w:t>Le retour de l'Islam !</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La caricature d'Ashraf Hamdi aurait, fort probablement, pu e</w:t>
      </w:r>
      <w:r w:rsidRPr="00BB11AF">
        <w:t>n</w:t>
      </w:r>
      <w:r w:rsidRPr="00BB11AF">
        <w:t>chanter l'islamologue américain Bernard Lewis (1988), lui qui, que</w:t>
      </w:r>
      <w:r w:rsidRPr="00BB11AF">
        <w:t>l</w:t>
      </w:r>
      <w:r w:rsidRPr="00BB11AF">
        <w:t>ques d</w:t>
      </w:r>
      <w:r w:rsidRPr="00BB11AF">
        <w:t>é</w:t>
      </w:r>
      <w:r w:rsidRPr="00BB11AF">
        <w:t>cennies plus tôt, prophétisait que la révolution iranienne avait mo</w:t>
      </w:r>
      <w:r w:rsidRPr="00BB11AF">
        <w:t>n</w:t>
      </w:r>
      <w:r w:rsidRPr="00BB11AF">
        <w:t>tré la voie politique que les pays musulmans chercheront à suivre, afin de revenir à l'Islam vrai, authentique, celui du Prophète et de ses compagnons</w:t>
      </w:r>
      <w:r>
        <w:t> </w:t>
      </w:r>
      <w:r>
        <w:rPr>
          <w:rStyle w:val="Appelnotedebasdep"/>
        </w:rPr>
        <w:footnoteReference w:id="7"/>
      </w:r>
      <w:r w:rsidRPr="00BB11AF">
        <w:t>. Toute révolution, dans ce sens, n'a de but que d'ét</w:t>
      </w:r>
      <w:r w:rsidRPr="00BB11AF">
        <w:t>a</w:t>
      </w:r>
      <w:r w:rsidRPr="00BB11AF">
        <w:t>blir un ordre islamique originel. Et implicite à cette conclusion, celle qui nie toute possibilité de révolution, tant que c'est toujours le système pr</w:t>
      </w:r>
      <w:r w:rsidRPr="00BB11AF">
        <w:t>i</w:t>
      </w:r>
      <w:r w:rsidRPr="00BB11AF">
        <w:t>mitif qui est reproduit. Ainsi, si l'on suit Lewis, contrairement à la cu</w:t>
      </w:r>
      <w:r w:rsidRPr="00BB11AF">
        <w:t>l</w:t>
      </w:r>
      <w:r w:rsidRPr="00BB11AF">
        <w:t>ture et la religion occidentales où la séparation entre le sacré et le pr</w:t>
      </w:r>
      <w:r w:rsidRPr="00BB11AF">
        <w:t>o</w:t>
      </w:r>
      <w:r w:rsidRPr="00BB11AF">
        <w:t>fane est structurelle, dans la culture islamique, c'est leur fusion qui est structurante. Comme si le langage de l'Islam, qui est supposé ass</w:t>
      </w:r>
      <w:r w:rsidRPr="00BB11AF">
        <w:t>o</w:t>
      </w:r>
      <w:r w:rsidRPr="00BB11AF">
        <w:t>cier le sacré et le profane, est génétiquement inscrit dans la pensée et la culture. Toute pratique et toute lecture qui tentent de déconstruire la relation du politique au religieux ne sont que d</w:t>
      </w:r>
      <w:r w:rsidRPr="00BB11AF">
        <w:t>é</w:t>
      </w:r>
      <w:r w:rsidRPr="00BB11AF">
        <w:t>rapage par rapport à un destin prescrit. Lewis ignore ainsi les conditions hi</w:t>
      </w:r>
      <w:r w:rsidRPr="00BB11AF">
        <w:t>s</w:t>
      </w:r>
      <w:r w:rsidRPr="00BB11AF">
        <w:t>toriques tant de la fusion que celle de la séparation, prenant, à l'instar de certaines le</w:t>
      </w:r>
      <w:r w:rsidRPr="00BB11AF">
        <w:t>c</w:t>
      </w:r>
      <w:r w:rsidRPr="00BB11AF">
        <w:t>tures islamistes, une histoire contingente, celle de l'association, pour l'histoire universe</w:t>
      </w:r>
      <w:r w:rsidRPr="00BB11AF">
        <w:t>l</w:t>
      </w:r>
      <w:r w:rsidRPr="00BB11AF">
        <w:t>le de la non-séparation, en jouant sur la confusion entre culture et religion. Pour lui, la culture politique, en Islam, n'est que rel</w:t>
      </w:r>
      <w:r w:rsidRPr="00BB11AF">
        <w:t>i</w:t>
      </w:r>
      <w:r w:rsidRPr="00BB11AF">
        <w:t>gion. L'expérience humaine et l'histoire sont l'expression fidèle d'un langage, d'un texte, primitif, purifié de toute influence e</w:t>
      </w:r>
      <w:r w:rsidRPr="00BB11AF">
        <w:t>x</w:t>
      </w:r>
      <w:r w:rsidRPr="00BB11AF">
        <w:t>terne, n'acceptant ni mutation, ni délétion, mais seulement des reprodu</w:t>
      </w:r>
      <w:r w:rsidRPr="00BB11AF">
        <w:t>c</w:t>
      </w:r>
      <w:r w:rsidRPr="00BB11AF">
        <w:t>tions. Comme si les musulmans étaient nés du néant, dans une épro</w:t>
      </w:r>
      <w:r w:rsidRPr="00BB11AF">
        <w:t>u</w:t>
      </w:r>
      <w:r w:rsidRPr="00BB11AF">
        <w:t>vette culturelle enrichie d'un suc divin, se suff</w:t>
      </w:r>
      <w:r w:rsidRPr="00BB11AF">
        <w:t>i</w:t>
      </w:r>
      <w:r w:rsidRPr="00BB11AF">
        <w:t>sant à eux-mêmes et reproduisant la même copie d'eux-mêmes, éternell</w:t>
      </w:r>
      <w:r w:rsidRPr="00BB11AF">
        <w:t>e</w:t>
      </w:r>
      <w:r w:rsidRPr="00BB11AF">
        <w:t>ment.</w:t>
      </w:r>
    </w:p>
    <w:p w:rsidR="003A3061" w:rsidRPr="00BB11AF" w:rsidRDefault="003A3061" w:rsidP="003A3061">
      <w:pPr>
        <w:spacing w:before="120" w:after="120"/>
        <w:jc w:val="both"/>
      </w:pPr>
      <w:r w:rsidRPr="00BB11AF">
        <w:t>[25]</w:t>
      </w:r>
    </w:p>
    <w:p w:rsidR="003A3061" w:rsidRPr="00BB11AF" w:rsidRDefault="003A3061" w:rsidP="003A3061">
      <w:pPr>
        <w:spacing w:before="120" w:after="120"/>
        <w:jc w:val="both"/>
      </w:pPr>
      <w:r w:rsidRPr="00BB11AF">
        <w:t>Ainsi, en projetant dans le premier siècle de l'Islam lès disputes théologiques formelles et les débats scolastiques sur la nature de l'a</w:t>
      </w:r>
      <w:r w:rsidRPr="00BB11AF">
        <w:t>u</w:t>
      </w:r>
      <w:r w:rsidRPr="00BB11AF">
        <w:t>torité politique, survenus des siècles plus tard, un tel discours non se</w:t>
      </w:r>
      <w:r w:rsidRPr="00BB11AF">
        <w:t>u</w:t>
      </w:r>
      <w:r w:rsidRPr="00BB11AF">
        <w:t>lement mélange les temporalités et les contextes, mais exprime ég</w:t>
      </w:r>
      <w:r w:rsidRPr="00BB11AF">
        <w:t>a</w:t>
      </w:r>
      <w:r w:rsidRPr="00BB11AF">
        <w:t>lement la transcendance d'un discours contingent et sa nature contra</w:t>
      </w:r>
      <w:r w:rsidRPr="00BB11AF">
        <w:t>i</w:t>
      </w:r>
      <w:r w:rsidRPr="00BB11AF">
        <w:t>gnante. Nous verrons plus tard que les sens que prendront les n</w:t>
      </w:r>
      <w:r w:rsidRPr="00BB11AF">
        <w:t>o</w:t>
      </w:r>
      <w:r w:rsidRPr="00BB11AF">
        <w:t>tions et les paradigmes relatifs aux questions du pouvoir et de la séd</w:t>
      </w:r>
      <w:r w:rsidRPr="00BB11AF">
        <w:t>i</w:t>
      </w:r>
      <w:r w:rsidRPr="00BB11AF">
        <w:t>tion sont des interprétations élaborées dans une ambiance de tension s</w:t>
      </w:r>
      <w:r w:rsidRPr="00BB11AF">
        <w:t>o</w:t>
      </w:r>
      <w:r w:rsidRPr="00BB11AF">
        <w:t>ciopolitique, notamment le conflit sur la légitimité politico-religieuse. Est-ce un retour que de puiser dans l'histoire et l'imaginaire des récits, des sy</w:t>
      </w:r>
      <w:r w:rsidRPr="00BB11AF">
        <w:t>m</w:t>
      </w:r>
      <w:r w:rsidRPr="00BB11AF">
        <w:t>boles et des mythes pour donner sens à des prises de position actue</w:t>
      </w:r>
      <w:r w:rsidRPr="00BB11AF">
        <w:t>l</w:t>
      </w:r>
      <w:r w:rsidRPr="00BB11AF">
        <w:t>les ?</w:t>
      </w:r>
    </w:p>
    <w:p w:rsidR="003A3061" w:rsidRPr="00BB11AF" w:rsidRDefault="003A3061" w:rsidP="003A3061">
      <w:pPr>
        <w:spacing w:before="120" w:after="120"/>
        <w:jc w:val="both"/>
      </w:pPr>
      <w:r w:rsidRPr="00BB11AF">
        <w:t>En tout cas pour Lewis, l'Islam est donné comme une totalité e</w:t>
      </w:r>
      <w:r w:rsidRPr="00BB11AF">
        <w:t>x</w:t>
      </w:r>
      <w:r w:rsidRPr="00BB11AF">
        <w:t>pre</w:t>
      </w:r>
      <w:r w:rsidRPr="00BB11AF">
        <w:t>s</w:t>
      </w:r>
      <w:r w:rsidRPr="00BB11AF">
        <w:t>sive avec un noyau constant qui se manifeste et imprègne chaque petit morceau et chaque partie de cette totalité. Les mouvements, les processus, les dérapages, les écarts et les tentations de l'histoire pe</w:t>
      </w:r>
      <w:r w:rsidRPr="00BB11AF">
        <w:t>u</w:t>
      </w:r>
      <w:r w:rsidRPr="00BB11AF">
        <w:t>vent affecter temporairement la surface de cette totalité expressive et introduire des anomalies et des distorsions tels le nationalisme, le s</w:t>
      </w:r>
      <w:r w:rsidRPr="00BB11AF">
        <w:t>o</w:t>
      </w:r>
      <w:r w:rsidRPr="00BB11AF">
        <w:t>cialisme, le populisme, le modernisme, le marxisme, la laïcité, le r</w:t>
      </w:r>
      <w:r w:rsidRPr="00BB11AF">
        <w:t>é</w:t>
      </w:r>
      <w:r w:rsidRPr="00BB11AF">
        <w:t>formisme, etc. Mais à la fin, la totalité retrouve son état de départ en re</w:t>
      </w:r>
      <w:r w:rsidRPr="00BB11AF">
        <w:t>s</w:t>
      </w:r>
      <w:r w:rsidRPr="00BB11AF">
        <w:t>tant fidèle à sa base transcendantale, secouant finalement toutes ces distorsions étrangères et ces anomalies, pour qu'en fin de compte l’</w:t>
      </w:r>
      <w:r w:rsidRPr="00BB11AF">
        <w:rPr>
          <w:i/>
        </w:rPr>
        <w:t xml:space="preserve">homo islamicus </w:t>
      </w:r>
      <w:r w:rsidRPr="00BB11AF">
        <w:t xml:space="preserve">demeure </w:t>
      </w:r>
      <w:r w:rsidRPr="00BB11AF">
        <w:rPr>
          <w:i/>
        </w:rPr>
        <w:t>homo islamicus</w:t>
      </w:r>
      <w:r w:rsidRPr="00BB11AF">
        <w:t xml:space="preserve"> (Al-Azm 2011). Lewis veut, ainsi, oublier que les expressions musulmanes du politique n'ont pas émergé </w:t>
      </w:r>
      <w:r w:rsidRPr="00BB11AF">
        <w:rPr>
          <w:i/>
        </w:rPr>
        <w:t>ex nihilo</w:t>
      </w:r>
      <w:r w:rsidRPr="00BB11AF">
        <w:t xml:space="preserve"> ni émané de l'ordonnance d'un livre. Comme il persiste à ignorer que la genèse d'un corps diversifié de formes spéc</w:t>
      </w:r>
      <w:r w:rsidRPr="00BB11AF">
        <w:t>i</w:t>
      </w:r>
      <w:r w:rsidRPr="00BB11AF">
        <w:t>fiquement musulmanes de l'énonciation du pouvoir a nécessité pl</w:t>
      </w:r>
      <w:r w:rsidRPr="00BB11AF">
        <w:t>u</w:t>
      </w:r>
      <w:r w:rsidRPr="00BB11AF">
        <w:t>sieurs siècles ; que ces formes n'étaient en aucun cas sui generis et que les énonciations islamiques du po</w:t>
      </w:r>
      <w:r w:rsidRPr="00BB11AF">
        <w:t>u</w:t>
      </w:r>
      <w:r w:rsidRPr="00BB11AF">
        <w:t>voir, même les affirmations quant à sa sacralité, n'étaient pas nécessairement le travail d'un discours spéc</w:t>
      </w:r>
      <w:r w:rsidRPr="00BB11AF">
        <w:t>i</w:t>
      </w:r>
      <w:r w:rsidRPr="00BB11AF">
        <w:t>fiquement religieux ou limitées à des establishments cléricaux chiites ou sunnites. Les systèmes politiques musulmans disposaient d'un r</w:t>
      </w:r>
      <w:r w:rsidRPr="00BB11AF">
        <w:t>é</w:t>
      </w:r>
      <w:r w:rsidRPr="00BB11AF">
        <w:t>pertoire, extrêmement ancien, d'institutions, de métaphores, d'icon</w:t>
      </w:r>
      <w:r w:rsidRPr="00BB11AF">
        <w:t>o</w:t>
      </w:r>
      <w:r w:rsidRPr="00BB11AF">
        <w:t>graphie et de propositions relatives au pouvoir, surtout concernant les processus de sacralisation du pouvoir. Il est devenu anachronique d'a</w:t>
      </w:r>
      <w:r w:rsidRPr="00BB11AF">
        <w:t>f</w:t>
      </w:r>
      <w:r w:rsidRPr="00BB11AF">
        <w:t>firmer aujourd'hui que le système politique primitif proto-musulman, le califat-bien-guidé (632-661), avait produit des statuts et des formes d'État et de Royauté de caractère d</w:t>
      </w:r>
      <w:r w:rsidRPr="00BB11AF">
        <w:t>é</w:t>
      </w:r>
      <w:r w:rsidRPr="00BB11AF">
        <w:t>terminant qui auraient informé la cristallisation ultérieure des systèmes politiques musulmans. Les fo</w:t>
      </w:r>
      <w:r w:rsidRPr="00BB11AF">
        <w:t>r</w:t>
      </w:r>
      <w:r w:rsidRPr="00BB11AF">
        <w:t>mes du religieux, les textes et les généalogies exemplaires qui sont attribués à la période formative de l'Islam sont des élaborations tard</w:t>
      </w:r>
      <w:r w:rsidRPr="00BB11AF">
        <w:t>i</w:t>
      </w:r>
      <w:r w:rsidRPr="00BB11AF">
        <w:t>ves, éch</w:t>
      </w:r>
      <w:r w:rsidRPr="00BB11AF">
        <w:t>a</w:t>
      </w:r>
      <w:r w:rsidRPr="00BB11AF">
        <w:t>faudées sur de nombreuses générations, sous des influences multiples, notamment des traditions antéislamiques, des par</w:t>
      </w:r>
      <w:r w:rsidRPr="00BB11AF">
        <w:t>a</w:t>
      </w:r>
      <w:r w:rsidRPr="00BB11AF">
        <w:t>digmes byzantins et iraniens, ainsi que l'héritage sémitique de la religion, du sacerdoce et de la royauté (Al-Azmeh 1997)</w:t>
      </w:r>
      <w:r>
        <w:t> </w:t>
      </w:r>
      <w:r>
        <w:rPr>
          <w:rStyle w:val="Appelnotedebasdep"/>
        </w:rPr>
        <w:footnoteReference w:id="8"/>
      </w:r>
      <w:r w:rsidRPr="00BB11AF">
        <w:t>.</w:t>
      </w:r>
    </w:p>
    <w:p w:rsidR="003A3061" w:rsidRPr="00BB11AF" w:rsidRDefault="003A3061" w:rsidP="003A3061">
      <w:pPr>
        <w:spacing w:before="120" w:after="120"/>
        <w:jc w:val="both"/>
      </w:pPr>
      <w:r w:rsidRPr="00BB11AF">
        <w:t>Certes, il existe des moments historiques fondateurs, mais ils le sont non pas dans le sens qu'ils déterminent la marche de l'hi</w:t>
      </w:r>
      <w:r w:rsidRPr="00BB11AF">
        <w:t>s</w:t>
      </w:r>
      <w:r w:rsidRPr="00BB11AF">
        <w:t>toire, mais parce qu'ils donnent un sens à l'agir, un sens négocié, réinterpr</w:t>
      </w:r>
      <w:r w:rsidRPr="00BB11AF">
        <w:t>é</w:t>
      </w:r>
      <w:r w:rsidRPr="00BB11AF">
        <w:t>té, surtout dans les moments de tension, de ru</w:t>
      </w:r>
      <w:r w:rsidRPr="00BB11AF">
        <w:t>p</w:t>
      </w:r>
      <w:r w:rsidRPr="00BB11AF">
        <w:t>ture et de crise</w:t>
      </w:r>
      <w:r>
        <w:t> </w:t>
      </w:r>
      <w:r>
        <w:rPr>
          <w:rStyle w:val="Appelnotedebasdep"/>
        </w:rPr>
        <w:footnoteReference w:id="9"/>
      </w:r>
      <w:r w:rsidRPr="00BB11AF">
        <w:t>. La Grande discorde, la</w:t>
      </w:r>
      <w:r>
        <w:t xml:space="preserve"> </w:t>
      </w:r>
      <w:r w:rsidRPr="00BB11AF">
        <w:t>[26]</w:t>
      </w:r>
      <w:r>
        <w:t xml:space="preserve"> </w:t>
      </w:r>
      <w:r w:rsidRPr="002A0BF2">
        <w:rPr>
          <w:i/>
        </w:rPr>
        <w:t>Fitna </w:t>
      </w:r>
      <w:r>
        <w:rPr>
          <w:rStyle w:val="Appelnotedebasdep"/>
        </w:rPr>
        <w:footnoteReference w:id="10"/>
      </w:r>
      <w:r w:rsidRPr="00BB11AF">
        <w:t>, est l'un de ces moments marquant de l'histoire musulm</w:t>
      </w:r>
      <w:r w:rsidRPr="00BB11AF">
        <w:t>a</w:t>
      </w:r>
      <w:r w:rsidRPr="00BB11AF">
        <w:t>ne. Car, à la différence d'autres discordes et conflits, nombreux dans l'hi</w:t>
      </w:r>
      <w:r w:rsidRPr="00BB11AF">
        <w:t>s</w:t>
      </w:r>
      <w:r w:rsidRPr="00BB11AF">
        <w:t>toire politico-religieuse de l'Islam, elle fut, selon l'expression de Djaït (1989 : 413), accoucheuse d'histoire :</w:t>
      </w:r>
    </w:p>
    <w:p w:rsidR="003A3061" w:rsidRDefault="003A3061" w:rsidP="003A3061">
      <w:pPr>
        <w:pStyle w:val="Grillecouleur-Accent1"/>
      </w:pPr>
    </w:p>
    <w:p w:rsidR="003A3061" w:rsidRDefault="003A3061" w:rsidP="003A3061">
      <w:pPr>
        <w:pStyle w:val="Grillecouleur-Accent1"/>
      </w:pPr>
      <w:r w:rsidRPr="00BB11AF">
        <w:t>Un des moments les plus passionnants de l'histoire de l'humanité, de par ses protagonistes, ses valeurs, son discours et parce qu'elle a fait entrer le religieux dans l'univers politique de la lutte. Moment dense, privilégié, intense, à l'instar des grandes révolutions qui, ont secoué l'humanité, et parce qu'il n'était pas l'expression de pures et pauvres ambitions, mais r</w:t>
      </w:r>
      <w:r w:rsidRPr="00BB11AF">
        <w:t>e</w:t>
      </w:r>
      <w:r w:rsidRPr="00BB11AF">
        <w:t>celaient des principes, des idées, des ex</w:t>
      </w:r>
      <w:r w:rsidRPr="00BB11AF">
        <w:t>i</w:t>
      </w:r>
      <w:r w:rsidRPr="00BB11AF">
        <w:t>gences. Si la fondation de l'Islam était « la révolution de l'Orient » pour reprendre Hegel, alors la Fitna fut une révolution dans la révolution, ou plutôt elle enr</w:t>
      </w:r>
      <w:r w:rsidRPr="00BB11AF">
        <w:t>i</w:t>
      </w:r>
      <w:r w:rsidRPr="00BB11AF">
        <w:t>chit le fait islamique par une dynamique à nulle autre égale dans l'histoire de l'Islam.</w:t>
      </w:r>
    </w:p>
    <w:p w:rsidR="003A3061" w:rsidRPr="00BB11AF" w:rsidRDefault="003A3061" w:rsidP="003A3061">
      <w:pPr>
        <w:pStyle w:val="Grillecouleur-Accent1"/>
      </w:pPr>
    </w:p>
    <w:p w:rsidR="003A3061" w:rsidRPr="00BB11AF" w:rsidRDefault="003A3061" w:rsidP="003A3061">
      <w:pPr>
        <w:spacing w:before="120" w:after="120"/>
        <w:jc w:val="both"/>
      </w:pPr>
      <w:r w:rsidRPr="00BB11AF">
        <w:t>Ce fut, en effet, une époque matrice parce qu'elle suscita les gra</w:t>
      </w:r>
      <w:r w:rsidRPr="00BB11AF">
        <w:t>n</w:t>
      </w:r>
      <w:r w:rsidRPr="00BB11AF">
        <w:t>des fragmentations de l'islam en différentes idéologies pol</w:t>
      </w:r>
      <w:r w:rsidRPr="00BB11AF">
        <w:t>i</w:t>
      </w:r>
      <w:r w:rsidRPr="00BB11AF">
        <w:t>tiques et religieuses, notamment sunnisme, chiisme, kharidjisme, qui a signif</w:t>
      </w:r>
      <w:r w:rsidRPr="00BB11AF">
        <w:t>i</w:t>
      </w:r>
      <w:r w:rsidRPr="00BB11AF">
        <w:t>cativement marqué, dans la longue durée, les processus politico-religieux dans les pays musulmans. Ce fut une évolution intérieure profonde, mais aussi, comme le rappelle fort bien Djaït (1989), une relecture de l'époque du califat prim</w:t>
      </w:r>
      <w:r w:rsidRPr="00BB11AF">
        <w:t>i</w:t>
      </w:r>
      <w:r w:rsidRPr="00BB11AF">
        <w:t>tif, induites toutes deux par ce tournant dramatique, qui a am</w:t>
      </w:r>
      <w:r w:rsidRPr="00BB11AF">
        <w:t>e</w:t>
      </w:r>
      <w:r w:rsidRPr="00BB11AF">
        <w:t>né, plus tard, le sunnisme à sanctifier toute la période formative, proclamant les quatre successeurs du Pr</w:t>
      </w:r>
      <w:r w:rsidRPr="00BB11AF">
        <w:t>o</w:t>
      </w:r>
      <w:r w:rsidRPr="00BB11AF">
        <w:t>phète, Abu Bakr, '</w:t>
      </w:r>
      <w:r w:rsidRPr="00BB11AF">
        <w:t>U</w:t>
      </w:r>
      <w:r w:rsidRPr="00BB11AF">
        <w:t>mar, 'Uthman et 'Ali, comme califes bien-guidés. C'est le même phénomène qui a amené le chiisme</w:t>
      </w:r>
      <w:r>
        <w:t xml:space="preserve"> - </w:t>
      </w:r>
      <w:r w:rsidRPr="00BB11AF">
        <w:t>qui ne reconnait que 'Ali comme calife véridique, rejetant les autres dans la négation - à se constituer, à évoluer puis à se fixer dans ses diverses bra</w:t>
      </w:r>
      <w:r w:rsidRPr="00BB11AF">
        <w:t>n</w:t>
      </w:r>
      <w:r w:rsidRPr="00BB11AF">
        <w:t>ches. Enfin, le kharidjisme</w:t>
      </w:r>
      <w:r>
        <w:t> </w:t>
      </w:r>
      <w:r>
        <w:rPr>
          <w:rStyle w:val="Appelnotedebasdep"/>
        </w:rPr>
        <w:footnoteReference w:id="11"/>
      </w:r>
      <w:r w:rsidRPr="00BB11AF">
        <w:t xml:space="preserve"> ne reconnait que le califat des deux califes, Abu Bakr et 'Umar, ceux d'avant la grande discorde. La passion isl</w:t>
      </w:r>
      <w:r w:rsidRPr="00BB11AF">
        <w:t>a</w:t>
      </w:r>
      <w:r w:rsidRPr="00BB11AF">
        <w:t>mique, écrit Djaït, s'est focalisée sur ce moment d</w:t>
      </w:r>
      <w:r w:rsidRPr="00BB11AF">
        <w:t>é</w:t>
      </w:r>
      <w:r w:rsidRPr="00BB11AF">
        <w:t>cisif de l'histoire pour y puiser un sens, jugeant qu'il était le prolongement de la mét</w:t>
      </w:r>
      <w:r w:rsidRPr="00BB11AF">
        <w:t>a</w:t>
      </w:r>
      <w:r w:rsidRPr="00BB11AF">
        <w:t>histoire prophétique, de la révélation, et qu'il a, partant, incarné le gouvern</w:t>
      </w:r>
      <w:r w:rsidRPr="00BB11AF">
        <w:t>e</w:t>
      </w:r>
      <w:r w:rsidRPr="00BB11AF">
        <w:t>ment exemplaire, celui du vrai et légitime califat. Si bien que par-delà ces clivages fond</w:t>
      </w:r>
      <w:r w:rsidRPr="00BB11AF">
        <w:t>a</w:t>
      </w:r>
      <w:r w:rsidRPr="00BB11AF">
        <w:t>mentaux, le califat primitif intéresse les musulmans d'aujou</w:t>
      </w:r>
      <w:r w:rsidRPr="00BB11AF">
        <w:t>r</w:t>
      </w:r>
      <w:r w:rsidRPr="00BB11AF">
        <w:t>d'hui qui projettent sur lui leurs débats politico-religieux issus du choc avec la modernité</w:t>
      </w:r>
      <w:r>
        <w:t> </w:t>
      </w:r>
      <w:r>
        <w:rPr>
          <w:rStyle w:val="Appelnotedebasdep"/>
        </w:rPr>
        <w:footnoteReference w:id="12"/>
      </w:r>
      <w:r w:rsidRPr="00BB11AF">
        <w:t>. Nous y reviendrons.</w:t>
      </w:r>
    </w:p>
    <w:p w:rsidR="003A3061" w:rsidRPr="00BB11AF" w:rsidRDefault="003A3061" w:rsidP="003A3061">
      <w:pPr>
        <w:spacing w:before="120" w:after="120"/>
        <w:jc w:val="both"/>
      </w:pPr>
    </w:p>
    <w:p w:rsidR="003A3061" w:rsidRPr="00BB11AF" w:rsidRDefault="003A3061" w:rsidP="003A3061">
      <w:pPr>
        <w:pStyle w:val="planche"/>
      </w:pPr>
      <w:r w:rsidRPr="00BB11AF">
        <w:t>Le discours sur la rébellion en islam</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La plupart des études se sont focalisées sur les discours isl</w:t>
      </w:r>
      <w:r w:rsidRPr="00BB11AF">
        <w:t>a</w:t>
      </w:r>
      <w:r w:rsidRPr="00BB11AF">
        <w:t>miques sur le califat, en en déduisant la position islamique sur la rébellion. Les commentateurs contemporains ont tendance à considérer les avis jur</w:t>
      </w:r>
      <w:r w:rsidRPr="00BB11AF">
        <w:t>i</w:t>
      </w:r>
      <w:r w:rsidRPr="00BB11AF">
        <w:t>diques sur l'obligation de l'obéissance, à ceux qui sont au pouvoir, comme s'ils étaient des pensées et des théories politiques</w:t>
      </w:r>
      <w:r>
        <w:t> </w:t>
      </w:r>
      <w:r>
        <w:rPr>
          <w:rStyle w:val="Appelnotedebasdep"/>
        </w:rPr>
        <w:footnoteReference w:id="13"/>
      </w:r>
      <w:r w:rsidRPr="00BB11AF">
        <w:t>. Dans sa formulation la plus élémentaire, cette thèse, assez répandue, stipule que les juristes musulmans sont passés d'un idéalisme politique absolu à un réalisme polit</w:t>
      </w:r>
      <w:r w:rsidRPr="00BB11AF">
        <w:t>i</w:t>
      </w:r>
      <w:r w:rsidRPr="00BB11AF">
        <w:t>que absolu. Les deux guerres civiles à l'aube de l'islam et les mouvements constants de rébellion [27] durant les deux premiers siècles ont persuadé les juristes musu</w:t>
      </w:r>
      <w:r w:rsidRPr="00BB11AF">
        <w:t>l</w:t>
      </w:r>
      <w:r w:rsidRPr="00BB11AF">
        <w:t>mans d'affirmer l'obéissance au gouvernement indépendamment de sa justice, ou inju</w:t>
      </w:r>
      <w:r w:rsidRPr="00BB11AF">
        <w:t>s</w:t>
      </w:r>
      <w:r w:rsidRPr="00BB11AF">
        <w:t>tice, et d'engager une permanente polémique conce</w:t>
      </w:r>
      <w:r w:rsidRPr="00BB11AF">
        <w:t>r</w:t>
      </w:r>
      <w:r w:rsidRPr="00BB11AF">
        <w:t>nant les maux de la rébellion et de l'anarchie. On a non seulement r</w:t>
      </w:r>
      <w:r w:rsidRPr="00BB11AF">
        <w:t>e</w:t>
      </w:r>
      <w:r w:rsidRPr="00BB11AF">
        <w:t>connu la légitimité de celui qui a usurpé le pouvoir, mais on a aussi fait de son obédience une obligation tant morale que légale et religieuse. La théorie polit</w:t>
      </w:r>
      <w:r w:rsidRPr="00BB11AF">
        <w:t>i</w:t>
      </w:r>
      <w:r w:rsidRPr="00BB11AF">
        <w:t>que musulmane est devenue, avec le temps, une « </w:t>
      </w:r>
      <w:r w:rsidRPr="00BB11AF">
        <w:rPr>
          <w:i/>
        </w:rPr>
        <w:t>after-the-fact rati</w:t>
      </w:r>
      <w:r w:rsidRPr="00BB11AF">
        <w:rPr>
          <w:i/>
        </w:rPr>
        <w:t>o</w:t>
      </w:r>
      <w:r w:rsidRPr="00BB11AF">
        <w:rPr>
          <w:i/>
        </w:rPr>
        <w:t>nalization </w:t>
      </w:r>
      <w:r w:rsidRPr="00BB11AF">
        <w:t>», une sorte de rationalisation pragm</w:t>
      </w:r>
      <w:r w:rsidRPr="00BB11AF">
        <w:t>a</w:t>
      </w:r>
      <w:r w:rsidRPr="00BB11AF">
        <w:t>tique des pratiques historiques effectives, qui a ouvert la porte à la suprématie de l'oppo</w:t>
      </w:r>
      <w:r w:rsidRPr="00BB11AF">
        <w:t>r</w:t>
      </w:r>
      <w:r w:rsidRPr="00BB11AF">
        <w:t>tunisme politique sur l'ordre légal, minant ainsi les fondements de to</w:t>
      </w:r>
      <w:r w:rsidRPr="00BB11AF">
        <w:t>u</w:t>
      </w:r>
      <w:r w:rsidRPr="00BB11AF">
        <w:t>te loi. Si bien que la loi était abandonnée en f</w:t>
      </w:r>
      <w:r w:rsidRPr="00BB11AF">
        <w:t>a</w:t>
      </w:r>
      <w:r w:rsidRPr="00BB11AF">
        <w:t>veur de l'absolutisme séculier et la stabilité était devenue le souci primo</w:t>
      </w:r>
      <w:r w:rsidRPr="00BB11AF">
        <w:t>r</w:t>
      </w:r>
      <w:r w:rsidRPr="00BB11AF">
        <w:t>dial au détriment de la légitimité et la justice.</w:t>
      </w:r>
    </w:p>
    <w:p w:rsidR="003A3061" w:rsidRPr="00BB11AF" w:rsidRDefault="003A3061" w:rsidP="003A3061">
      <w:pPr>
        <w:spacing w:before="120" w:after="120"/>
        <w:jc w:val="both"/>
      </w:pPr>
      <w:r w:rsidRPr="00BB11AF">
        <w:t>Selon Al-Azmeh (1997), les discours juridiques sur le leadership politico-religieux ne peuvent pas être appréhendés en termes de r</w:t>
      </w:r>
      <w:r w:rsidRPr="00BB11AF">
        <w:t>é</w:t>
      </w:r>
      <w:r w:rsidRPr="00BB11AF">
        <w:t>alisme/quiétisme et d'idéalisme/activisme, mais plutôt en termes lég</w:t>
      </w:r>
      <w:r w:rsidRPr="00BB11AF">
        <w:t>a</w:t>
      </w:r>
      <w:r w:rsidRPr="00BB11AF">
        <w:t>listes. Les juristes oeuvraient dans le cadre d'un impératif historique dominé par une anthropologie du po</w:t>
      </w:r>
      <w:r w:rsidRPr="00BB11AF">
        <w:t>u</w:t>
      </w:r>
      <w:r w:rsidRPr="00BB11AF">
        <w:t>voir de l'époque antéislamique-dans laquelle les gouvernants, les rois en l'occurrence, étaient sacral</w:t>
      </w:r>
      <w:r w:rsidRPr="00BB11AF">
        <w:t>i</w:t>
      </w:r>
      <w:r w:rsidRPr="00BB11AF">
        <w:t>sés-qui a été, selon Al-Azmeh, systématiquement « islamisée » par les travaux de juristes musulmans qui ont sacralisé l'obéissance au go</w:t>
      </w:r>
      <w:r w:rsidRPr="00BB11AF">
        <w:t>u</w:t>
      </w:r>
      <w:r w:rsidRPr="00BB11AF">
        <w:t>vernant. L'auteur estime que l'assimilation rhétorique et visuelle du cal</w:t>
      </w:r>
      <w:r w:rsidRPr="00BB11AF">
        <w:t>i</w:t>
      </w:r>
      <w:r w:rsidRPr="00BB11AF">
        <w:t>fat avec la prophétie et la divinité ainsi que sa représentation en termes d'inviolabilité, d'incommensurabilité et d'ineffabilité a conduit à une sorte de sacralisation de l'autoritarisme qui a ma</w:t>
      </w:r>
      <w:r w:rsidRPr="00BB11AF">
        <w:t>r</w:t>
      </w:r>
      <w:r w:rsidRPr="00BB11AF">
        <w:t>qué la pensée et l'imaginaire politiques. Outre le fait que la thèse d'AI-Azmeh, comme le montre si bien Abou El Fadl (2001), n'examine pas de plus près les textes pour en déduire que la r</w:t>
      </w:r>
      <w:r w:rsidRPr="00BB11AF">
        <w:t>é</w:t>
      </w:r>
      <w:r w:rsidRPr="00BB11AF">
        <w:t>bellion est considérée comme un crime grave puni par la loi islamique, elle ignore aussi l'impératif légal qui encadre le tr</w:t>
      </w:r>
      <w:r w:rsidRPr="00BB11AF">
        <w:t>a</w:t>
      </w:r>
      <w:r w:rsidRPr="00BB11AF">
        <w:t>vail des juristes. Certes, l'auteur démystifie bien le mythe de la transition de l'idéalisme au réalisme - démontrant son anhistor</w:t>
      </w:r>
      <w:r w:rsidRPr="00BB11AF">
        <w:t>i</w:t>
      </w:r>
      <w:r w:rsidRPr="00BB11AF">
        <w:t>cité -, mais son argument, à l'instar de celui des auteurs qu'il critique, occulte en fin de compte les élaborations juridiques cont</w:t>
      </w:r>
      <w:r w:rsidRPr="00BB11AF">
        <w:t>i</w:t>
      </w:r>
      <w:r w:rsidRPr="00BB11AF">
        <w:t>nues sur les phénomènes de la rébellion et la sédition. Al-Azmeh reproduit ainsi la thèse dominante, celle qui suppose que les juristes musulmans ont prohibé la rébellion et ont exigé l'obéissance absolue à ceux qui détiennent le pouvoir.</w:t>
      </w:r>
    </w:p>
    <w:p w:rsidR="003A3061" w:rsidRPr="00BB11AF" w:rsidRDefault="003A3061" w:rsidP="003A3061">
      <w:pPr>
        <w:spacing w:before="120" w:after="120"/>
        <w:jc w:val="both"/>
      </w:pPr>
      <w:r w:rsidRPr="00BB11AF">
        <w:t>À cette posture académique dominante, Abou El Fadl (2001) adresse trois autres critiques importantes, d'ordre terminologique, théorique et théologique. Tout d'abord, la dichotomie qui</w:t>
      </w:r>
      <w:r w:rsidRPr="00BB11AF">
        <w:t>é</w:t>
      </w:r>
      <w:r w:rsidRPr="00BB11AF">
        <w:t>tisme versus activisme obscurcit le rôle des juristes et les fon</w:t>
      </w:r>
      <w:r w:rsidRPr="00BB11AF">
        <w:t>c</w:t>
      </w:r>
      <w:r w:rsidRPr="00BB11AF">
        <w:t>tions de la loi, car quiétisme et activisme sont des termes relatifs et subjectifs qui n'a</w:t>
      </w:r>
      <w:r w:rsidRPr="00BB11AF">
        <w:t>c</w:t>
      </w:r>
      <w:r w:rsidRPr="00BB11AF">
        <w:t>quièrent un sens concret que dans un contexte spécifique. De même, d'un point de vue logique, la reconnaissance de la légitimité d'un usurpateur pourrait être considérée comme une position activiste, r</w:t>
      </w:r>
      <w:r w:rsidRPr="00BB11AF">
        <w:t>e</w:t>
      </w:r>
      <w:r w:rsidRPr="00BB11AF">
        <w:t>connaissant implicitement la légitimité fonctionnelle de la rébellion. Dans cette vision la</w:t>
      </w:r>
      <w:r w:rsidRPr="00BB11AF">
        <w:t>r</w:t>
      </w:r>
      <w:r w:rsidRPr="00BB11AF">
        <w:t>gement acceptée, on ne considère pas non plus, de manière objective, les débats anciens et tardifs sur les guerres civ</w:t>
      </w:r>
      <w:r w:rsidRPr="00BB11AF">
        <w:t>i</w:t>
      </w:r>
      <w:r w:rsidRPr="00BB11AF">
        <w:t>les et les rébellions en islam. Bien des figures [28] exemplaires - des compagnons et des membres de la famille du Prophète</w:t>
      </w:r>
      <w:r>
        <w:t> </w:t>
      </w:r>
      <w:r>
        <w:rPr>
          <w:rStyle w:val="Appelnotedebasdep"/>
        </w:rPr>
        <w:footnoteReference w:id="14"/>
      </w:r>
      <w:r w:rsidRPr="00BB11AF">
        <w:t xml:space="preserve"> - se sont r</w:t>
      </w:r>
      <w:r w:rsidRPr="00BB11AF">
        <w:t>é</w:t>
      </w:r>
      <w:r w:rsidRPr="00BB11AF">
        <w:t>voltées contre les pouvoirs en place, établi</w:t>
      </w:r>
      <w:r w:rsidRPr="00BB11AF">
        <w:t>s</w:t>
      </w:r>
      <w:r w:rsidRPr="00BB11AF">
        <w:t>sant, en quelque sorte, un impératif théologique qui a influé sur les discours sur la rébellion, non simplement pour défendre le mérite m</w:t>
      </w:r>
      <w:r w:rsidRPr="00BB11AF">
        <w:t>o</w:t>
      </w:r>
      <w:r w:rsidRPr="00BB11AF">
        <w:t>ral des compagnons, mais pour utiliser ces préc</w:t>
      </w:r>
      <w:r w:rsidRPr="00BB11AF">
        <w:t>é</w:t>
      </w:r>
      <w:r w:rsidRPr="00BB11AF">
        <w:t>dents dans un sens normatif et prescriptif.</w:t>
      </w:r>
    </w:p>
    <w:p w:rsidR="003A3061" w:rsidRPr="00BB11AF" w:rsidRDefault="003A3061" w:rsidP="003A3061">
      <w:pPr>
        <w:spacing w:before="120" w:after="120"/>
        <w:jc w:val="both"/>
      </w:pPr>
      <w:r w:rsidRPr="00BB11AF">
        <w:t>L'autre impératif théologique est donné par le texte coranique. Deux versets sont spécifiquement convoqués bien que n'adressant la question de la rébellion que de façon ambiguë et indirecte</w:t>
      </w:r>
      <w:r>
        <w:t> </w:t>
      </w:r>
      <w:r>
        <w:rPr>
          <w:rStyle w:val="Appelnotedebasdep"/>
        </w:rPr>
        <w:footnoteReference w:id="15"/>
      </w:r>
      <w:r w:rsidRPr="00BB11AF">
        <w:t>. Non se</w:t>
      </w:r>
      <w:r w:rsidRPr="00BB11AF">
        <w:t>u</w:t>
      </w:r>
      <w:r w:rsidRPr="00BB11AF">
        <w:t>lement ils ne semblent pas référer à une s</w:t>
      </w:r>
      <w:r w:rsidRPr="00BB11AF">
        <w:t>i</w:t>
      </w:r>
      <w:r w:rsidRPr="00BB11AF">
        <w:t>tuation dans laquelle il y a une hiérarchie d'autorité, mais ils relatent, surtout, une dispute dome</w:t>
      </w:r>
      <w:r w:rsidRPr="00BB11AF">
        <w:t>s</w:t>
      </w:r>
      <w:r w:rsidRPr="00BB11AF">
        <w:t>tique ou une « bagarre de rue ». Aussi, l'association entre le texte c</w:t>
      </w:r>
      <w:r w:rsidRPr="00BB11AF">
        <w:t>o</w:t>
      </w:r>
      <w:r w:rsidRPr="00BB11AF">
        <w:t>ranique et la loi sur la rébellion a-t-elle été construite pour servir de base pour un discours juridique sur la rébellion. Une connexion hist</w:t>
      </w:r>
      <w:r w:rsidRPr="00BB11AF">
        <w:t>o</w:t>
      </w:r>
      <w:r w:rsidRPr="00BB11AF">
        <w:t>rique, et non nécessairement juridique, a été faite à travers le probl</w:t>
      </w:r>
      <w:r w:rsidRPr="00BB11AF">
        <w:t>è</w:t>
      </w:r>
      <w:r w:rsidRPr="00BB11AF">
        <w:t>me de la grande Discorde, comme si le texte était révélé pour dire ce</w:t>
      </w:r>
      <w:r w:rsidRPr="00BB11AF">
        <w:t>t</w:t>
      </w:r>
      <w:r w:rsidRPr="00BB11AF">
        <w:t>te fracture sociopolitique traumatisante</w:t>
      </w:r>
      <w:r>
        <w:t> </w:t>
      </w:r>
      <w:r>
        <w:rPr>
          <w:rStyle w:val="Appelnotedebasdep"/>
        </w:rPr>
        <w:footnoteReference w:id="16"/>
      </w:r>
      <w:r w:rsidRPr="00BB11AF">
        <w:t>. En effet, très précoc</w:t>
      </w:r>
      <w:r w:rsidRPr="00BB11AF">
        <w:t>e</w:t>
      </w:r>
      <w:r w:rsidRPr="00BB11AF">
        <w:t>ment la Fitna a été associée à l'anarchie, au chaos et à la corruption</w:t>
      </w:r>
      <w:r>
        <w:t> </w:t>
      </w:r>
      <w:r>
        <w:rPr>
          <w:rStyle w:val="Appelnotedebasdep"/>
        </w:rPr>
        <w:footnoteReference w:id="17"/>
      </w:r>
      <w:r w:rsidRPr="00BB11AF">
        <w:t xml:space="preserve"> et, se faisant, a été, fermement, condamnée par une foisonnante littérature qui n'a fait que confondre le problème théologique en so</w:t>
      </w:r>
      <w:r w:rsidRPr="00BB11AF">
        <w:t>u</w:t>
      </w:r>
      <w:r w:rsidRPr="00BB11AF">
        <w:t>tenant la crédibilité morale de tous les compagnons du Prophète ayant participé aux conflits politiques. Mais plus tard, les discours jurid</w:t>
      </w:r>
      <w:r w:rsidRPr="00BB11AF">
        <w:t>i</w:t>
      </w:r>
      <w:r w:rsidRPr="00BB11AF">
        <w:t>ques sur les révoltes sont passés du domaine de l'apologétique théol</w:t>
      </w:r>
      <w:r w:rsidRPr="00BB11AF">
        <w:t>o</w:t>
      </w:r>
      <w:r w:rsidRPr="00BB11AF">
        <w:t>gique -pour justement réhabiliter cette crédibilité- au champ de la l</w:t>
      </w:r>
      <w:r w:rsidRPr="00BB11AF">
        <w:t>é</w:t>
      </w:r>
      <w:r w:rsidRPr="00BB11AF">
        <w:t>galité dont le leitmotiv majeur est la fonction de la loi et la constru</w:t>
      </w:r>
      <w:r w:rsidRPr="00BB11AF">
        <w:t>c</w:t>
      </w:r>
      <w:r w:rsidRPr="00BB11AF">
        <w:t>tion de l'ordre. Selon Abou El Fadl (2001), le quiétisme n'a pas prévalu après la mo</w:t>
      </w:r>
      <w:r w:rsidRPr="00BB11AF">
        <w:t>i</w:t>
      </w:r>
      <w:r w:rsidRPr="00BB11AF">
        <w:t>tié du deuxième siècle de l'ère islamique - la notion est même impert</w:t>
      </w:r>
      <w:r w:rsidRPr="00BB11AF">
        <w:t>i</w:t>
      </w:r>
      <w:r w:rsidRPr="00BB11AF">
        <w:t>nente -, mais ce sont plutôt les termes du di</w:t>
      </w:r>
      <w:r w:rsidRPr="00BB11AF">
        <w:t>s</w:t>
      </w:r>
      <w:r w:rsidRPr="00BB11AF">
        <w:t>cours qui ont changé pour refléter l'émergence et la sophistication de la culture légale et du co</w:t>
      </w:r>
      <w:r w:rsidRPr="00BB11AF">
        <w:t>r</w:t>
      </w:r>
      <w:r w:rsidRPr="00BB11AF">
        <w:t>pus de doctrines qui lui est a</w:t>
      </w:r>
      <w:r w:rsidRPr="00BB11AF">
        <w:t>s</w:t>
      </w:r>
      <w:r w:rsidRPr="00BB11AF">
        <w:t>socié.</w:t>
      </w:r>
    </w:p>
    <w:p w:rsidR="003A3061" w:rsidRPr="00BB11AF" w:rsidRDefault="003A3061" w:rsidP="003A3061">
      <w:pPr>
        <w:spacing w:before="120" w:after="120"/>
        <w:jc w:val="both"/>
      </w:pPr>
      <w:r w:rsidRPr="00BB11AF">
        <w:t>Il semble, en effet, que la plupart des récits, y compris le hadith co</w:t>
      </w:r>
      <w:r w:rsidRPr="00BB11AF">
        <w:t>n</w:t>
      </w:r>
      <w:r w:rsidRPr="00BB11AF">
        <w:t>cernant l'obéissance à des gouvernants injustes, ont été très tôt, dès le premier siècle, incorporés dans le corpus de la jurisprudence. La structure de ces récits se trame comme suit : le Prophète prédit les di</w:t>
      </w:r>
      <w:r w:rsidRPr="00BB11AF">
        <w:t>s</w:t>
      </w:r>
      <w:r w:rsidRPr="00BB11AF">
        <w:t>cordes civiles dans lesquelles les musulmans vont s'entretuer ; il r</w:t>
      </w:r>
      <w:r w:rsidRPr="00BB11AF">
        <w:t>e</w:t>
      </w:r>
      <w:r w:rsidRPr="00BB11AF">
        <w:t>commande de ne pas s'engager dans ces discordes ; quand les rebelles sont spécifiés dans les récits, les kharidjites notamment, il est rappelé la nécessité de les combattre. Un tel raisonnement se fait contre un discours et une pratique de la désobéissance, exemplifiés non seul</w:t>
      </w:r>
      <w:r w:rsidRPr="00BB11AF">
        <w:t>e</w:t>
      </w:r>
      <w:r w:rsidRPr="00BB11AF">
        <w:t>ment par les compagnons-qui se sont engagés dans plusieurs rébe</w:t>
      </w:r>
      <w:r w:rsidRPr="00BB11AF">
        <w:t>l</w:t>
      </w:r>
      <w:r w:rsidRPr="00BB11AF">
        <w:t>lions et conflits meurtriers sur la question du pouvoir-, mais aussi par une tradition coranique qui, même si elle n'incite pas ouvertement à l'insurrection et à la rébellion contre les gouvernants injustes, crée un construit symbolique puissant qui pourrait être éventuellement utilisé pour justifier la résistance à l'oppression</w:t>
      </w:r>
      <w:r>
        <w:t> </w:t>
      </w:r>
      <w:r>
        <w:rPr>
          <w:rStyle w:val="Appelnotedebasdep"/>
        </w:rPr>
        <w:footnoteReference w:id="18"/>
      </w:r>
      <w:r w:rsidRPr="00BB11AF">
        <w:t>.</w:t>
      </w:r>
    </w:p>
    <w:p w:rsidR="003A3061" w:rsidRPr="00BB11AF" w:rsidRDefault="003A3061" w:rsidP="003A3061">
      <w:pPr>
        <w:spacing w:before="120" w:after="120"/>
        <w:jc w:val="both"/>
      </w:pPr>
      <w:r w:rsidRPr="00BB11AF">
        <w:t>[29]</w:t>
      </w:r>
    </w:p>
    <w:p w:rsidR="003A3061" w:rsidRDefault="003A3061" w:rsidP="003A3061">
      <w:pPr>
        <w:spacing w:before="120" w:after="120"/>
        <w:jc w:val="both"/>
      </w:pPr>
      <w:r w:rsidRPr="00BB11AF">
        <w:t>D'un autre côté, l'approche chiite, surtout dans la période format</w:t>
      </w:r>
      <w:r w:rsidRPr="00BB11AF">
        <w:t>i</w:t>
      </w:r>
      <w:r w:rsidRPr="00BB11AF">
        <w:t>ve, est difficilement distincte de l'interprétation juridique sunnite qui met l'accent sur la stabilité et l'ordre. Par-delà la centralité de l'imamat ju</w:t>
      </w:r>
      <w:r w:rsidRPr="00BB11AF">
        <w:t>s</w:t>
      </w:r>
      <w:r w:rsidRPr="00BB11AF">
        <w:t>te et légitime comme un fondement de l'autorité politico-religieuse, d'éminents juristes chiites ont confirmé l'impératif d'obéir au gouve</w:t>
      </w:r>
      <w:r w:rsidRPr="00BB11AF">
        <w:t>r</w:t>
      </w:r>
      <w:r w:rsidRPr="00BB11AF">
        <w:t>nant et ont interdit toute sorte de dissidence</w:t>
      </w:r>
      <w:r>
        <w:t> </w:t>
      </w:r>
      <w:r>
        <w:rPr>
          <w:rStyle w:val="Appelnotedebasdep"/>
        </w:rPr>
        <w:footnoteReference w:id="19"/>
      </w:r>
      <w:r w:rsidRPr="00BB11AF">
        <w:t>. Contrairement, donc, à une vision assez répandue qui insiste sur l'aspect révolutionnaire inh</w:t>
      </w:r>
      <w:r w:rsidRPr="00BB11AF">
        <w:t>é</w:t>
      </w:r>
      <w:r w:rsidRPr="00BB11AF">
        <w:t>rent au chiisme - de par ses mythes fondateurs, celui du martyre en l'occurrence -, celui-ci a eu une dimension « quiétiste » prédominante qui s'est renforcée depuis son instauration comme rel</w:t>
      </w:r>
      <w:r w:rsidRPr="00BB11AF">
        <w:t>i</w:t>
      </w:r>
      <w:r w:rsidRPr="00BB11AF">
        <w:t>gion d'État au XVI</w:t>
      </w:r>
      <w:r w:rsidRPr="00BB11AF">
        <w:rPr>
          <w:vertAlign w:val="superscript"/>
        </w:rPr>
        <w:t xml:space="preserve">e </w:t>
      </w:r>
      <w:r w:rsidRPr="00BB11AF">
        <w:t>siècle. L'attente de l'imam occulté, écrivent Kh</w:t>
      </w:r>
      <w:r w:rsidRPr="00BB11AF">
        <w:t>o</w:t>
      </w:r>
      <w:r w:rsidRPr="00BB11AF">
        <w:t>srokhavar et Roy (1999 : 44-45), dévalorisait le pouvoir temporel tout en lui lai</w:t>
      </w:r>
      <w:r w:rsidRPr="00BB11AF">
        <w:t>s</w:t>
      </w:r>
      <w:r w:rsidRPr="00BB11AF">
        <w:t>sant, de fait, les coudées franches :</w:t>
      </w:r>
    </w:p>
    <w:p w:rsidR="003A3061" w:rsidRPr="00BB11AF" w:rsidRDefault="003A3061" w:rsidP="003A3061">
      <w:pPr>
        <w:spacing w:before="120" w:after="120"/>
        <w:jc w:val="both"/>
      </w:pPr>
    </w:p>
    <w:p w:rsidR="003A3061" w:rsidRDefault="003A3061" w:rsidP="003A3061">
      <w:pPr>
        <w:pStyle w:val="Grillecouleur-Accent1"/>
      </w:pPr>
      <w:r w:rsidRPr="00BB11AF">
        <w:t>L'histoire sainte se déroulait sur un autre plan, dans une temporal</w:t>
      </w:r>
      <w:r w:rsidRPr="00BB11AF">
        <w:t>i</w:t>
      </w:r>
      <w:r w:rsidRPr="00BB11AF">
        <w:t>té sacrée et invisible qui avait sa propre légalité et ne r</w:t>
      </w:r>
      <w:r w:rsidRPr="00BB11AF">
        <w:t>e</w:t>
      </w:r>
      <w:r w:rsidRPr="00BB11AF">
        <w:t>coupait pas le temps du monde. Tout pouvoir étant « illégitime » par essence sur le plan doctr</w:t>
      </w:r>
      <w:r w:rsidRPr="00BB11AF">
        <w:t>i</w:t>
      </w:r>
      <w:r w:rsidRPr="00BB11AF">
        <w:t>nal, aucun pouvoir n'était, de facto, illégitime, ce qui do</w:t>
      </w:r>
      <w:r w:rsidRPr="00BB11AF">
        <w:t>n</w:t>
      </w:r>
      <w:r w:rsidRPr="00BB11AF">
        <w:t>nait une grande latitude aux diverses fo</w:t>
      </w:r>
      <w:r w:rsidRPr="00BB11AF">
        <w:t>r</w:t>
      </w:r>
      <w:r w:rsidRPr="00BB11AF">
        <w:t>mes de pouvoir en Iran.</w:t>
      </w:r>
    </w:p>
    <w:p w:rsidR="003A3061" w:rsidRPr="00BB11AF" w:rsidRDefault="003A3061" w:rsidP="003A3061">
      <w:pPr>
        <w:pStyle w:val="Grillecouleur-Accent1"/>
      </w:pPr>
    </w:p>
    <w:p w:rsidR="003A3061" w:rsidRPr="00BB11AF" w:rsidRDefault="003A3061" w:rsidP="003A3061">
      <w:pPr>
        <w:spacing w:before="120" w:after="120"/>
        <w:jc w:val="both"/>
      </w:pPr>
      <w:r w:rsidRPr="00BB11AF">
        <w:t>La position chiite est en fait hypothétique tant qu'elle est concernée par l'imamat juste qui reste une prophétie inaccomplie. Aussi, la te</w:t>
      </w:r>
      <w:r w:rsidRPr="00BB11AF">
        <w:t>n</w:t>
      </w:r>
      <w:r w:rsidRPr="00BB11AF">
        <w:t>sion entre les deux visions, celles de l'obéissance et de la désobéissa</w:t>
      </w:r>
      <w:r w:rsidRPr="00BB11AF">
        <w:t>n</w:t>
      </w:r>
      <w:r w:rsidRPr="00BB11AF">
        <w:t>ce, a toujours persisté aussi bien dans la tradition sunnite que chiite, et ce, contre l'idée bien établie qui distingue entre un sunnisme quiétiste et un chiisme activiste</w:t>
      </w:r>
      <w:r>
        <w:t> </w:t>
      </w:r>
      <w:r>
        <w:rPr>
          <w:rStyle w:val="Appelnotedebasdep"/>
        </w:rPr>
        <w:footnoteReference w:id="20"/>
      </w:r>
      <w:r w:rsidRPr="00BB11AF">
        <w:t>. Certes, les conséquences des premiers conflits politico-religieux et leurs formulations tant juridiques que m</w:t>
      </w:r>
      <w:r w:rsidRPr="00BB11AF">
        <w:t>y</w:t>
      </w:r>
      <w:r w:rsidRPr="00BB11AF">
        <w:t>thologiques représentent des moments matriciels qui ont marqué les évolutions ultérieures au sein des chiismes et des sunnismes, mais e</w:t>
      </w:r>
      <w:r w:rsidRPr="00BB11AF">
        <w:t>l</w:t>
      </w:r>
      <w:r w:rsidRPr="00BB11AF">
        <w:t>les ne constituent aucunement des structures, monol</w:t>
      </w:r>
      <w:r w:rsidRPr="00BB11AF">
        <w:t>i</w:t>
      </w:r>
      <w:r w:rsidRPr="00BB11AF">
        <w:t>thiques qui conditionnent et déterminent les actions et les représent</w:t>
      </w:r>
      <w:r w:rsidRPr="00BB11AF">
        <w:t>a</w:t>
      </w:r>
      <w:r w:rsidRPr="00BB11AF">
        <w:t>tions. C'est donc moins l'encapsulation irréfléchie dans ces récits fo</w:t>
      </w:r>
      <w:r w:rsidRPr="00BB11AF">
        <w:t>n</w:t>
      </w:r>
      <w:r w:rsidRPr="00BB11AF">
        <w:t>dateurs qui permet -qui a permis- d'influer sur le cours de l'histoire et des évén</w:t>
      </w:r>
      <w:r w:rsidRPr="00BB11AF">
        <w:t>e</w:t>
      </w:r>
      <w:r w:rsidRPr="00BB11AF">
        <w:t>ments que les potentialités réelles et symboliques de les r</w:t>
      </w:r>
      <w:r w:rsidRPr="00BB11AF">
        <w:t>é</w:t>
      </w:r>
      <w:r w:rsidRPr="00BB11AF">
        <w:t>activer dans un sens culturellement signifiant, socialement porteur et politiquement contemporain. La notion du « retour du religieux » s'avère ainsi obs</w:t>
      </w:r>
      <w:r w:rsidRPr="00BB11AF">
        <w:t>o</w:t>
      </w:r>
      <w:r w:rsidRPr="00BB11AF">
        <w:t>lète comme celle, d'ailleurs, de l'obéissance « religieuse » au desp</w:t>
      </w:r>
      <w:r w:rsidRPr="00BB11AF">
        <w:t>o</w:t>
      </w:r>
      <w:r w:rsidRPr="00BB11AF">
        <w:t>tisme oriental.</w:t>
      </w:r>
    </w:p>
    <w:p w:rsidR="003A3061" w:rsidRPr="00BB11AF" w:rsidRDefault="003A3061" w:rsidP="003A3061">
      <w:pPr>
        <w:spacing w:before="120" w:after="120"/>
        <w:jc w:val="both"/>
      </w:pPr>
    </w:p>
    <w:p w:rsidR="003A3061" w:rsidRPr="00BB11AF" w:rsidRDefault="003A3061" w:rsidP="003A3061">
      <w:pPr>
        <w:pStyle w:val="planche"/>
      </w:pPr>
      <w:r w:rsidRPr="00BB11AF">
        <w:t>Retour sur la révolution iranienne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La révolution iranienne, pour revenir au concept du « retour de l'Islam », a commencé par une relecture et une réinterprétation du chiisme-relecture imposée par le déploiement des év</w:t>
      </w:r>
      <w:r w:rsidRPr="00BB11AF">
        <w:t>é</w:t>
      </w:r>
      <w:r w:rsidRPr="00BB11AF">
        <w:t>nements et non par une essence mobilisatrice-qui en fait une idéologie révolutionna</w:t>
      </w:r>
      <w:r w:rsidRPr="00BB11AF">
        <w:t>i</w:t>
      </w:r>
      <w:r w:rsidRPr="00BB11AF">
        <w:t>re, contre une position traditionnelle attentiste dominante (Khosro</w:t>
      </w:r>
      <w:r w:rsidRPr="00BB11AF">
        <w:t>k</w:t>
      </w:r>
      <w:r w:rsidRPr="00BB11AF">
        <w:t>havar et Roy 1999 ; Mervin 2004)</w:t>
      </w:r>
      <w:r>
        <w:t> </w:t>
      </w:r>
      <w:r>
        <w:rPr>
          <w:rStyle w:val="Appelnotedebasdep"/>
        </w:rPr>
        <w:footnoteReference w:id="21"/>
      </w:r>
      <w:r w:rsidRPr="00BB11AF">
        <w:t>. Mais ce processus de « sécularisation » s'inscrit dans la durée, ayant débuté au XIX</w:t>
      </w:r>
      <w:r w:rsidRPr="00BB11AF">
        <w:rPr>
          <w:vertAlign w:val="superscript"/>
        </w:rPr>
        <w:t>e</w:t>
      </w:r>
      <w:r w:rsidRPr="00BB11AF">
        <w:t xml:space="preserve"> siècle pour s'intensifier à partir des années 1970, avec notamment un méti</w:t>
      </w:r>
      <w:r w:rsidRPr="00BB11AF">
        <w:t>s</w:t>
      </w:r>
      <w:r w:rsidRPr="00BB11AF">
        <w:t>sage entre les idées révolutionnaires de la gauche et les [30] reform</w:t>
      </w:r>
      <w:r w:rsidRPr="00BB11AF">
        <w:t>u</w:t>
      </w:r>
      <w:r w:rsidRPr="00BB11AF">
        <w:t>lations de certaines conceptions chiites. Ali Shariati exempl</w:t>
      </w:r>
      <w:r w:rsidRPr="00BB11AF">
        <w:t>i</w:t>
      </w:r>
      <w:r w:rsidRPr="00BB11AF">
        <w:t>fie bien cette tendance ; avec des idées comme « chiisme rouge » et « auto-construction révolutionnaire », il a tenté de transformer l'attente qui</w:t>
      </w:r>
      <w:r w:rsidRPr="00BB11AF">
        <w:t>é</w:t>
      </w:r>
      <w:r w:rsidRPr="00BB11AF">
        <w:t>tiste et passive de l'imam sauveur en « attente active » qui inscrit l'a</w:t>
      </w:r>
      <w:r w:rsidRPr="00BB11AF">
        <w:t>c</w:t>
      </w:r>
      <w:r w:rsidRPr="00BB11AF">
        <w:t>teur dans un processus historique de libération sociale :</w:t>
      </w:r>
    </w:p>
    <w:p w:rsidR="003A3061" w:rsidRDefault="003A3061" w:rsidP="003A3061">
      <w:pPr>
        <w:pStyle w:val="Grillecouleur-Accent1"/>
      </w:pPr>
    </w:p>
    <w:p w:rsidR="003A3061" w:rsidRDefault="003A3061" w:rsidP="003A3061">
      <w:pPr>
        <w:pStyle w:val="Grillecouleur-Accent1"/>
      </w:pPr>
      <w:r w:rsidRPr="00BB11AF">
        <w:t>Cet appel à devenir sujet de l'Histoire plutôt que réceptacle passif et consentant d'un monde injuste trouve un écho profond dans la jeunesse u</w:t>
      </w:r>
      <w:r w:rsidRPr="00BB11AF">
        <w:t>r</w:t>
      </w:r>
      <w:r w:rsidRPr="00BB11AF">
        <w:t>baine. Combiné à la version plus complexe que donne Kh</w:t>
      </w:r>
      <w:r w:rsidRPr="00BB11AF">
        <w:t>o</w:t>
      </w:r>
      <w:r w:rsidRPr="00BB11AF">
        <w:t>meiny d'un chiisme politique, cet appel est l'un des leitmotive qui mobilisent les je</w:t>
      </w:r>
      <w:r w:rsidRPr="00BB11AF">
        <w:t>u</w:t>
      </w:r>
      <w:r w:rsidRPr="00BB11AF">
        <w:t>nes contre le régime du Chah [...]. Les ressorts de l'idéologie chiite vont être mis à contribution pour donner une justif</w:t>
      </w:r>
      <w:r w:rsidRPr="00BB11AF">
        <w:t>i</w:t>
      </w:r>
      <w:r w:rsidRPr="00BB11AF">
        <w:t xml:space="preserve">cation au martyre des jeunes sur le front et légitimer la République islamique (Khosrokhavar et Roy </w:t>
      </w:r>
      <w:r>
        <w:t>1999 : 43-44).</w:t>
      </w:r>
    </w:p>
    <w:p w:rsidR="003A3061" w:rsidRPr="00BB11AF" w:rsidRDefault="003A3061" w:rsidP="003A3061">
      <w:pPr>
        <w:pStyle w:val="Grillecouleur-Accent1"/>
      </w:pPr>
    </w:p>
    <w:p w:rsidR="003A3061" w:rsidRPr="00BB11AF" w:rsidRDefault="003A3061" w:rsidP="003A3061">
      <w:pPr>
        <w:spacing w:before="120" w:after="120"/>
        <w:jc w:val="both"/>
      </w:pPr>
      <w:r w:rsidRPr="00BB11AF">
        <w:t>Cette réactivation</w:t>
      </w:r>
      <w:r>
        <w:t xml:space="preserve"> </w:t>
      </w:r>
      <w:r w:rsidRPr="00BB11AF">
        <w:t>-dans le sens de rendre actif-</w:t>
      </w:r>
      <w:r>
        <w:t xml:space="preserve"> </w:t>
      </w:r>
      <w:r w:rsidRPr="00BB11AF">
        <w:t>des potentialités mythologiques, sémantiques et politiques liées au chiisme, jusqu'ici i</w:t>
      </w:r>
      <w:r w:rsidRPr="00BB11AF">
        <w:t>n</w:t>
      </w:r>
      <w:r w:rsidRPr="00BB11AF">
        <w:t>terprétées dans un sens plutôt passif, sont également à replacer dans le contexte historique et géopolitique global, su</w:t>
      </w:r>
      <w:r w:rsidRPr="00BB11AF">
        <w:t>r</w:t>
      </w:r>
      <w:r w:rsidRPr="00BB11AF">
        <w:t>tout à partir du début du XIX</w:t>
      </w:r>
      <w:r w:rsidRPr="00BB11AF">
        <w:rPr>
          <w:vertAlign w:val="superscript"/>
        </w:rPr>
        <w:t>e</w:t>
      </w:r>
      <w:r w:rsidRPr="00BB11AF">
        <w:t xml:space="preserve"> avec les pressions grandissantes sur l'Iran de la part des pui</w:t>
      </w:r>
      <w:r w:rsidRPr="00BB11AF">
        <w:t>s</w:t>
      </w:r>
      <w:r w:rsidRPr="00BB11AF">
        <w:t>sa</w:t>
      </w:r>
      <w:r w:rsidRPr="00BB11AF">
        <w:t>n</w:t>
      </w:r>
      <w:r w:rsidRPr="00BB11AF">
        <w:t>ces étrangères, notamment la Grande-Bretagne, la Russie et, plus tard, les États-Unis. Avec le temps, la question de l'« illégitimité du po</w:t>
      </w:r>
      <w:r w:rsidRPr="00BB11AF">
        <w:t>u</w:t>
      </w:r>
      <w:r w:rsidRPr="00BB11AF">
        <w:t>voir » se politise (ou se sécularise) et la dimension contestataire prend, de plus en plus, une dimension assez significative.</w:t>
      </w:r>
    </w:p>
    <w:p w:rsidR="003A3061" w:rsidRDefault="003A3061" w:rsidP="003A3061">
      <w:pPr>
        <w:pStyle w:val="Grillecouleur-Accent1"/>
      </w:pPr>
    </w:p>
    <w:p w:rsidR="003A3061" w:rsidRDefault="003A3061" w:rsidP="003A3061">
      <w:pPr>
        <w:pStyle w:val="Grillecouleur-Accent1"/>
      </w:pPr>
      <w:r w:rsidRPr="00BB11AF">
        <w:t>C'est cette tradition très récente de contestation que Khomeiny va faire revivre, mêlant la dénonciation de l'impérialisme contemporain, en l'o</w:t>
      </w:r>
      <w:r w:rsidRPr="00BB11AF">
        <w:t>c</w:t>
      </w:r>
      <w:r w:rsidRPr="00BB11AF">
        <w:t>currence américain, que l'on qualifie selon une terminologie d'origine c</w:t>
      </w:r>
      <w:r w:rsidRPr="00BB11AF">
        <w:t>o</w:t>
      </w:r>
      <w:r w:rsidRPr="00BB11AF">
        <w:t>ranique, d'« arrogance mondiale », et le populisme, qui fait appel aux a</w:t>
      </w:r>
      <w:r w:rsidRPr="00BB11AF">
        <w:t>t</w:t>
      </w:r>
      <w:r w:rsidRPr="00BB11AF">
        <w:t>tentes des uns et des autres, avec le thème si fort de la justice et du souv</w:t>
      </w:r>
      <w:r w:rsidRPr="00BB11AF">
        <w:t>e</w:t>
      </w:r>
      <w:r w:rsidRPr="00BB11AF">
        <w:t>rain juste personn</w:t>
      </w:r>
      <w:r w:rsidRPr="00BB11AF">
        <w:t>i</w:t>
      </w:r>
      <w:r w:rsidRPr="00BB11AF">
        <w:t>fié par l'imam Ali (Khosrokhavar et Roy 1999 :46).</w:t>
      </w:r>
    </w:p>
    <w:p w:rsidR="003A3061" w:rsidRPr="00BB11AF" w:rsidRDefault="003A3061" w:rsidP="003A3061">
      <w:pPr>
        <w:pStyle w:val="Grillecouleur-Accent1"/>
      </w:pPr>
    </w:p>
    <w:p w:rsidR="003A3061" w:rsidRPr="00BB11AF" w:rsidRDefault="003A3061" w:rsidP="003A3061">
      <w:pPr>
        <w:spacing w:before="120" w:after="120"/>
        <w:jc w:val="both"/>
      </w:pPr>
      <w:r w:rsidRPr="00BB11AF">
        <w:t>Ainsi, la centralité de Khomeiny dans la révolution iranienne et le succès de celui-ci ne dépendaient pas tant de la centralité d'une certa</w:t>
      </w:r>
      <w:r w:rsidRPr="00BB11AF">
        <w:t>i</w:t>
      </w:r>
      <w:r w:rsidRPr="00BB11AF">
        <w:t>ne histoire de l'islam -surtout que la révolution était largement portée par une nouvelle génération qui s'inspiraient davantage des réform</w:t>
      </w:r>
      <w:r w:rsidRPr="00BB11AF">
        <w:t>a</w:t>
      </w:r>
      <w:r w:rsidRPr="00BB11AF">
        <w:t>teurs mode</w:t>
      </w:r>
      <w:r w:rsidRPr="00BB11AF">
        <w:t>r</w:t>
      </w:r>
      <w:r w:rsidRPr="00BB11AF">
        <w:t>nistes, dont Shariati- que de sa capacité à réarticuler les émotions liées à cette histoire en mobilisant ce que Fischer (1980 :100) désigne par « </w:t>
      </w:r>
      <w:r w:rsidRPr="00BB11AF">
        <w:rPr>
          <w:i/>
        </w:rPr>
        <w:t>tacit cultural understandings </w:t>
      </w:r>
      <w:r w:rsidRPr="00BB11AF">
        <w:t>» - des sign</w:t>
      </w:r>
      <w:r w:rsidRPr="00BB11AF">
        <w:t>i</w:t>
      </w:r>
      <w:r w:rsidRPr="00BB11AF">
        <w:t>fications culturelles tacites qui se trament derrière des manœuvres p</w:t>
      </w:r>
      <w:r w:rsidRPr="00BB11AF">
        <w:t>o</w:t>
      </w:r>
      <w:r w:rsidRPr="00BB11AF">
        <w:t>litiques explicites. Khome</w:t>
      </w:r>
      <w:r w:rsidRPr="00BB11AF">
        <w:t>i</w:t>
      </w:r>
      <w:r w:rsidRPr="00BB11AF">
        <w:t>ny a pu, entre autres, réactiver, dans un sens mobilisateur, le sentiment chiite de la tragédie, surtout celle qui ra</w:t>
      </w:r>
      <w:r w:rsidRPr="00BB11AF">
        <w:t>p</w:t>
      </w:r>
      <w:r w:rsidRPr="00BB11AF">
        <w:t>pelle les drames de la famille du Prophète. Ainsi, la première phase de la révolution a puisé larg</w:t>
      </w:r>
      <w:r w:rsidRPr="00BB11AF">
        <w:t>e</w:t>
      </w:r>
      <w:r w:rsidRPr="00BB11AF">
        <w:t>ment dans le symbolisme de la bataille de Ka</w:t>
      </w:r>
      <w:r w:rsidRPr="00BB11AF">
        <w:t>r</w:t>
      </w:r>
      <w:r w:rsidRPr="00BB11AF">
        <w:t>bala</w:t>
      </w:r>
      <w:r>
        <w:t xml:space="preserve"> </w:t>
      </w:r>
      <w:r w:rsidRPr="00BB11AF">
        <w:t>- qui vit la mort du petit-fils du Prophète et troisième Imam chiite, Hussein -, si bien que les funérailles étaient devenues les occ</w:t>
      </w:r>
      <w:r w:rsidRPr="00BB11AF">
        <w:t>a</w:t>
      </w:r>
      <w:r w:rsidRPr="00BB11AF">
        <w:t>sions dramatiques pour jouer sur les thèmes et les émotions de cette histoire tragique ; ils sont devenus des forums de mob</w:t>
      </w:r>
      <w:r w:rsidRPr="00BB11AF">
        <w:t>i</w:t>
      </w:r>
      <w:r w:rsidRPr="00BB11AF">
        <w:t>lisation et de chants anti-shah, [31</w:t>
      </w:r>
      <w:r>
        <w:t>]</w:t>
      </w:r>
      <w:r w:rsidRPr="00BB11AF">
        <w:t xml:space="preserve"> ce qui poussait les soldats à répliquer et tirer sur la foule, fournissant, ainsi, de nouveaux martyrs, de nouvelles fun</w:t>
      </w:r>
      <w:r w:rsidRPr="00BB11AF">
        <w:t>é</w:t>
      </w:r>
      <w:r w:rsidRPr="00BB11AF">
        <w:t>railles et de nouvelles indignations émotionnelles.</w:t>
      </w:r>
    </w:p>
    <w:p w:rsidR="003A3061" w:rsidRPr="00BB11AF" w:rsidRDefault="003A3061" w:rsidP="003A3061">
      <w:pPr>
        <w:spacing w:before="120" w:after="120"/>
        <w:jc w:val="both"/>
      </w:pPr>
      <w:r w:rsidRPr="00BB11AF">
        <w:t>Au-delà du fait qu'il était un véritable opposant au Shah, Khome</w:t>
      </w:r>
      <w:r w:rsidRPr="00BB11AF">
        <w:t>i</w:t>
      </w:r>
      <w:r w:rsidRPr="00BB11AF">
        <w:t>ny a aussi cultivé un mythe de la détresse autour de sa personne, ce qui a contribué à le placer comme un symbole de la véritable résista</w:t>
      </w:r>
      <w:r w:rsidRPr="00BB11AF">
        <w:t>n</w:t>
      </w:r>
      <w:r w:rsidRPr="00BB11AF">
        <w:t>ce. Plusieurs épisodes de ce récit, à commencer par la mort de son p</w:t>
      </w:r>
      <w:r w:rsidRPr="00BB11AF">
        <w:t>è</w:t>
      </w:r>
      <w:r w:rsidRPr="00BB11AF">
        <w:t>re aux mains d'un agent du Shah Reza jusqu'à son exil en Irak, ass</w:t>
      </w:r>
      <w:r w:rsidRPr="00BB11AF">
        <w:t>o</w:t>
      </w:r>
      <w:r w:rsidRPr="00BB11AF">
        <w:t>cient sa persona avec le martyr de Karbala et rappellent les histoires de 'Ali, Hussein et les Imams. C'est aussi dans ce processus de « dés</w:t>
      </w:r>
      <w:r w:rsidRPr="00BB11AF">
        <w:t>a</w:t>
      </w:r>
      <w:r w:rsidRPr="00BB11AF">
        <w:t>cralisation » que l'on pourrait situer les nouvelles orientations séma</w:t>
      </w:r>
      <w:r w:rsidRPr="00BB11AF">
        <w:t>n</w:t>
      </w:r>
      <w:r w:rsidRPr="00BB11AF">
        <w:t>tiques que Khomeiny a su donner aux concepts fondateurs de l'idéologie chiite, notamment celui de l'imamat, avec une interprét</w:t>
      </w:r>
      <w:r w:rsidRPr="00BB11AF">
        <w:t>a</w:t>
      </w:r>
      <w:r w:rsidRPr="00BB11AF">
        <w:t>tion neuve de la notion de velayat-e faqih, le tutorat du jurisconsulte-un concept-clé du système politique et sur lequel est fondé l'État isl</w:t>
      </w:r>
      <w:r w:rsidRPr="00BB11AF">
        <w:t>a</w:t>
      </w:r>
      <w:r w:rsidRPr="00BB11AF">
        <w:t>mique en Iran</w:t>
      </w:r>
      <w:r>
        <w:t> </w:t>
      </w:r>
      <w:r>
        <w:rPr>
          <w:rStyle w:val="Appelnotedebasdep"/>
        </w:rPr>
        <w:footnoteReference w:id="22"/>
      </w:r>
      <w:r w:rsidRPr="00BB11AF">
        <w:t>. Ce qui lui a permis d'opérer un glissement décisif d'un gardiennage moral et quiétiste vers un gardiennage éthique et a</w:t>
      </w:r>
      <w:r w:rsidRPr="00BB11AF">
        <w:t>c</w:t>
      </w:r>
      <w:r w:rsidRPr="00BB11AF">
        <w:t>tiviste ; de la passivité de l'attente, celle de l'Imam attendu, à une act</w:t>
      </w:r>
      <w:r w:rsidRPr="00BB11AF">
        <w:t>i</w:t>
      </w:r>
      <w:r w:rsidRPr="00BB11AF">
        <w:t>vation pol</w:t>
      </w:r>
      <w:r w:rsidRPr="00BB11AF">
        <w:t>i</w:t>
      </w:r>
      <w:r w:rsidRPr="00BB11AF">
        <w:t>tique. Certes, Khomeiny ne se prenait pas pour le douzième Imam r</w:t>
      </w:r>
      <w:r w:rsidRPr="00BB11AF">
        <w:t>e</w:t>
      </w:r>
      <w:r w:rsidRPr="00BB11AF">
        <w:t>venant, mais il est un nayeb-e imam, un délégué de l'Imam. Et dans un sens sociopolitique, il est l'Imam</w:t>
      </w:r>
      <w:r>
        <w:t xml:space="preserve"> </w:t>
      </w:r>
      <w:r w:rsidRPr="00BB11AF">
        <w:t>- il est désigné comme tel</w:t>
      </w:r>
      <w:r>
        <w:t xml:space="preserve"> </w:t>
      </w:r>
      <w:r w:rsidRPr="00BB11AF">
        <w:t>-</w:t>
      </w:r>
      <w:r>
        <w:t xml:space="preserve"> </w:t>
      </w:r>
      <w:r w:rsidRPr="00BB11AF">
        <w:t>qui a su articuler les désirs profonds des masses et il est, ainsi, celui qui pou</w:t>
      </w:r>
      <w:r w:rsidRPr="00BB11AF">
        <w:t>r</w:t>
      </w:r>
      <w:r w:rsidRPr="00BB11AF">
        <w:t>rait les diriger. Sans doute, Khomeiny a réussi à déclencher un long et s</w:t>
      </w:r>
      <w:r w:rsidRPr="00BB11AF">
        <w:t>i</w:t>
      </w:r>
      <w:r w:rsidRPr="00BB11AF">
        <w:t>nueux processus politico-religieux qui s'est traduit par le passage de l'attentisme messianique à l'activisme sociopolitique dont les aléas sont, paradoxalement, le primat du temporel sur le religieux et la rupture progressive avec l'ordre religieux traditio</w:t>
      </w:r>
      <w:r w:rsidRPr="00BB11AF">
        <w:t>n</w:t>
      </w:r>
      <w:r w:rsidRPr="00BB11AF">
        <w:t>nel</w:t>
      </w:r>
      <w:r>
        <w:t> </w:t>
      </w:r>
      <w:r>
        <w:rPr>
          <w:rStyle w:val="Appelnotedebasdep"/>
        </w:rPr>
        <w:footnoteReference w:id="23"/>
      </w:r>
      <w:r w:rsidRPr="00BB11AF">
        <w:t> :</w:t>
      </w:r>
    </w:p>
    <w:p w:rsidR="003A3061" w:rsidRDefault="003A3061" w:rsidP="003A3061">
      <w:pPr>
        <w:pStyle w:val="Grillecouleur-Accent1"/>
      </w:pPr>
    </w:p>
    <w:p w:rsidR="003A3061" w:rsidRDefault="003A3061" w:rsidP="003A3061">
      <w:pPr>
        <w:pStyle w:val="Grillecouleur-Accent1"/>
      </w:pPr>
      <w:r w:rsidRPr="00BB11AF">
        <w:t>La révolution a affaibli la structure cléricale au profit de l'État. Les in</w:t>
      </w:r>
      <w:r w:rsidRPr="00BB11AF">
        <w:t>s</w:t>
      </w:r>
      <w:r w:rsidRPr="00BB11AF">
        <w:t>titutions cléricales ont été ignorées ou contournées par les instit</w:t>
      </w:r>
      <w:r w:rsidRPr="00BB11AF">
        <w:t>u</w:t>
      </w:r>
      <w:r w:rsidRPr="00BB11AF">
        <w:t>tions créées par la République islamique. Le Guide n'est pas nécessa</w:t>
      </w:r>
      <w:r w:rsidRPr="00BB11AF">
        <w:t>i</w:t>
      </w:r>
      <w:r w:rsidRPr="00BB11AF">
        <w:t>rement un marja' [un juriste possédant l'une des plus hautes autorités dans le chiisme duodécimains] ; le Conseil des Gardiens n'est pas nécessairement l'éman</w:t>
      </w:r>
      <w:r w:rsidRPr="00BB11AF">
        <w:t>a</w:t>
      </w:r>
      <w:r w:rsidRPr="00BB11AF">
        <w:t>tion du haut clergé, mais est nommé par le Guide. Le Conseil de disce</w:t>
      </w:r>
      <w:r w:rsidRPr="00BB11AF">
        <w:t>r</w:t>
      </w:r>
      <w:r w:rsidRPr="00BB11AF">
        <w:t>nement de l'intérêt public est une instance « laïque » et politique. Le haut clergé n'a donc aucun moyen de définir ce qu'est l'islamisation [...] (Kh</w:t>
      </w:r>
      <w:r w:rsidRPr="00BB11AF">
        <w:t>o</w:t>
      </w:r>
      <w:r w:rsidRPr="00BB11AF">
        <w:t>srokhavar et Roy 1999 :59).</w:t>
      </w:r>
    </w:p>
    <w:p w:rsidR="003A3061" w:rsidRPr="00BB11AF" w:rsidRDefault="003A3061" w:rsidP="003A3061">
      <w:pPr>
        <w:pStyle w:val="Grillecouleur-Accent1"/>
      </w:pPr>
    </w:p>
    <w:p w:rsidR="003A3061" w:rsidRPr="00BB11AF" w:rsidRDefault="003A3061" w:rsidP="003A3061">
      <w:pPr>
        <w:spacing w:before="120" w:after="120"/>
        <w:jc w:val="both"/>
      </w:pPr>
      <w:r w:rsidRPr="00BB11AF">
        <w:t>Ce faisant, le retour de l'islam, annoncé en grande pompe par L</w:t>
      </w:r>
      <w:r w:rsidRPr="00BB11AF">
        <w:t>e</w:t>
      </w:r>
      <w:r w:rsidRPr="00BB11AF">
        <w:t>wis, n'est en fait qu'un « détour », politique et idéologique, à travers une certaine vision de l'histoire dont on puise des symb</w:t>
      </w:r>
      <w:r w:rsidRPr="00BB11AF">
        <w:t>o</w:t>
      </w:r>
      <w:r w:rsidRPr="00BB11AF">
        <w:t>les, des récits, des mythes pour donner sens à des prises de position actuelles. En proj</w:t>
      </w:r>
      <w:r w:rsidRPr="00BB11AF">
        <w:t>e</w:t>
      </w:r>
      <w:r w:rsidRPr="00BB11AF">
        <w:t>tant dans le premier siècle de l'Islam les disputes théologiques forme</w:t>
      </w:r>
      <w:r w:rsidRPr="00BB11AF">
        <w:t>l</w:t>
      </w:r>
      <w:r w:rsidRPr="00BB11AF">
        <w:t>les et les débats scolastiques sur la nature de l'autorité politique survenus des siècles plus tard, on suppose la transcendance d'un di</w:t>
      </w:r>
      <w:r w:rsidRPr="00BB11AF">
        <w:t>s</w:t>
      </w:r>
      <w:r w:rsidRPr="00BB11AF">
        <w:t>cours contingent et sa nature contraignante. Il y eut, a-t-on dit, dès le pr</w:t>
      </w:r>
      <w:r w:rsidRPr="00BB11AF">
        <w:t>e</w:t>
      </w:r>
      <w:r w:rsidRPr="00BB11AF">
        <w:t>mier siècle, des conflits politiques et doctrinaux acharnés, mais ceux-ci ont été bien localisés et épisodiques et ne peuvent, comme le [32] rappelle Al-Azmeh (1997), constituer les origines réelles des formulations ultérieures de l'autorité politico-religieuse. Ils représe</w:t>
      </w:r>
      <w:r w:rsidRPr="00BB11AF">
        <w:t>n</w:t>
      </w:r>
      <w:r w:rsidRPr="00BB11AF">
        <w:t>tent plutôt les origines symboliques exprimées en termes de constru</w:t>
      </w:r>
      <w:r w:rsidRPr="00BB11AF">
        <w:t>c</w:t>
      </w:r>
      <w:r w:rsidRPr="00BB11AF">
        <w:t>tions justificatives, généalogiques ou historiques dans lesquelles la typol</w:t>
      </w:r>
      <w:r w:rsidRPr="00BB11AF">
        <w:t>o</w:t>
      </w:r>
      <w:r w:rsidRPr="00BB11AF">
        <w:t>gie joue un rôle très important. Ces conflits -</w:t>
      </w:r>
      <w:r>
        <w:t xml:space="preserve"> </w:t>
      </w:r>
      <w:r w:rsidRPr="00BB11AF">
        <w:t>dont le paradigme est le conflit entre les Omeyyades et les Alides</w:t>
      </w:r>
      <w:r>
        <w:t xml:space="preserve"> </w:t>
      </w:r>
      <w:r w:rsidRPr="00BB11AF">
        <w:t>- étaient surtout sur la légitimité généalogique, parall</w:t>
      </w:r>
      <w:r w:rsidRPr="00BB11AF">
        <w:t>è</w:t>
      </w:r>
      <w:r w:rsidRPr="00BB11AF">
        <w:t>lement à un registre politico-religieux</w:t>
      </w:r>
      <w:r>
        <w:t> </w:t>
      </w:r>
      <w:r>
        <w:rPr>
          <w:rStyle w:val="Appelnotedebasdep"/>
        </w:rPr>
        <w:footnoteReference w:id="24"/>
      </w:r>
      <w:r w:rsidRPr="00BB11AF">
        <w:t>. Les sens que vont prendre, par la suite, les notions et les par</w:t>
      </w:r>
      <w:r w:rsidRPr="00BB11AF">
        <w:t>a</w:t>
      </w:r>
      <w:r w:rsidRPr="00BB11AF">
        <w:t>digmes, tels que sharia, imamat, califat, sont des interprétations élab</w:t>
      </w:r>
      <w:r w:rsidRPr="00BB11AF">
        <w:t>o</w:t>
      </w:r>
      <w:r w:rsidRPr="00BB11AF">
        <w:t>rées dans une ambiance de tension sociopolitique, notamment le conflit sur la lég</w:t>
      </w:r>
      <w:r w:rsidRPr="00BB11AF">
        <w:t>i</w:t>
      </w:r>
      <w:r w:rsidRPr="00BB11AF">
        <w:t>timité généalogique et religieuse. Ainsi, la recherche des exemples individuels, d'origine et d'influence textuelles, si fond</w:t>
      </w:r>
      <w:r w:rsidRPr="00BB11AF">
        <w:t>a</w:t>
      </w:r>
      <w:r w:rsidRPr="00BB11AF">
        <w:t>mentale à la vocation d'un certain orientalisme, comme d'un certain islam polit</w:t>
      </w:r>
      <w:r w:rsidRPr="00BB11AF">
        <w:t>i</w:t>
      </w:r>
      <w:r w:rsidRPr="00BB11AF">
        <w:t>que, s'avère impertinente. Outre le fait qu'elle embrouille les sens et les contextes des textes et de l'histoire, elle obscurcit aussi notre co</w:t>
      </w:r>
      <w:r w:rsidRPr="00BB11AF">
        <w:t>m</w:t>
      </w:r>
      <w:r w:rsidRPr="00BB11AF">
        <w:t>préhension des significations anthropologiques qu'articulent les d</w:t>
      </w:r>
      <w:r w:rsidRPr="00BB11AF">
        <w:t>y</w:t>
      </w:r>
      <w:r w:rsidRPr="00BB11AF">
        <w:t>namiques politiques actuelles.</w:t>
      </w:r>
    </w:p>
    <w:p w:rsidR="003A3061" w:rsidRPr="00BB11AF" w:rsidRDefault="003A3061" w:rsidP="003A3061">
      <w:pPr>
        <w:spacing w:before="120" w:after="120"/>
        <w:jc w:val="both"/>
      </w:pPr>
      <w:r w:rsidRPr="00BB11AF">
        <w:t xml:space="preserve">C'est là, me semble-t-il, un des lieux importants pour le </w:t>
      </w:r>
      <w:r w:rsidRPr="00BB11AF">
        <w:rPr>
          <w:i/>
        </w:rPr>
        <w:t>social scientist</w:t>
      </w:r>
      <w:r w:rsidRPr="00BB11AF">
        <w:t xml:space="preserve"> pour comprendre les dispositifs interprétatifs, mais aussi ps</w:t>
      </w:r>
      <w:r w:rsidRPr="00BB11AF">
        <w:t>y</w:t>
      </w:r>
      <w:r w:rsidRPr="00BB11AF">
        <w:t>chologiques et épistémologiques, mis en place pour expliquer, ou ju</w:t>
      </w:r>
      <w:r w:rsidRPr="00BB11AF">
        <w:t>s</w:t>
      </w:r>
      <w:r w:rsidRPr="00BB11AF">
        <w:t>tifier, ces rapports différentiels vis-à-vis des mêmes textes et de la même histoire. Des postures herméneutiques qui expriment de nouve</w:t>
      </w:r>
      <w:r w:rsidRPr="00BB11AF">
        <w:t>l</w:t>
      </w:r>
      <w:r w:rsidRPr="00BB11AF">
        <w:t>les articulations du politico-religieux et qui dépendent des exp</w:t>
      </w:r>
      <w:r w:rsidRPr="00BB11AF">
        <w:t>é</w:t>
      </w:r>
      <w:r w:rsidRPr="00BB11AF">
        <w:t>riences personnelles, des conjectures, des contextes, des rapports de forces et des aptitudes individuelles. Les positions contrastées, voire diamétr</w:t>
      </w:r>
      <w:r w:rsidRPr="00BB11AF">
        <w:t>a</w:t>
      </w:r>
      <w:r w:rsidRPr="00BB11AF">
        <w:t>lement opposées, des islamistes vis-à-vis les mouvements récents de révolte, surtout dans le cas du Maroc, illustrent la plasticité et la contingence de ces postures.</w:t>
      </w:r>
    </w:p>
    <w:p w:rsidR="003A3061" w:rsidRPr="00BB11AF" w:rsidRDefault="003A3061" w:rsidP="003A3061">
      <w:pPr>
        <w:spacing w:before="120" w:after="120"/>
        <w:jc w:val="both"/>
      </w:pPr>
    </w:p>
    <w:p w:rsidR="003A3061" w:rsidRPr="00BB11AF" w:rsidRDefault="003A3061" w:rsidP="003A3061">
      <w:pPr>
        <w:pStyle w:val="planche"/>
      </w:pPr>
      <w:r w:rsidRPr="00BB11AF">
        <w:t>Islams politiques et révoltes arabes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 xml:space="preserve">Dans un livre intitulé </w:t>
      </w:r>
      <w:r w:rsidRPr="00380765">
        <w:rPr>
          <w:i/>
        </w:rPr>
        <w:t>Al-islamiyun wa al-rabî al'arabî</w:t>
      </w:r>
      <w:r w:rsidRPr="00BB11AF">
        <w:t xml:space="preserve"> (Les </w:t>
      </w:r>
      <w:r w:rsidRPr="00380765">
        <w:rPr>
          <w:i/>
        </w:rPr>
        <w:t>isl</w:t>
      </w:r>
      <w:r w:rsidRPr="00380765">
        <w:rPr>
          <w:i/>
        </w:rPr>
        <w:t>a</w:t>
      </w:r>
      <w:r w:rsidRPr="00380765">
        <w:rPr>
          <w:i/>
        </w:rPr>
        <w:t>mistes et le printemps arabe : ascension, défis et gestion du pouvoir</w:t>
      </w:r>
      <w:r w:rsidRPr="00BB11AF">
        <w:t>), Talidi (2012)</w:t>
      </w:r>
      <w:r>
        <w:t xml:space="preserve"> </w:t>
      </w:r>
      <w:r w:rsidRPr="00BB11AF">
        <w:t>-</w:t>
      </w:r>
      <w:r>
        <w:t xml:space="preserve"> </w:t>
      </w:r>
      <w:r w:rsidRPr="00BB11AF">
        <w:t>un jeune théoricien de l'histoire et de la pensée polit</w:t>
      </w:r>
      <w:r w:rsidRPr="00BB11AF">
        <w:t>i</w:t>
      </w:r>
      <w:r w:rsidRPr="00BB11AF">
        <w:t>que islamique</w:t>
      </w:r>
      <w:r>
        <w:t> </w:t>
      </w:r>
      <w:r>
        <w:rPr>
          <w:rStyle w:val="Appelnotedebasdep"/>
        </w:rPr>
        <w:footnoteReference w:id="25"/>
      </w:r>
      <w:r w:rsidRPr="00BB11AF">
        <w:t xml:space="preserve"> - scrute les raisons de l'ascension au pouvoir des mouvements islamiques suite au tournant « révolutionnaire ». Rece</w:t>
      </w:r>
      <w:r w:rsidRPr="00BB11AF">
        <w:t>n</w:t>
      </w:r>
      <w:r w:rsidRPr="00BB11AF">
        <w:t>sant tout d'abord les différentes positions des islamistes, l'auteur e</w:t>
      </w:r>
      <w:r w:rsidRPr="00BB11AF">
        <w:t>n</w:t>
      </w:r>
      <w:r w:rsidRPr="00BB11AF">
        <w:t>tend, d'une part, élucider leurs stratégies mobilisées pour transformer ce « moment révolutio</w:t>
      </w:r>
      <w:r w:rsidRPr="00BB11AF">
        <w:t>n</w:t>
      </w:r>
      <w:r w:rsidRPr="00BB11AF">
        <w:t>naire » en un « moment politique » et, d'autre part, évaluer les potentialités de mise en œuvre de réelles « transitions démocratiques ». De ce fait, vis-à-vis du « printemps arabe », les islamistes ont été partagés entre la participation active et la non-participation officielle. Si certains - comme le cas de la Tunisie, de la Libye, de la Syrie et, dans une certaine mesure, le mouvement islam</w:t>
      </w:r>
      <w:r w:rsidRPr="00BB11AF">
        <w:t>i</w:t>
      </w:r>
      <w:r w:rsidRPr="00BB11AF">
        <w:t xml:space="preserve">que marocain </w:t>
      </w:r>
      <w:r w:rsidRPr="00380765">
        <w:rPr>
          <w:i/>
        </w:rPr>
        <w:t>al-'adl wa al-ihsân</w:t>
      </w:r>
      <w:r w:rsidRPr="00BB11AF">
        <w:t xml:space="preserve"> (Justice et Spiritualité) - ont consid</w:t>
      </w:r>
      <w:r w:rsidRPr="00BB11AF">
        <w:t>é</w:t>
      </w:r>
      <w:r w:rsidRPr="00BB11AF">
        <w:t>ré ce moment comme une opportunité historique pour réaliser des r</w:t>
      </w:r>
      <w:r w:rsidRPr="00BB11AF">
        <w:t>é</w:t>
      </w:r>
      <w:r w:rsidRPr="00BB11AF">
        <w:t>formes radicales, d'autres, comme le Parti de Justice et du Dévelo</w:t>
      </w:r>
      <w:r w:rsidRPr="00BB11AF">
        <w:t>p</w:t>
      </w:r>
      <w:r w:rsidRPr="00BB11AF">
        <w:t>pement (PJD) marocain, ont refusé toute participation aux mouv</w:t>
      </w:r>
      <w:r w:rsidRPr="00BB11AF">
        <w:t>e</w:t>
      </w:r>
      <w:r w:rsidRPr="00BB11AF">
        <w:t>ments de protestation.</w:t>
      </w:r>
    </w:p>
    <w:p w:rsidR="003A3061" w:rsidRPr="00BB11AF" w:rsidRDefault="003A3061" w:rsidP="003A3061">
      <w:pPr>
        <w:spacing w:before="120" w:after="120"/>
        <w:jc w:val="both"/>
      </w:pPr>
      <w:r w:rsidRPr="00BB11AF">
        <w:t>[33]</w:t>
      </w:r>
    </w:p>
    <w:p w:rsidR="003A3061" w:rsidRPr="00BB11AF" w:rsidRDefault="003A3061" w:rsidP="003A3061">
      <w:pPr>
        <w:spacing w:before="120" w:after="120"/>
        <w:jc w:val="both"/>
      </w:pPr>
      <w:r w:rsidRPr="00BB11AF">
        <w:t>Également, entre ces deux pôles, on assiste à des positions plus mit</w:t>
      </w:r>
      <w:r w:rsidRPr="00BB11AF">
        <w:t>i</w:t>
      </w:r>
      <w:r w:rsidRPr="00BB11AF">
        <w:t>gées, comme celle des Frères musulmans en Égypte qui, après avoir refusé toute participation aux révoltes, ont décidé de s'y engager de façon progressive. Par-delà les contextes, la d</w:t>
      </w:r>
      <w:r w:rsidRPr="00BB11AF">
        <w:t>i</w:t>
      </w:r>
      <w:r w:rsidRPr="00BB11AF">
        <w:t>vergence des positions est, selon l'auteur, gouvernée moins par le cadre référentiel-les sources originelles qui sont à la base de l'idéologie de chaque mouvement</w:t>
      </w:r>
      <w:r>
        <w:t xml:space="preserve"> </w:t>
      </w:r>
      <w:r w:rsidRPr="00BB11AF">
        <w:t>-</w:t>
      </w:r>
      <w:r>
        <w:t xml:space="preserve"> </w:t>
      </w:r>
      <w:r w:rsidRPr="00BB11AF">
        <w:t>que par « le positionnement politique », c'est-à-dire par la place qu'o</w:t>
      </w:r>
      <w:r w:rsidRPr="00BB11AF">
        <w:t>c</w:t>
      </w:r>
      <w:r w:rsidRPr="00BB11AF">
        <w:t>cupe chaque mouvement au sein du système politique auquel il part</w:t>
      </w:r>
      <w:r w:rsidRPr="00BB11AF">
        <w:t>i</w:t>
      </w:r>
      <w:r w:rsidRPr="00BB11AF">
        <w:t>cipe. Dans tous les cas étudiés, du Maroc au Yémen, le positionn</w:t>
      </w:r>
      <w:r w:rsidRPr="00BB11AF">
        <w:t>e</w:t>
      </w:r>
      <w:r w:rsidRPr="00BB11AF">
        <w:t>ment efficace (les possibilités de réussite) dépend aussi bien de la d</w:t>
      </w:r>
      <w:r w:rsidRPr="00BB11AF">
        <w:t>y</w:t>
      </w:r>
      <w:r w:rsidRPr="00BB11AF">
        <w:t>namique politique locale</w:t>
      </w:r>
      <w:r>
        <w:t xml:space="preserve"> </w:t>
      </w:r>
      <w:r w:rsidRPr="00BB11AF">
        <w:t>-</w:t>
      </w:r>
      <w:r>
        <w:t xml:space="preserve"> </w:t>
      </w:r>
      <w:r w:rsidRPr="00BB11AF">
        <w:t>notamment du rôle éventuel que joue ch</w:t>
      </w:r>
      <w:r w:rsidRPr="00BB11AF">
        <w:t>a</w:t>
      </w:r>
      <w:r w:rsidRPr="00BB11AF">
        <w:t>que acteur politique pour assurer une transition démocratique qui lui sera favor</w:t>
      </w:r>
      <w:r w:rsidRPr="00BB11AF">
        <w:t>a</w:t>
      </w:r>
      <w:r w:rsidRPr="00BB11AF">
        <w:t>ble</w:t>
      </w:r>
      <w:r>
        <w:t xml:space="preserve"> </w:t>
      </w:r>
      <w:r w:rsidRPr="00BB11AF">
        <w:t>-</w:t>
      </w:r>
      <w:r>
        <w:t xml:space="preserve"> </w:t>
      </w:r>
      <w:r w:rsidRPr="00BB11AF">
        <w:t>que de l'environnement politique général qui reflète les influences extra-locales, régionales et internationales. Aussi, l'a</w:t>
      </w:r>
      <w:r w:rsidRPr="00BB11AF">
        <w:t>c</w:t>
      </w:r>
      <w:r w:rsidRPr="00BB11AF">
        <w:t>tion et le discours politiques des mouvements islam</w:t>
      </w:r>
      <w:r w:rsidRPr="00BB11AF">
        <w:t>i</w:t>
      </w:r>
      <w:r w:rsidRPr="00BB11AF">
        <w:t>ques ont-ils été orientés par deux principes directeurs qui expliquent, de façon génér</w:t>
      </w:r>
      <w:r w:rsidRPr="00BB11AF">
        <w:t>a</w:t>
      </w:r>
      <w:r w:rsidRPr="00BB11AF">
        <w:t>le, le fonctionnement de la raison politique islamiste : d'une part, la demande de changement dans un cadre de stabilité qui respecte l'env</w:t>
      </w:r>
      <w:r w:rsidRPr="00BB11AF">
        <w:t>i</w:t>
      </w:r>
      <w:r w:rsidRPr="00BB11AF">
        <w:t>ronnement politique ambiant ; d'autre part, l'utilisation de l'ambiance révolutionnaire comme un moyen de pression afin de réaliser des r</w:t>
      </w:r>
      <w:r w:rsidRPr="00BB11AF">
        <w:t>é</w:t>
      </w:r>
      <w:r w:rsidRPr="00BB11AF">
        <w:t>formes substa</w:t>
      </w:r>
      <w:r w:rsidRPr="00BB11AF">
        <w:t>n</w:t>
      </w:r>
      <w:r w:rsidRPr="00BB11AF">
        <w:t>tielles.</w:t>
      </w:r>
    </w:p>
    <w:p w:rsidR="003A3061" w:rsidRPr="00BB11AF" w:rsidRDefault="003A3061" w:rsidP="003A3061">
      <w:pPr>
        <w:spacing w:before="120" w:after="120"/>
        <w:jc w:val="both"/>
      </w:pPr>
      <w:r w:rsidRPr="00BB11AF">
        <w:t>Par ailleurs, le PJD, le parti auquel appartient l'auteur, nous est donné comme le modèle explicatif à travers lequel Talidi essaie de saisir et d'analyser les transactions politiques de mouvements islam</w:t>
      </w:r>
      <w:r w:rsidRPr="00BB11AF">
        <w:t>i</w:t>
      </w:r>
      <w:r w:rsidRPr="00BB11AF">
        <w:t>ques disparates dans des contextes variés. Les éléments structurants qui ont orienté la ligne politique de ce parti durant le « tournant d</w:t>
      </w:r>
      <w:r w:rsidRPr="00BB11AF">
        <w:t>é</w:t>
      </w:r>
      <w:r w:rsidRPr="00BB11AF">
        <w:t>mocratique » sont en résonnance avec ces deux principes directeurs. D'abord, les dirigeants du parti ont utilisé de façon « pragmatique » le moment « révolutionnaire » pour contrer les approches despotiques et pour proposer, voire imposer, des réformes politiques et constitutio</w:t>
      </w:r>
      <w:r w:rsidRPr="00BB11AF">
        <w:t>n</w:t>
      </w:r>
      <w:r w:rsidRPr="00BB11AF">
        <w:t>nelles courageuses ; puis, ils ont participé au nouveau contexte const</w:t>
      </w:r>
      <w:r w:rsidRPr="00BB11AF">
        <w:t>i</w:t>
      </w:r>
      <w:r w:rsidRPr="00BB11AF">
        <w:t>tutionnel pour passer de l'opposition politique au gouvernement. Ai</w:t>
      </w:r>
      <w:r w:rsidRPr="00BB11AF">
        <w:t>n</w:t>
      </w:r>
      <w:r w:rsidRPr="00BB11AF">
        <w:t>si, le succès des islamistes marocains a-t-il été favorisé par plusieurs éléments que nous citons dans l'ordre donné par l'auteur : la « propr</w:t>
      </w:r>
      <w:r w:rsidRPr="00BB11AF">
        <w:t>e</w:t>
      </w:r>
      <w:r w:rsidRPr="00BB11AF">
        <w:t>té » politique ; la crédibilité des élus du parti et leur succès à diriger l'opposition ; la force organisationnelle et l'efficacité du pr</w:t>
      </w:r>
      <w:r w:rsidRPr="00BB11AF">
        <w:t>o</w:t>
      </w:r>
      <w:r w:rsidRPr="00BB11AF">
        <w:t>gramme politique ; l'intelligence politique à lire les conditions de l'étape et à prévoir ses desseins ; le discours de résistance qui dénonce les mu</w:t>
      </w:r>
      <w:r w:rsidRPr="00BB11AF">
        <w:t>l</w:t>
      </w:r>
      <w:r w:rsidRPr="00BB11AF">
        <w:t>tiples formes de corruption (</w:t>
      </w:r>
      <w:r w:rsidRPr="00BB11AF">
        <w:rPr>
          <w:i/>
        </w:rPr>
        <w:t>al-fasâd</w:t>
      </w:r>
      <w:r w:rsidRPr="00BB11AF">
        <w:t>) et de despotisme (</w:t>
      </w:r>
      <w:r w:rsidRPr="00BB11AF">
        <w:rPr>
          <w:i/>
        </w:rPr>
        <w:t>al-istibdâd</w:t>
      </w:r>
      <w:r w:rsidRPr="00BB11AF">
        <w:t>) ; la dynamique de contest</w:t>
      </w:r>
      <w:r w:rsidRPr="00BB11AF">
        <w:t>a</w:t>
      </w:r>
      <w:r w:rsidRPr="00BB11AF">
        <w:t>tion que vit le Monde arabe ; la faiblesse des autres formations politiques.</w:t>
      </w:r>
    </w:p>
    <w:p w:rsidR="003A3061" w:rsidRPr="00BB11AF" w:rsidRDefault="003A3061" w:rsidP="003A3061">
      <w:pPr>
        <w:spacing w:before="120" w:after="120"/>
        <w:jc w:val="both"/>
      </w:pPr>
      <w:r w:rsidRPr="00BB11AF">
        <w:t>En mettant de l'avant des facteurs secondaires -</w:t>
      </w:r>
      <w:r>
        <w:t xml:space="preserve"> </w:t>
      </w:r>
      <w:r w:rsidRPr="00BB11AF">
        <w:t>tels le programme politique, l'intelligence politique, le positionnement politique</w:t>
      </w:r>
      <w:r>
        <w:t xml:space="preserve"> </w:t>
      </w:r>
      <w:r w:rsidRPr="00BB11AF">
        <w:t>-, l'a</w:t>
      </w:r>
      <w:r w:rsidRPr="00BB11AF">
        <w:t>u</w:t>
      </w:r>
      <w:r w:rsidRPr="00BB11AF">
        <w:t>teur, non seulement mélange les degrés d'influence, mais occulte aussi l'élément le plus décisif. L'ordre d'influence doit être, en effet, inversé en commençant surtout par la dyn</w:t>
      </w:r>
      <w:r w:rsidRPr="00BB11AF">
        <w:t>a</w:t>
      </w:r>
      <w:r w:rsidRPr="00BB11AF">
        <w:t>mique « révolutionnaire » qui a permis, par la force des choses, l'organisation des élections démocr</w:t>
      </w:r>
      <w:r w:rsidRPr="00BB11AF">
        <w:t>a</w:t>
      </w:r>
      <w:r w:rsidRPr="00BB11AF">
        <w:t>tiques qui ont été favorables aux islamistes du fait, principal</w:t>
      </w:r>
      <w:r w:rsidRPr="00BB11AF">
        <w:t>e</w:t>
      </w:r>
      <w:r w:rsidRPr="00BB11AF">
        <w:t>ment, de leur virginité politique [34] et, complémentairement, de l'inefficacité et de la corruptibilité de la majorité des autres partis. Par-delà les sp</w:t>
      </w:r>
      <w:r w:rsidRPr="00BB11AF">
        <w:t>é</w:t>
      </w:r>
      <w:r w:rsidRPr="00BB11AF">
        <w:t>cificités et les contextes, l'auteur nous présente ainsi un islam polit</w:t>
      </w:r>
      <w:r w:rsidRPr="00BB11AF">
        <w:t>i</w:t>
      </w:r>
      <w:r w:rsidRPr="00BB11AF">
        <w:t>que qui désapprouve les ruptures radicales ; un Islam qui s'attache un</w:t>
      </w:r>
      <w:r w:rsidRPr="00BB11AF">
        <w:t>i</w:t>
      </w:r>
      <w:r w:rsidRPr="00BB11AF">
        <w:t>quement à négocier les possibilités de réformes. Dans cette lecture, tous les mouvements, même ceux ayant participé de façon active aux révoltes, adoptent ce principe. Seules les manières de son actualisation varient. Par ailleurs et dans cette même logique, le scénario « postrévolutionnaire » probable qui nous est proposé va dans le m</w:t>
      </w:r>
      <w:r w:rsidRPr="00BB11AF">
        <w:t>ê</w:t>
      </w:r>
      <w:r w:rsidRPr="00BB11AF">
        <w:t>me sens antirévolutionnaire. Talidi (2012) choisit une troisième voie qui se situe entre la reproduction autocratique et le véritable acco</w:t>
      </w:r>
      <w:r w:rsidRPr="00BB11AF">
        <w:t>m</w:t>
      </w:r>
      <w:r w:rsidRPr="00BB11AF">
        <w:t>plissement d'une transition d</w:t>
      </w:r>
      <w:r w:rsidRPr="00BB11AF">
        <w:t>é</w:t>
      </w:r>
      <w:r w:rsidRPr="00BB11AF">
        <w:t>mocratique. Une situation d'« équilibre » qu'il désigne par une term</w:t>
      </w:r>
      <w:r w:rsidRPr="00BB11AF">
        <w:t>i</w:t>
      </w:r>
      <w:r w:rsidRPr="00BB11AF">
        <w:t xml:space="preserve">nologie d'inspiration </w:t>
      </w:r>
      <w:r w:rsidRPr="00380765">
        <w:rPr>
          <w:i/>
        </w:rPr>
        <w:t>mu'tazilite : almanzila bayna al-manzilatayn </w:t>
      </w:r>
      <w:r>
        <w:rPr>
          <w:rStyle w:val="Appelnotedebasdep"/>
        </w:rPr>
        <w:footnoteReference w:id="26"/>
      </w:r>
      <w:r w:rsidRPr="00BB11AF">
        <w:t>. Loin donc des aspirations révolutionna</w:t>
      </w:r>
      <w:r w:rsidRPr="00BB11AF">
        <w:t>i</w:t>
      </w:r>
      <w:r w:rsidRPr="00BB11AF">
        <w:t>res, il nous promet une vie dans les limbes : ni au paradis démocrat</w:t>
      </w:r>
      <w:r w:rsidRPr="00BB11AF">
        <w:t>i</w:t>
      </w:r>
      <w:r w:rsidRPr="00BB11AF">
        <w:t>que ni dans l'enfer de l'autor</w:t>
      </w:r>
      <w:r w:rsidRPr="00BB11AF">
        <w:t>i</w:t>
      </w:r>
      <w:r w:rsidRPr="00BB11AF">
        <w:t>tarisme.</w:t>
      </w:r>
    </w:p>
    <w:p w:rsidR="003A3061" w:rsidRPr="00BB11AF" w:rsidRDefault="003A3061" w:rsidP="003A3061">
      <w:pPr>
        <w:spacing w:before="120" w:after="120"/>
        <w:jc w:val="both"/>
      </w:pPr>
      <w:r w:rsidRPr="00BB11AF">
        <w:t>Cette troisième voie, entre la révolution et le statu quo, est située dans le cadre d'une exception marocaine ; celle essentiell</w:t>
      </w:r>
      <w:r w:rsidRPr="00BB11AF">
        <w:t>e</w:t>
      </w:r>
      <w:r w:rsidRPr="00BB11AF">
        <w:t>ment d'une monarchie qui, selon un autre chercheur et ministre du PJD, a histor</w:t>
      </w:r>
      <w:r w:rsidRPr="00BB11AF">
        <w:t>i</w:t>
      </w:r>
      <w:r w:rsidRPr="00BB11AF">
        <w:t>quement joué un rôle majeur d'unification, notamment grâce à sa lég</w:t>
      </w:r>
      <w:r w:rsidRPr="00BB11AF">
        <w:t>i</w:t>
      </w:r>
      <w:r w:rsidRPr="00BB11AF">
        <w:t>timité religieuse qui lui a donné les capacités à entreprendre des r</w:t>
      </w:r>
      <w:r w:rsidRPr="00BB11AF">
        <w:t>é</w:t>
      </w:r>
      <w:r w:rsidRPr="00BB11AF">
        <w:t>formes et des interprétations modérées de l'islam. Son rôle central dans la promotion et la préserv</w:t>
      </w:r>
      <w:r w:rsidRPr="00BB11AF">
        <w:t>a</w:t>
      </w:r>
      <w:r w:rsidRPr="00BB11AF">
        <w:t>tion du pluralisme lui a aussi permis, toujours selon cette lecture islamiste, de mener le pays vers plus de réformes démocrat</w:t>
      </w:r>
      <w:r w:rsidRPr="00BB11AF">
        <w:t>i</w:t>
      </w:r>
      <w:r w:rsidRPr="00BB11AF">
        <w:t>ques. Un pluralisme qui a été renforcé, depuis les années 1990, par l'intégration de partis politiques islamiques modérés (Khalfi 2012).</w:t>
      </w:r>
    </w:p>
    <w:p w:rsidR="003A3061" w:rsidRPr="00BB11AF" w:rsidRDefault="003A3061" w:rsidP="003A3061">
      <w:pPr>
        <w:spacing w:before="120" w:after="120"/>
        <w:jc w:val="both"/>
      </w:pPr>
      <w:r w:rsidRPr="00BB11AF">
        <w:t>Mais qu'entend-on par modérés ? Modéré par rapport à quoi et à qui ? Force est de constater que le PJD a intégré dans son discours analytique une dichotomie médiatique qui divise les mouvances isl</w:t>
      </w:r>
      <w:r w:rsidRPr="00BB11AF">
        <w:t>a</w:t>
      </w:r>
      <w:r w:rsidRPr="00BB11AF">
        <w:t>miques entre extrémistes et modérés. Partant de cette taxonomie bina</w:t>
      </w:r>
      <w:r w:rsidRPr="00BB11AF">
        <w:t>i</w:t>
      </w:r>
      <w:r w:rsidRPr="00BB11AF">
        <w:t>re, quelle place occuperait le mouvement jamâ'a-t al-'adl wa al-ihsân (JAWI) du Cheikh Yassine (1928-2012) ? Serait-il un mouv</w:t>
      </w:r>
      <w:r w:rsidRPr="00BB11AF">
        <w:t>e</w:t>
      </w:r>
      <w:r w:rsidRPr="00BB11AF">
        <w:t>ment islamique, modéré ou non ? Su</w:t>
      </w:r>
      <w:r w:rsidRPr="00BB11AF">
        <w:t>r</w:t>
      </w:r>
      <w:r w:rsidRPr="00BB11AF">
        <w:t>tout que JAWI reproche lui aussi au PJD son immodération dans ses rapports avec le pouvoir central, voire sa participation à l</w:t>
      </w:r>
      <w:r w:rsidRPr="00BB11AF">
        <w:t>i</w:t>
      </w:r>
      <w:r w:rsidRPr="00BB11AF">
        <w:t>miter l'ampleur des protestations déclenchées par le Mouvement du 20 février (ci-après M</w:t>
      </w:r>
      <w:r w:rsidRPr="00BB11AF">
        <w:rPr>
          <w:vertAlign w:val="subscript"/>
        </w:rPr>
        <w:t>20</w:t>
      </w:r>
      <w:r w:rsidRPr="00BB11AF">
        <w:t>F)</w:t>
      </w:r>
      <w:r>
        <w:t> </w:t>
      </w:r>
      <w:r>
        <w:rPr>
          <w:rStyle w:val="Appelnotedebasdep"/>
        </w:rPr>
        <w:footnoteReference w:id="27"/>
      </w:r>
      <w:r w:rsidRPr="00BB11AF">
        <w:t>.</w:t>
      </w:r>
    </w:p>
    <w:p w:rsidR="003A3061" w:rsidRPr="00BB11AF" w:rsidRDefault="003A3061" w:rsidP="003A3061">
      <w:pPr>
        <w:spacing w:before="120" w:after="120"/>
        <w:jc w:val="both"/>
      </w:pPr>
      <w:r w:rsidRPr="00BB11AF">
        <w:t>S'il est un homme, dans le Monde arabe, qui représente des simil</w:t>
      </w:r>
      <w:r w:rsidRPr="00BB11AF">
        <w:t>a</w:t>
      </w:r>
      <w:r w:rsidRPr="00BB11AF">
        <w:t>rités avec Khomeiny, ce n'est ni l'égyptien Morsi, ni le tunisien Gh</w:t>
      </w:r>
      <w:r w:rsidRPr="00BB11AF">
        <w:t>a</w:t>
      </w:r>
      <w:r w:rsidRPr="00BB11AF">
        <w:t>nouchi, mais c'est le marocain Yassine. Autant dans sa persona, son discours, sa stratégie politique de confrontation que dans son itinéraire mystico-politique, le Cheikh marocain ressemble beaucoup à l'Ayato</w:t>
      </w:r>
      <w:r w:rsidRPr="00BB11AF">
        <w:t>l</w:t>
      </w:r>
      <w:r w:rsidRPr="00BB11AF">
        <w:t>lah iranien. Bien avant la mort récente de Yassine, ses disciples et f</w:t>
      </w:r>
      <w:r w:rsidRPr="00BB11AF">
        <w:t>i</w:t>
      </w:r>
      <w:r w:rsidRPr="00BB11AF">
        <w:t>dèles croyaient fermement à un changement politique capital. Un changement au sommet de la hiérarchie du pouvoir. À partir de 2004, l'idée d'une instauration imminente du califat était devenue très pop</w:t>
      </w:r>
      <w:r w:rsidRPr="00BB11AF">
        <w:t>u</w:t>
      </w:r>
      <w:r w:rsidRPr="00BB11AF">
        <w:t>laire au sein de la jamâ'a. Une conviction fondée dans des prémon</w:t>
      </w:r>
      <w:r w:rsidRPr="00BB11AF">
        <w:t>i</w:t>
      </w:r>
      <w:r w:rsidRPr="00BB11AF">
        <w:t>tions [35] oniriques qui désignent Yassine et sa communauté comme les hér</w:t>
      </w:r>
      <w:r w:rsidRPr="00BB11AF">
        <w:t>i</w:t>
      </w:r>
      <w:r w:rsidRPr="00BB11AF">
        <w:t>tiers légitimes de ce califat promis. Mais, par-delà ce califat imagina</w:t>
      </w:r>
      <w:r w:rsidRPr="00BB11AF">
        <w:t>i</w:t>
      </w:r>
      <w:r w:rsidRPr="00BB11AF">
        <w:t>re, la pensée politique de Yassine comprend toute une théorie du cal</w:t>
      </w:r>
      <w:r w:rsidRPr="00BB11AF">
        <w:t>i</w:t>
      </w:r>
      <w:r w:rsidRPr="00BB11AF">
        <w:t>fat dans laquelle on reconnait une aspiration révolutionnaire</w:t>
      </w:r>
      <w:r>
        <w:t xml:space="preserve"> </w:t>
      </w:r>
      <w:r w:rsidRPr="00BB11AF">
        <w:t>-</w:t>
      </w:r>
      <w:r>
        <w:t xml:space="preserve"> </w:t>
      </w:r>
      <w:r w:rsidRPr="00BB11AF">
        <w:t xml:space="preserve">que le cheikh désigne par </w:t>
      </w:r>
      <w:r w:rsidRPr="00380765">
        <w:rPr>
          <w:i/>
        </w:rPr>
        <w:t>qawma </w:t>
      </w:r>
      <w:r w:rsidRPr="00BB11AF">
        <w:t>: un soulèvement spirituel qui s'a</w:t>
      </w:r>
      <w:r w:rsidRPr="00BB11AF">
        <w:t>p</w:t>
      </w:r>
      <w:r w:rsidRPr="00BB11AF">
        <w:t xml:space="preserve">puie sur une herméneutique particulière de l'historique politico-religieuse. La </w:t>
      </w:r>
      <w:r w:rsidRPr="00380765">
        <w:rPr>
          <w:i/>
        </w:rPr>
        <w:t>qawma</w:t>
      </w:r>
      <w:r w:rsidRPr="00BB11AF">
        <w:t xml:space="preserve"> permet le retour au califat comme ultime phase et la sortie d'un cycle de « pourrissement » du pouvoir qui a déjà commencé avec la première royauté omeyyade, </w:t>
      </w:r>
      <w:r w:rsidRPr="00380765">
        <w:rPr>
          <w:i/>
        </w:rPr>
        <w:t xml:space="preserve">al-mulk al- 'âdd </w:t>
      </w:r>
      <w:r w:rsidRPr="00BB11AF">
        <w:t>(une royauté morda</w:t>
      </w:r>
      <w:r w:rsidRPr="00BB11AF">
        <w:t>n</w:t>
      </w:r>
      <w:r w:rsidRPr="00BB11AF">
        <w:t>te) - nous retrouvons là le même argument chiite-, et qui persiste avec les formes de royauté actuelles que Yassine englobe sous l'e</w:t>
      </w:r>
      <w:r w:rsidRPr="00BB11AF">
        <w:t>x</w:t>
      </w:r>
      <w:r w:rsidRPr="00BB11AF">
        <w:t>pression d'</w:t>
      </w:r>
      <w:r w:rsidRPr="00380765">
        <w:rPr>
          <w:i/>
        </w:rPr>
        <w:t xml:space="preserve">al-mulk al-jabrî </w:t>
      </w:r>
      <w:r w:rsidRPr="00BB11AF">
        <w:t>(royauté despotique) (Yassine 2001). Dans sa conception, la transmission héréditaire du pouvoir, la royauté en l'o</w:t>
      </w:r>
      <w:r w:rsidRPr="00BB11AF">
        <w:t>c</w:t>
      </w:r>
      <w:r w:rsidRPr="00BB11AF">
        <w:t>currence, est un pervertissement « animal » du califat bien-guidé des premiers compagnons du Prophète (Rhani 2014). Un pervertiss</w:t>
      </w:r>
      <w:r w:rsidRPr="00BB11AF">
        <w:t>e</w:t>
      </w:r>
      <w:r w:rsidRPr="00BB11AF">
        <w:t>ment qu'il faudrait corriger par le soulèvement spirituel, puis pol</w:t>
      </w:r>
      <w:r w:rsidRPr="00BB11AF">
        <w:t>i</w:t>
      </w:r>
      <w:r w:rsidRPr="00BB11AF">
        <w:t>tique.</w:t>
      </w:r>
    </w:p>
    <w:p w:rsidR="003A3061" w:rsidRPr="00BB11AF" w:rsidRDefault="003A3061" w:rsidP="003A3061">
      <w:pPr>
        <w:spacing w:before="120" w:after="120"/>
        <w:jc w:val="both"/>
      </w:pPr>
      <w:r w:rsidRPr="00BB11AF">
        <w:t>C'est dans cette optique qu'il faut, me semble-t-il, lire la position du JAWI par rapport au mouvement de contestation M</w:t>
      </w:r>
      <w:r w:rsidRPr="00BB11AF">
        <w:rPr>
          <w:vertAlign w:val="superscript"/>
        </w:rPr>
        <w:t>20</w:t>
      </w:r>
      <w:r w:rsidRPr="00BB11AF">
        <w:t>F ainsi qu'aux élections et réformes qui en ont résulté. En effet, après une particip</w:t>
      </w:r>
      <w:r w:rsidRPr="00BB11AF">
        <w:t>a</w:t>
      </w:r>
      <w:r w:rsidRPr="00BB11AF">
        <w:t>tion active au mouvement de protestation, l'Association du Cheikh Yassine s'est retirée, estimant que le M</w:t>
      </w:r>
      <w:r w:rsidRPr="00BB11AF">
        <w:rPr>
          <w:vertAlign w:val="superscript"/>
        </w:rPr>
        <w:t>20</w:t>
      </w:r>
      <w:r w:rsidRPr="00BB11AF">
        <w:t>F n'est plus le cadre sociop</w:t>
      </w:r>
      <w:r w:rsidRPr="00BB11AF">
        <w:t>o</w:t>
      </w:r>
      <w:r w:rsidRPr="00BB11AF">
        <w:t>litique approprié pour militer :</w:t>
      </w:r>
    </w:p>
    <w:p w:rsidR="003A3061" w:rsidRDefault="003A3061" w:rsidP="003A3061">
      <w:pPr>
        <w:pStyle w:val="Grillecouleur-Accent1"/>
      </w:pPr>
    </w:p>
    <w:p w:rsidR="003A3061" w:rsidRDefault="003A3061" w:rsidP="003A3061">
      <w:pPr>
        <w:pStyle w:val="Grillecouleur-Accent1"/>
      </w:pPr>
      <w:r w:rsidRPr="00BB11AF">
        <w:t>Surtout que la monarchie parlementaire est devenue, petit à petit, le plafond des revendications du mouvement. La monarchie parlementa</w:t>
      </w:r>
      <w:r w:rsidRPr="00BB11AF">
        <w:t>i</w:t>
      </w:r>
      <w:r w:rsidRPr="00BB11AF">
        <w:t>re est un leurre ; les fondements de la légitimité de la monarchie ne le pe</w:t>
      </w:r>
      <w:r w:rsidRPr="00BB11AF">
        <w:t>r</w:t>
      </w:r>
      <w:r w:rsidRPr="00BB11AF">
        <w:t>mettent guère. En fait, ce qui pose réellement problème c'est la comma</w:t>
      </w:r>
      <w:r w:rsidRPr="00BB11AF">
        <w:t>n</w:t>
      </w:r>
      <w:r w:rsidRPr="00BB11AF">
        <w:t>derie des croyants ; non pas le principe comme tel, mais l'adéquation entre l'attribut et la pe</w:t>
      </w:r>
      <w:r w:rsidRPr="00BB11AF">
        <w:t>r</w:t>
      </w:r>
      <w:r w:rsidRPr="00BB11AF">
        <w:t>sonne qui porte le titre. L'article 19 n'a pas été supprimé, mais il a été substitué par deux autres articles, 41 et 42. La khilâfa est n</w:t>
      </w:r>
      <w:r w:rsidRPr="00BB11AF">
        <w:t>o</w:t>
      </w:r>
      <w:r w:rsidRPr="00BB11AF">
        <w:t>tre destin ; c'est la parole de la prophétie. La khilâfa est la seule bonne f</w:t>
      </w:r>
      <w:r w:rsidRPr="00BB11AF">
        <w:t>a</w:t>
      </w:r>
      <w:r w:rsidRPr="00BB11AF">
        <w:t>çon pour gouverner qui nous reste</w:t>
      </w:r>
      <w:r>
        <w:t> </w:t>
      </w:r>
      <w:r>
        <w:rPr>
          <w:rStyle w:val="Appelnotedebasdep"/>
        </w:rPr>
        <w:footnoteReference w:id="28"/>
      </w:r>
      <w:r w:rsidRPr="00BB11AF">
        <w:t>.</w:t>
      </w:r>
    </w:p>
    <w:p w:rsidR="003A3061" w:rsidRPr="00BB11AF" w:rsidRDefault="003A3061" w:rsidP="003A3061">
      <w:pPr>
        <w:pStyle w:val="Grillecouleur-Accent1"/>
      </w:pPr>
    </w:p>
    <w:p w:rsidR="003A3061" w:rsidRPr="00BB11AF" w:rsidRDefault="003A3061" w:rsidP="003A3061">
      <w:pPr>
        <w:spacing w:before="120" w:after="120"/>
        <w:jc w:val="both"/>
      </w:pPr>
      <w:r w:rsidRPr="00BB11AF">
        <w:t>Par ailleurs, le JAWI considère que les réformes apportées par le pouvoir sont cosmétiques. Des réformes qui reproduisent l'esprit du despotisme. Ainsi, ce n'est certainement pas le PJD qui a gagné les élections, mais c'est le pouvoir qui l'a « laissé gagner » et diriger un gouvernement, sans pouvoir effectif, afin d'absorber la colère popula</w:t>
      </w:r>
      <w:r w:rsidRPr="00BB11AF">
        <w:t>i</w:t>
      </w:r>
      <w:r w:rsidRPr="00BB11AF">
        <w:t>re, de « faire avorter »</w:t>
      </w:r>
      <w:r>
        <w:t> </w:t>
      </w:r>
      <w:r>
        <w:rPr>
          <w:rStyle w:val="Appelnotedebasdep"/>
        </w:rPr>
        <w:footnoteReference w:id="29"/>
      </w:r>
      <w:r w:rsidRPr="00BB11AF">
        <w:t xml:space="preserve"> les espoirs du peuple qui aspire à un cha</w:t>
      </w:r>
      <w:r w:rsidRPr="00BB11AF">
        <w:t>n</w:t>
      </w:r>
      <w:r w:rsidRPr="00BB11AF">
        <w:t>gement véritable et de prolonger la vie de la monarchie. Cette strat</w:t>
      </w:r>
      <w:r w:rsidRPr="00BB11AF">
        <w:t>é</w:t>
      </w:r>
      <w:r w:rsidRPr="00BB11AF">
        <w:t>gie vise aussi à souiller la réputation des islamistes, tout en do</w:t>
      </w:r>
      <w:r w:rsidRPr="00BB11AF">
        <w:t>n</w:t>
      </w:r>
      <w:r w:rsidRPr="00BB11AF">
        <w:t>nant une légitimité religieuse supplémentaire à l'islam officiel. Contrair</w:t>
      </w:r>
      <w:r w:rsidRPr="00BB11AF">
        <w:t>e</w:t>
      </w:r>
      <w:r w:rsidRPr="00BB11AF">
        <w:t>ment, donc, aux « vrais succès » d'Enahda en Tunisie et des Frères musulmans en Égypte</w:t>
      </w:r>
      <w:r>
        <w:t xml:space="preserve"> </w:t>
      </w:r>
      <w:r w:rsidRPr="00BB11AF">
        <w:t>- qui sont les signes d'un véritable cha</w:t>
      </w:r>
      <w:r w:rsidRPr="00BB11AF">
        <w:t>n</w:t>
      </w:r>
      <w:r w:rsidRPr="00BB11AF">
        <w:t>gement</w:t>
      </w:r>
      <w:r>
        <w:t xml:space="preserve"> </w:t>
      </w:r>
      <w:r w:rsidRPr="00BB11AF">
        <w:t>-, la montée du PJD est une continuité avec le régime autorita</w:t>
      </w:r>
      <w:r w:rsidRPr="00BB11AF">
        <w:t>i</w:t>
      </w:r>
      <w:r w:rsidRPr="00BB11AF">
        <w:t>re. Son succès électoral, selon les déclarations officielles du JAWI, n'est qu'une stratégie pour « gagner du temps » et pour « détourner l'op</w:t>
      </w:r>
      <w:r w:rsidRPr="00BB11AF">
        <w:t>i</w:t>
      </w:r>
      <w:r w:rsidRPr="00BB11AF">
        <w:t>nion publ</w:t>
      </w:r>
      <w:r w:rsidRPr="00BB11AF">
        <w:t>i</w:t>
      </w:r>
      <w:r w:rsidRPr="00BB11AF">
        <w:t>que » des vrais problèmes qui persistent [36] toujours et qui sont les conséquences du despotisme et de la co</w:t>
      </w:r>
      <w:r w:rsidRPr="00BB11AF">
        <w:t>r</w:t>
      </w:r>
      <w:r w:rsidRPr="00BB11AF">
        <w:t>ruption : « En laissant le PJD diriger un gouvernement, le pouvoir voulait faire croire que le Maroc fait partie du même mouvement révolutio</w:t>
      </w:r>
      <w:r w:rsidRPr="00BB11AF">
        <w:t>n</w:t>
      </w:r>
      <w:r w:rsidRPr="00BB11AF">
        <w:t>naire arabe qui a vu l'ascension des islamistes »</w:t>
      </w:r>
      <w:r>
        <w:t> </w:t>
      </w:r>
      <w:r>
        <w:rPr>
          <w:rStyle w:val="Appelnotedebasdep"/>
        </w:rPr>
        <w:footnoteReference w:id="30"/>
      </w:r>
      <w:r w:rsidRPr="00BB11AF">
        <w:t>. Il ressort de toutes les prises de pos</w:t>
      </w:r>
      <w:r w:rsidRPr="00BB11AF">
        <w:t>i</w:t>
      </w:r>
      <w:r w:rsidRPr="00BB11AF">
        <w:t>tion des membres du JAWI que c'est le pouvoir central qui a instr</w:t>
      </w:r>
      <w:r w:rsidRPr="00BB11AF">
        <w:t>u</w:t>
      </w:r>
      <w:r w:rsidRPr="00BB11AF">
        <w:t>mentalisé, en connaissance de cause, le PJD pour absorber la colère populaire et pour réorienter le cours des évén</w:t>
      </w:r>
      <w:r w:rsidRPr="00BB11AF">
        <w:t>e</w:t>
      </w:r>
      <w:r w:rsidRPr="00BB11AF">
        <w:t>ments. Un argument repris, souvent avec des élaborations fort évocatrices, par certains sympathisants de la Jamâ'a que j'ai intervi</w:t>
      </w:r>
      <w:r w:rsidRPr="00BB11AF">
        <w:t>e</w:t>
      </w:r>
      <w:r w:rsidRPr="00BB11AF">
        <w:t>wés :</w:t>
      </w:r>
    </w:p>
    <w:p w:rsidR="003A3061" w:rsidRDefault="003A3061" w:rsidP="003A3061">
      <w:pPr>
        <w:pStyle w:val="Grillecouleur-Accent1"/>
      </w:pPr>
    </w:p>
    <w:p w:rsidR="003A3061" w:rsidRDefault="003A3061" w:rsidP="003A3061">
      <w:pPr>
        <w:pStyle w:val="Grillecouleur-Accent1"/>
      </w:pPr>
      <w:r w:rsidRPr="00BB11AF">
        <w:t>Le Makhzen (le pouvoir central) était très intelligent dans sa réa</w:t>
      </w:r>
      <w:r w:rsidRPr="00BB11AF">
        <w:t>c</w:t>
      </w:r>
      <w:r w:rsidRPr="00BB11AF">
        <w:t>tion contre le mouvement de protestations. Il a pris des mesures inte</w:t>
      </w:r>
      <w:r w:rsidRPr="00BB11AF">
        <w:t>l</w:t>
      </w:r>
      <w:r w:rsidRPr="00BB11AF">
        <w:t>ligentes qui lui ont donné une popularité : les réformes constitutionnelles, les éle</w:t>
      </w:r>
      <w:r w:rsidRPr="00BB11AF">
        <w:t>c</w:t>
      </w:r>
      <w:r w:rsidRPr="00BB11AF">
        <w:t>tions anticipées qui ont permis au PJD d'arriver pr</w:t>
      </w:r>
      <w:r w:rsidRPr="00BB11AF">
        <w:t>e</w:t>
      </w:r>
      <w:r w:rsidRPr="00BB11AF">
        <w:t>mier ; ceci a affecté l'impact du M</w:t>
      </w:r>
      <w:r w:rsidRPr="00BB11AF">
        <w:rPr>
          <w:vertAlign w:val="subscript"/>
        </w:rPr>
        <w:t>20</w:t>
      </w:r>
      <w:r w:rsidRPr="00BB11AF">
        <w:t>F. Celui-ci s'est affaibli progressivement et nous ne vo</w:t>
      </w:r>
      <w:r w:rsidRPr="00BB11AF">
        <w:t>u</w:t>
      </w:r>
      <w:r w:rsidRPr="00BB11AF">
        <w:t>lions pas qu'il meure entre nos mains.</w:t>
      </w:r>
    </w:p>
    <w:p w:rsidR="003A3061" w:rsidRPr="00BB11AF" w:rsidRDefault="003A3061" w:rsidP="003A3061">
      <w:pPr>
        <w:pStyle w:val="Grillecouleur-Accent1"/>
      </w:pPr>
    </w:p>
    <w:p w:rsidR="003A3061" w:rsidRPr="00BB11AF" w:rsidRDefault="003A3061" w:rsidP="003A3061">
      <w:pPr>
        <w:spacing w:before="120" w:after="120"/>
        <w:jc w:val="both"/>
      </w:pPr>
      <w:r w:rsidRPr="00BB11AF">
        <w:t>Ou encore :</w:t>
      </w:r>
    </w:p>
    <w:p w:rsidR="003A3061" w:rsidRDefault="003A3061" w:rsidP="003A3061">
      <w:pPr>
        <w:pStyle w:val="Grillecouleur-Accent1"/>
      </w:pPr>
      <w:r w:rsidRPr="00BB11AF">
        <w:t>Notre militantisme ce sont les autres qui en ont profité. Le PJD a réco</w:t>
      </w:r>
      <w:r w:rsidRPr="00BB11AF">
        <w:t>l</w:t>
      </w:r>
      <w:r w:rsidRPr="00BB11AF">
        <w:t>té les fruits de notre activisme. On s'est retiré du M</w:t>
      </w:r>
      <w:r w:rsidRPr="00BB11AF">
        <w:rPr>
          <w:vertAlign w:val="subscript"/>
        </w:rPr>
        <w:t>20</w:t>
      </w:r>
      <w:r w:rsidRPr="00BB11AF">
        <w:t>F pour que le PJD n'instrumentalise pas notre association dans sa confrontation avec le po</w:t>
      </w:r>
      <w:r w:rsidRPr="00BB11AF">
        <w:t>u</w:t>
      </w:r>
      <w:r w:rsidRPr="00BB11AF">
        <w:t>voir [...]. Après le M</w:t>
      </w:r>
      <w:r w:rsidRPr="00BB11AF">
        <w:rPr>
          <w:vertAlign w:val="subscript"/>
        </w:rPr>
        <w:t>20</w:t>
      </w:r>
      <w:r w:rsidRPr="00BB11AF">
        <w:t>F, le militantisme prendra d'autres formes.</w:t>
      </w:r>
    </w:p>
    <w:p w:rsidR="003A3061" w:rsidRPr="00BB11AF" w:rsidRDefault="003A3061" w:rsidP="003A3061">
      <w:pPr>
        <w:pStyle w:val="Grillecouleur-Accent1"/>
      </w:pPr>
    </w:p>
    <w:p w:rsidR="003A3061" w:rsidRPr="00BB11AF" w:rsidRDefault="003A3061" w:rsidP="003A3061">
      <w:pPr>
        <w:spacing w:before="120" w:after="120"/>
        <w:jc w:val="both"/>
      </w:pPr>
      <w:r w:rsidRPr="00BB11AF">
        <w:t>Ainsi, le mouvement de rébellion marocain s'est trouvé devant deux grandes lectures islamistes : l'une prônant la particip</w:t>
      </w:r>
      <w:r w:rsidRPr="00BB11AF">
        <w:t>a</w:t>
      </w:r>
      <w:r w:rsidRPr="00BB11AF">
        <w:t>tion, mais ne partageant pas les mêmes revendications politiques, l'autre s'opp</w:t>
      </w:r>
      <w:r w:rsidRPr="00BB11AF">
        <w:t>o</w:t>
      </w:r>
      <w:r w:rsidRPr="00BB11AF">
        <w:t>sant à toutes formes de participation, mais prônant certaines réformes pol</w:t>
      </w:r>
      <w:r w:rsidRPr="00BB11AF">
        <w:t>i</w:t>
      </w:r>
      <w:r w:rsidRPr="00BB11AF">
        <w:t>tiques. Entre l'idée d'un califat, basé essentiellement sur l'idée de la commanderie des croyants et la noblesse généalogique et celle du pragmatisme d'un islam participatif, référant à une conception histor</w:t>
      </w:r>
      <w:r w:rsidRPr="00BB11AF">
        <w:t>i</w:t>
      </w:r>
      <w:r w:rsidRPr="00BB11AF">
        <w:t>co-culturelle de la commanderie des croyants, on se trouve devant deux positions divergentes qui s'appuient chacune sur une interprét</w:t>
      </w:r>
      <w:r w:rsidRPr="00BB11AF">
        <w:t>a</w:t>
      </w:r>
      <w:r w:rsidRPr="00BB11AF">
        <w:t>tion et une mobilisation différentes de la même histoire des processus pol</w:t>
      </w:r>
      <w:r w:rsidRPr="00BB11AF">
        <w:t>i</w:t>
      </w:r>
      <w:r w:rsidRPr="00BB11AF">
        <w:t>tico-religieux du Maroc et de l'Islam, de manière plus générale.</w:t>
      </w:r>
    </w:p>
    <w:p w:rsidR="003A3061" w:rsidRPr="00BB11AF" w:rsidRDefault="003A3061" w:rsidP="003A3061">
      <w:pPr>
        <w:spacing w:before="120" w:after="120"/>
        <w:jc w:val="both"/>
      </w:pPr>
      <w:r w:rsidRPr="00BB11AF">
        <w:t>Quant à savoir pourquoi les individus et les groupes perçoivent, pr</w:t>
      </w:r>
      <w:r w:rsidRPr="00BB11AF">
        <w:t>é</w:t>
      </w:r>
      <w:r w:rsidRPr="00BB11AF">
        <w:t>sentent et représentent les mêmes histoires et les mêmes écritures différemment, c'est là certes une des plus intrigantes questions anthr</w:t>
      </w:r>
      <w:r w:rsidRPr="00BB11AF">
        <w:t>o</w:t>
      </w:r>
      <w:r w:rsidRPr="00BB11AF">
        <w:t>pologiques. En tout cas, pour comprendre ce que l'on a tendance à d</w:t>
      </w:r>
      <w:r w:rsidRPr="00BB11AF">
        <w:t>é</w:t>
      </w:r>
      <w:r w:rsidRPr="00BB11AF">
        <w:t>signer par « le retour de l'Islam », il faudrait non pas mesurer et i</w:t>
      </w:r>
      <w:r w:rsidRPr="00BB11AF">
        <w:t>n</w:t>
      </w:r>
      <w:r w:rsidRPr="00BB11AF">
        <w:t>dexer les degrés de religiosité et les symptômes d'un quelconque r</w:t>
      </w:r>
      <w:r w:rsidRPr="00BB11AF">
        <w:t>e</w:t>
      </w:r>
      <w:r w:rsidRPr="00BB11AF">
        <w:t>tour, mais adopter une approche à la fois phénoménologique et he</w:t>
      </w:r>
      <w:r w:rsidRPr="00BB11AF">
        <w:t>r</w:t>
      </w:r>
      <w:r w:rsidRPr="00BB11AF">
        <w:t>méne</w:t>
      </w:r>
      <w:r w:rsidRPr="00BB11AF">
        <w:t>u</w:t>
      </w:r>
      <w:r w:rsidRPr="00BB11AF">
        <w:t>tique qui appréhende la religion dans ses articulations avec le sens de la vie et le d</w:t>
      </w:r>
      <w:r w:rsidRPr="00BB11AF">
        <w:t>é</w:t>
      </w:r>
      <w:r w:rsidRPr="00BB11AF">
        <w:t>ploiement des formes de vie (Rhani 2014). Ceci permet surtout d'élucider le changement au sein de multiples traditions qui ont [37] progressivement été libérées des contextes dans lesquels elles ont or</w:t>
      </w:r>
      <w:r w:rsidRPr="00BB11AF">
        <w:t>i</w:t>
      </w:r>
      <w:r w:rsidRPr="00BB11AF">
        <w:t>ginellement émergé et pris forme.</w:t>
      </w:r>
    </w:p>
    <w:p w:rsidR="003A3061" w:rsidRPr="00BB11AF" w:rsidRDefault="003A3061" w:rsidP="003A3061">
      <w:pPr>
        <w:spacing w:before="120" w:after="120"/>
        <w:jc w:val="both"/>
      </w:pPr>
    </w:p>
    <w:p w:rsidR="003A3061" w:rsidRPr="00BB11AF" w:rsidRDefault="003A3061" w:rsidP="003A3061">
      <w:pPr>
        <w:pStyle w:val="planche"/>
      </w:pPr>
      <w:r w:rsidRPr="00BB11AF">
        <w:t>Du retour islamiste au post-islamisme !</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En effet, le rôle de l'analyste, comme le suggère Geertz (2006) dans une conférence qu'il donna juste avant sa mort, consiste moins à établir une description qui s'apparente davant</w:t>
      </w:r>
      <w:r w:rsidRPr="00BB11AF">
        <w:t>a</w:t>
      </w:r>
      <w:r w:rsidRPr="00BB11AF">
        <w:t>ge à une mathématique qui mesure des processus objectifs - notamment la « sécularisation » - qu'à procéder à une interprétation des processus subjectifs qui se d</w:t>
      </w:r>
      <w:r w:rsidRPr="00BB11AF">
        <w:t>é</w:t>
      </w:r>
      <w:r w:rsidRPr="00BB11AF">
        <w:t>ploient pour exprimer la diversité croissante de la foi et de la croya</w:t>
      </w:r>
      <w:r w:rsidRPr="00BB11AF">
        <w:t>n</w:t>
      </w:r>
      <w:r w:rsidRPr="00BB11AF">
        <w:t>ce. Une telle approche permet, d'une part, de considérer les subjectiv</w:t>
      </w:r>
      <w:r w:rsidRPr="00BB11AF">
        <w:t>i</w:t>
      </w:r>
      <w:r w:rsidRPr="00BB11AF">
        <w:t>tés humaines - ce que pensent réellement les gens, ce qu'ils sentent, croient et pratiquent - et de repérer, d'autre part, les cadres d'interpr</w:t>
      </w:r>
      <w:r w:rsidRPr="00BB11AF">
        <w:t>é</w:t>
      </w:r>
      <w:r w:rsidRPr="00BB11AF">
        <w:t>tation à partir desquels ces gens jugent et comprennent les événements et les actions. Il s'agit d'étudier les processus de transfo</w:t>
      </w:r>
      <w:r w:rsidRPr="00BB11AF">
        <w:t>r</w:t>
      </w:r>
      <w:r w:rsidRPr="00BB11AF">
        <w:t>mation et de reformulation d'une tradition religieuse particulière, l'Islam en l'occu</w:t>
      </w:r>
      <w:r w:rsidRPr="00BB11AF">
        <w:t>r</w:t>
      </w:r>
      <w:r w:rsidRPr="00BB11AF">
        <w:t>rence, quand elle rentre dans les perplexités et les irr</w:t>
      </w:r>
      <w:r w:rsidRPr="00BB11AF">
        <w:t>é</w:t>
      </w:r>
      <w:r w:rsidRPr="00BB11AF">
        <w:t>gularités de la vie moderne.</w:t>
      </w:r>
    </w:p>
    <w:p w:rsidR="003A3061" w:rsidRPr="00BB11AF" w:rsidRDefault="003A3061" w:rsidP="003A3061">
      <w:pPr>
        <w:spacing w:before="120" w:after="120"/>
        <w:jc w:val="both"/>
      </w:pPr>
      <w:r w:rsidRPr="00BB11AF">
        <w:t>La question ce n'est donc pas de savoir si l'Islam est ou n'est pas co</w:t>
      </w:r>
      <w:r w:rsidRPr="00BB11AF">
        <w:t>m</w:t>
      </w:r>
      <w:r w:rsidRPr="00BB11AF">
        <w:t>patible avec la démocratie - un concept en soi alambiqué -, mais plutôt de savoir comment et dans quelles conditions les musulmans peuvent reformuler l'Islam dans un « éthos démocratique ». Il n'y a rien d'inhérent à l'Islam, ou à toute autre religion, qui le rende intri</w:t>
      </w:r>
      <w:r w:rsidRPr="00BB11AF">
        <w:t>n</w:t>
      </w:r>
      <w:r w:rsidRPr="00BB11AF">
        <w:t>sèquement démocratique ou antidémocratique, révolutionnaire ou a</w:t>
      </w:r>
      <w:r w:rsidRPr="00BB11AF">
        <w:t>n</w:t>
      </w:r>
      <w:r w:rsidRPr="00BB11AF">
        <w:t>tirévolutio</w:t>
      </w:r>
      <w:r w:rsidRPr="00BB11AF">
        <w:t>n</w:t>
      </w:r>
      <w:r w:rsidRPr="00BB11AF">
        <w:t>naire, pacifique ou fanatique. Cela dépend des dispositifs complexes par lesquels les fidèles comprennent, imaginent, articulent et vivent leur foi. Les refo</w:t>
      </w:r>
      <w:r w:rsidRPr="00BB11AF">
        <w:t>r</w:t>
      </w:r>
      <w:r w:rsidRPr="00BB11AF">
        <w:t>mulations herméneutiques, juridiques et pratiques de l'Islam dans le feu de l'action sociopolitique, Assef Bayat (2010) les désigne par le terme de « post-islamisme ». Un concept qui, s</w:t>
      </w:r>
      <w:r w:rsidRPr="00BB11AF">
        <w:t>e</w:t>
      </w:r>
      <w:r w:rsidRPr="00BB11AF">
        <w:t>lon lui, représente à la fois une condition et un projet. D'une part, il réfère à une situation politique et sociale dans laquelle, après une ph</w:t>
      </w:r>
      <w:r w:rsidRPr="00BB11AF">
        <w:t>a</w:t>
      </w:r>
      <w:r w:rsidRPr="00BB11AF">
        <w:t>se d'expérimentation, l'énergie et les sources de la légitimité de l'isl</w:t>
      </w:r>
      <w:r w:rsidRPr="00BB11AF">
        <w:t>a</w:t>
      </w:r>
      <w:r w:rsidRPr="00BB11AF">
        <w:t>misme s'épuisent, même parmi ses ardents partisans. Alors qu'ils te</w:t>
      </w:r>
      <w:r w:rsidRPr="00BB11AF">
        <w:t>n</w:t>
      </w:r>
      <w:r w:rsidRPr="00BB11AF">
        <w:t>dent à institutionnaliser et à normaliser leur domination, les islamistes pre</w:t>
      </w:r>
      <w:r w:rsidRPr="00BB11AF">
        <w:t>n</w:t>
      </w:r>
      <w:r w:rsidRPr="00BB11AF">
        <w:t>nent ainsi conscience des anomalies et des insuffisances de leur sy</w:t>
      </w:r>
      <w:r w:rsidRPr="00BB11AF">
        <w:t>s</w:t>
      </w:r>
      <w:r w:rsidRPr="00BB11AF">
        <w:t>tème ; lequel sera sérieusement fragilisé par les erreurs politiques. Aussi, dans son effort pragmatique de maintenir le système, l'islami</w:t>
      </w:r>
      <w:r w:rsidRPr="00BB11AF">
        <w:t>s</w:t>
      </w:r>
      <w:r w:rsidRPr="00BB11AF">
        <w:t>me sera-t-il obligé d'abandonner certains de ses principes fondame</w:t>
      </w:r>
      <w:r w:rsidRPr="00BB11AF">
        <w:t>n</w:t>
      </w:r>
      <w:r w:rsidRPr="00BB11AF">
        <w:t>taux et, se faisant, sera-t-il contraint de se réinventer en opérant un changement qualitatif. D'autre part, le « post-islamisme » est aussi une tentative consciente de conceptualiser et d'élaborer des stratégies et des modalités pour transcender l'islamisme dans les domaines s</w:t>
      </w:r>
      <w:r w:rsidRPr="00BB11AF">
        <w:t>o</w:t>
      </w:r>
      <w:r w:rsidRPr="00BB11AF">
        <w:t>cial, politique et intellectuel. Il serait ainsi appelé à déployer un effort pour fusionner religiosité et justice, foi et l</w:t>
      </w:r>
      <w:r w:rsidRPr="00BB11AF">
        <w:t>i</w:t>
      </w:r>
      <w:r w:rsidRPr="00BB11AF">
        <w:t>berté, droit et devoir. Avec tout ce que cela pourrait impliquer aux niveaux épistémologiques et polit</w:t>
      </w:r>
      <w:r w:rsidRPr="00BB11AF">
        <w:t>i</w:t>
      </w:r>
      <w:r w:rsidRPr="00BB11AF">
        <w:t>ques : historicisation des textes, ébranlement des singularités autorita</w:t>
      </w:r>
      <w:r w:rsidRPr="00BB11AF">
        <w:t>i</w:t>
      </w:r>
      <w:r w:rsidRPr="00BB11AF">
        <w:t>res</w:t>
      </w:r>
      <w:r>
        <w:t> </w:t>
      </w:r>
      <w:r>
        <w:rPr>
          <w:rStyle w:val="Appelnotedebasdep"/>
        </w:rPr>
        <w:footnoteReference w:id="31"/>
      </w:r>
      <w:r w:rsidRPr="00BB11AF">
        <w:t>.</w:t>
      </w:r>
    </w:p>
    <w:p w:rsidR="003A3061" w:rsidRPr="00BB11AF" w:rsidRDefault="003A3061" w:rsidP="003A3061">
      <w:pPr>
        <w:spacing w:before="120" w:after="120"/>
        <w:jc w:val="both"/>
      </w:pPr>
      <w:r w:rsidRPr="00BB11AF">
        <w:t>[38]</w:t>
      </w:r>
    </w:p>
    <w:p w:rsidR="003A3061" w:rsidRPr="00BB11AF" w:rsidRDefault="003A3061" w:rsidP="003A3061">
      <w:pPr>
        <w:spacing w:before="120" w:after="120"/>
        <w:jc w:val="both"/>
      </w:pPr>
      <w:r w:rsidRPr="00BB11AF">
        <w:t>Bien que le concept de « post-islamisme » soit, à mon sens, mal</w:t>
      </w:r>
      <w:r w:rsidRPr="00BB11AF">
        <w:t>a</w:t>
      </w:r>
      <w:r w:rsidRPr="00BB11AF">
        <w:t>droit, les significations qui lui sont données par Bayat expriment r</w:t>
      </w:r>
      <w:r w:rsidRPr="00BB11AF">
        <w:t>e</w:t>
      </w:r>
      <w:r w:rsidRPr="00BB11AF">
        <w:t>marqu</w:t>
      </w:r>
      <w:r w:rsidRPr="00BB11AF">
        <w:t>a</w:t>
      </w:r>
      <w:r w:rsidRPr="00BB11AF">
        <w:t>blement les éventuels processus de reformulations du politico-religieux dans l'ère « postrévolutionnaire ». D'abord, selon la formul</w:t>
      </w:r>
      <w:r w:rsidRPr="00BB11AF">
        <w:t>a</w:t>
      </w:r>
      <w:r w:rsidRPr="00BB11AF">
        <w:t>tion de l'auteur, l'« islamisme » et le « post-islamisme » servent pri</w:t>
      </w:r>
      <w:r w:rsidRPr="00BB11AF">
        <w:t>n</w:t>
      </w:r>
      <w:r w:rsidRPr="00BB11AF">
        <w:t>cipalement de catégories conce</w:t>
      </w:r>
      <w:r w:rsidRPr="00BB11AF">
        <w:t>p</w:t>
      </w:r>
      <w:r w:rsidRPr="00BB11AF">
        <w:t>tuelles pour signifier le changement et la différence - dans les faits, cependant, de nombreux musulmans peuvent adhérer s</w:t>
      </w:r>
      <w:r w:rsidRPr="00BB11AF">
        <w:t>i</w:t>
      </w:r>
      <w:r w:rsidRPr="00BB11AF">
        <w:t>multanément aux aspects des deux discours. D'autre part, l'avènement du « post-islamisme » comme une véritable tenda</w:t>
      </w:r>
      <w:r w:rsidRPr="00BB11AF">
        <w:t>n</w:t>
      </w:r>
      <w:r w:rsidRPr="00BB11AF">
        <w:t>ce ne devrait pas être considéré nécessairement comme la fin histor</w:t>
      </w:r>
      <w:r w:rsidRPr="00BB11AF">
        <w:t>i</w:t>
      </w:r>
      <w:r w:rsidRPr="00BB11AF">
        <w:t>que de l'islamisme. Il devrait plutôt être considéré comme la naissa</w:t>
      </w:r>
      <w:r w:rsidRPr="00BB11AF">
        <w:t>n</w:t>
      </w:r>
      <w:r w:rsidRPr="00BB11AF">
        <w:t>ce, au sein de l'expérience islamiste, d'un discours et d'une pol</w:t>
      </w:r>
      <w:r w:rsidRPr="00BB11AF">
        <w:t>i</w:t>
      </w:r>
      <w:r w:rsidRPr="00BB11AF">
        <w:t>tique quantitativement différents. Si, en réalité, nous pouvons assister à un processus simultané d'« islamisation » et de « post-islamisation », la croissance des sensibilités et des mouvements démocratiques-séculiers ou d'orientation religieuse-est susceptible d'orienter l'isl</w:t>
      </w:r>
      <w:r w:rsidRPr="00BB11AF">
        <w:t>a</w:t>
      </w:r>
      <w:r w:rsidRPr="00BB11AF">
        <w:t>misme vers le « post-islamiste », ouvrant ainsi la voie, à travers de multiples luttes « réformistes », à un changement démocratique dans lequel un islam revisité peut jouer un rôle important. Il s'agit là d'une expérience pol</w:t>
      </w:r>
      <w:r w:rsidRPr="00BB11AF">
        <w:t>i</w:t>
      </w:r>
      <w:r w:rsidRPr="00BB11AF">
        <w:t>tique que Bayat désigne par l'expression « révolution post-islamiste ».</w:t>
      </w:r>
      <w:r>
        <w:t> </w:t>
      </w:r>
      <w:r>
        <w:rPr>
          <w:rStyle w:val="Appelnotedebasdep"/>
        </w:rPr>
        <w:footnoteReference w:id="32"/>
      </w:r>
      <w:r w:rsidRPr="00BB11AF">
        <w:t xml:space="preserve"> Des réformes qui révolutionnent les idéologies islami</w:t>
      </w:r>
      <w:r w:rsidRPr="00BB11AF">
        <w:t>s</w:t>
      </w:r>
      <w:r w:rsidRPr="00BB11AF">
        <w:t>tes ?</w:t>
      </w:r>
    </w:p>
    <w:p w:rsidR="003A3061" w:rsidRPr="00BB11AF" w:rsidRDefault="003A3061" w:rsidP="003A3061">
      <w:pPr>
        <w:spacing w:before="120" w:after="120"/>
        <w:jc w:val="both"/>
      </w:pPr>
      <w:r w:rsidRPr="00BB11AF">
        <w:t>Sans doute Bayat décrit-il un scénario idéal dans lequel l'islam p</w:t>
      </w:r>
      <w:r w:rsidRPr="00BB11AF">
        <w:t>o</w:t>
      </w:r>
      <w:r w:rsidRPr="00BB11AF">
        <w:t>litique se transforme, à la suite de ses expériences au pouvoir, en un mouvement inclusif, plus démocratique et plus moderne. Idéal, car rien ne garantit que cette expérience de m</w:t>
      </w:r>
      <w:r w:rsidRPr="00BB11AF">
        <w:t>a</w:t>
      </w:r>
      <w:r w:rsidRPr="00BB11AF">
        <w:t>turation politique arrive à son terme tant que les processus de dé-idéalisation des idéaux islami</w:t>
      </w:r>
      <w:r w:rsidRPr="00BB11AF">
        <w:t>s</w:t>
      </w:r>
      <w:r w:rsidRPr="00BB11AF">
        <w:t>tes- la condition sine qua non pour cette transformation positive- sont à chaque fois avortés par des anti-islamistes, toutes tendances confo</w:t>
      </w:r>
      <w:r w:rsidRPr="00BB11AF">
        <w:t>n</w:t>
      </w:r>
      <w:r w:rsidRPr="00BB11AF">
        <w:t>dues</w:t>
      </w:r>
      <w:r>
        <w:t> </w:t>
      </w:r>
      <w:r>
        <w:rPr>
          <w:rStyle w:val="Appelnotedebasdep"/>
        </w:rPr>
        <w:footnoteReference w:id="33"/>
      </w:r>
      <w:r w:rsidRPr="00BB11AF">
        <w:t>. Les événements récents en Égypte montrent qu'une grande partie de l'élite libérale, et même certains mouvements de la gauche, n'a pas su assumer les résultats du changement politique, en se raba</w:t>
      </w:r>
      <w:r w:rsidRPr="00BB11AF">
        <w:t>t</w:t>
      </w:r>
      <w:r w:rsidRPr="00BB11AF">
        <w:t>tant sur la solution autoritaire et militaire pour écarter ses a</w:t>
      </w:r>
      <w:r w:rsidRPr="00BB11AF">
        <w:t>d</w:t>
      </w:r>
      <w:r w:rsidRPr="00BB11AF">
        <w:t>versaires. Sans doute, le passage des islamistes par le pouvoir n'est pas un grand succès, mais les autres partis sont-ils capables de faire mieux ? D'a</w:t>
      </w:r>
      <w:r w:rsidRPr="00BB11AF">
        <w:t>u</w:t>
      </w:r>
      <w:r w:rsidRPr="00BB11AF">
        <w:t>tant plus que ce sont ces mêmes partis qui ont cohabité, certains ont soutenu, les anciens régimes despot</w:t>
      </w:r>
      <w:r w:rsidRPr="00BB11AF">
        <w:t>i</w:t>
      </w:r>
      <w:r w:rsidRPr="00BB11AF">
        <w:t>ques. La démocratie est un long processus de désapprentissage et d'apprentissage dont il faut assumer et jusqu'au bout, les risques, sinon aucune transition d</w:t>
      </w:r>
      <w:r w:rsidRPr="00BB11AF">
        <w:t>é</w:t>
      </w:r>
      <w:r w:rsidRPr="00BB11AF">
        <w:t>mocratique ne serait possible, avec ou sans les islamistes</w:t>
      </w:r>
      <w:r>
        <w:t> </w:t>
      </w:r>
      <w:r>
        <w:rPr>
          <w:rStyle w:val="Appelnotedebasdep"/>
        </w:rPr>
        <w:footnoteReference w:id="34"/>
      </w:r>
      <w:r w:rsidRPr="00BB11AF">
        <w:t>.</w:t>
      </w:r>
    </w:p>
    <w:p w:rsidR="003A3061" w:rsidRPr="00BB11AF" w:rsidRDefault="003A3061" w:rsidP="003A3061">
      <w:pPr>
        <w:spacing w:before="120" w:after="120"/>
        <w:jc w:val="both"/>
      </w:pPr>
      <w:r w:rsidRPr="00BB11AF">
        <w:t>On aura, sans doute, besoin d'une autre caricature pour dire la suite de l'expérience révolutionnaire en Égypte. Un barbu, dén</w:t>
      </w:r>
      <w:r w:rsidRPr="00BB11AF">
        <w:t>u</w:t>
      </w:r>
      <w:r w:rsidRPr="00BB11AF">
        <w:t>dé, un corps sec, saignant, le regard hagard, la bouche cousue, les mains encha</w:t>
      </w:r>
      <w:r w:rsidRPr="00BB11AF">
        <w:t>î</w:t>
      </w:r>
      <w:r w:rsidRPr="00BB11AF">
        <w:t>nées et dans son animalité primitive, il se pro</w:t>
      </w:r>
      <w:r w:rsidRPr="00BB11AF">
        <w:t>s</w:t>
      </w:r>
      <w:r w:rsidRPr="00BB11AF">
        <w:t>terne, posant sa tête à l'extrémité d'une estrade où un trône est posé. Un joyeux militaire, imbu de lui-même, le sourire béat, le regard acerbe, [39] mitrailleuse à la main, chevauche, nonchalamment, l'islamiste pour accéder au trône. Retour peut-être au pré-islamisme !</w:t>
      </w:r>
    </w:p>
    <w:p w:rsidR="003A3061" w:rsidRPr="00BB11AF" w:rsidRDefault="003A3061" w:rsidP="003A3061">
      <w:pPr>
        <w:spacing w:before="120" w:after="120"/>
        <w:jc w:val="both"/>
        <w:rPr>
          <w:szCs w:val="2"/>
        </w:rPr>
      </w:pPr>
      <w:r w:rsidRPr="00BB11AF">
        <w:rPr>
          <w:szCs w:val="2"/>
        </w:rPr>
        <w:t>[40]</w:t>
      </w:r>
    </w:p>
    <w:p w:rsidR="003A3061" w:rsidRPr="00BB11AF" w:rsidRDefault="003A3061" w:rsidP="003A3061">
      <w:pPr>
        <w:spacing w:before="120" w:after="120"/>
        <w:jc w:val="both"/>
        <w:rPr>
          <w:szCs w:val="2"/>
        </w:rPr>
      </w:pPr>
    </w:p>
    <w:p w:rsidR="003A3061" w:rsidRPr="00BB11AF" w:rsidRDefault="003A3061" w:rsidP="003A3061">
      <w:pPr>
        <w:pStyle w:val="planche"/>
      </w:pPr>
      <w:r w:rsidRPr="00BB11AF">
        <w:t>Références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 xml:space="preserve">Abou El Fadl, K. 2001. </w:t>
      </w:r>
      <w:r w:rsidRPr="00BB11AF">
        <w:rPr>
          <w:i/>
        </w:rPr>
        <w:t>Rebellion and Violence in Islamic Law</w:t>
      </w:r>
      <w:r w:rsidRPr="00BB11AF">
        <w:t>. Cambridge : Cambridge University Press.</w:t>
      </w:r>
    </w:p>
    <w:p w:rsidR="003A3061" w:rsidRPr="00BB11AF" w:rsidRDefault="003A3061" w:rsidP="003A3061">
      <w:pPr>
        <w:spacing w:before="120" w:after="120"/>
        <w:jc w:val="both"/>
      </w:pPr>
      <w:r w:rsidRPr="00BB11AF">
        <w:t>Al-Azm, S. 2011. « </w:t>
      </w:r>
      <w:r w:rsidRPr="00BB11AF">
        <w:rPr>
          <w:i/>
        </w:rPr>
        <w:t>Arab Nationalism, Islamism and the Arab Uprising </w:t>
      </w:r>
      <w:r w:rsidRPr="00BB11AF">
        <w:t>». Texte présenté au Middle East Center, London School of Economics, 30 novembre.</w:t>
      </w:r>
    </w:p>
    <w:p w:rsidR="003A3061" w:rsidRPr="00BB11AF" w:rsidRDefault="003A3061" w:rsidP="003A3061">
      <w:pPr>
        <w:spacing w:before="120" w:after="120"/>
        <w:jc w:val="both"/>
      </w:pPr>
      <w:r w:rsidRPr="00BB11AF">
        <w:t xml:space="preserve">Al-Azmeh, A. 1997. </w:t>
      </w:r>
      <w:r w:rsidRPr="00BB11AF">
        <w:rPr>
          <w:i/>
        </w:rPr>
        <w:t>Muslim Kingship : Power and Sacred in M</w:t>
      </w:r>
      <w:r w:rsidRPr="00BB11AF">
        <w:rPr>
          <w:i/>
        </w:rPr>
        <w:t>u</w:t>
      </w:r>
      <w:r w:rsidRPr="00BB11AF">
        <w:rPr>
          <w:i/>
        </w:rPr>
        <w:t>slim, Christian, and Pagan Polities</w:t>
      </w:r>
      <w:r w:rsidRPr="00BB11AF">
        <w:t>. London/New York : I.B. Tauris Publishers.</w:t>
      </w:r>
    </w:p>
    <w:p w:rsidR="003A3061" w:rsidRPr="00BB11AF" w:rsidRDefault="003A3061" w:rsidP="003A3061">
      <w:pPr>
        <w:spacing w:before="120" w:after="120"/>
        <w:jc w:val="both"/>
      </w:pPr>
      <w:r w:rsidRPr="00BB11AF">
        <w:t xml:space="preserve">Bayat, A. 2010. </w:t>
      </w:r>
      <w:r w:rsidRPr="00BB11AF">
        <w:rPr>
          <w:i/>
        </w:rPr>
        <w:t>Life as Politics. How Ordinary People Change the Middle East</w:t>
      </w:r>
      <w:r w:rsidRPr="00BB11AF">
        <w:t>. Amsterdam : Amsterdam University Press.</w:t>
      </w:r>
    </w:p>
    <w:p w:rsidR="003A3061" w:rsidRPr="00BB11AF" w:rsidRDefault="003A3061" w:rsidP="003A3061">
      <w:pPr>
        <w:spacing w:before="120" w:after="120"/>
        <w:jc w:val="both"/>
      </w:pPr>
      <w:r w:rsidRPr="00BB11AF">
        <w:t xml:space="preserve">Bradley, J. R. 2012. </w:t>
      </w:r>
      <w:r w:rsidRPr="00BB11AF">
        <w:rPr>
          <w:i/>
        </w:rPr>
        <w:t>After the Arab Spring : How Islamists Hija</w:t>
      </w:r>
      <w:r w:rsidRPr="00BB11AF">
        <w:rPr>
          <w:i/>
        </w:rPr>
        <w:t>c</w:t>
      </w:r>
      <w:r w:rsidRPr="00BB11AF">
        <w:rPr>
          <w:i/>
        </w:rPr>
        <w:t>ked the Middle East Revolts</w:t>
      </w:r>
      <w:r w:rsidRPr="00BB11AF">
        <w:t>. New York : Palgrave Ma</w:t>
      </w:r>
      <w:r w:rsidRPr="00BB11AF">
        <w:t>c</w:t>
      </w:r>
      <w:r w:rsidRPr="00BB11AF">
        <w:t>millan.</w:t>
      </w:r>
    </w:p>
    <w:p w:rsidR="003A3061" w:rsidRPr="00BB11AF" w:rsidRDefault="003A3061" w:rsidP="003A3061">
      <w:pPr>
        <w:spacing w:before="120" w:after="120"/>
        <w:jc w:val="both"/>
      </w:pPr>
      <w:r w:rsidRPr="00BB11AF">
        <w:t xml:space="preserve">Bylocq, C. et J. Grand. 2012. « 20 Février. Discours et portraits d'un mouvement de révolte au Maroc ». </w:t>
      </w:r>
      <w:r w:rsidRPr="00BB11AF">
        <w:rPr>
          <w:i/>
        </w:rPr>
        <w:t>L'Année du Ma</w:t>
      </w:r>
      <w:r w:rsidRPr="00BB11AF">
        <w:rPr>
          <w:i/>
        </w:rPr>
        <w:t>g</w:t>
      </w:r>
      <w:r w:rsidRPr="00BB11AF">
        <w:rPr>
          <w:i/>
        </w:rPr>
        <w:t>hreb,</w:t>
      </w:r>
      <w:r w:rsidRPr="00BB11AF">
        <w:t xml:space="preserve"> 8 : 239-258.</w:t>
      </w:r>
    </w:p>
    <w:p w:rsidR="003A3061" w:rsidRPr="00BB11AF" w:rsidRDefault="003A3061" w:rsidP="003A3061">
      <w:pPr>
        <w:spacing w:before="120" w:after="120"/>
        <w:jc w:val="both"/>
      </w:pPr>
      <w:r w:rsidRPr="00BB11AF">
        <w:t xml:space="preserve">Djaït, H. 1989. </w:t>
      </w:r>
      <w:r w:rsidRPr="00BB11AF">
        <w:rPr>
          <w:i/>
        </w:rPr>
        <w:t>La Grande Discorde : religion et politique dans l'Islam des origines</w:t>
      </w:r>
      <w:r w:rsidRPr="00BB11AF">
        <w:t>. Paris : Gallimard.</w:t>
      </w:r>
    </w:p>
    <w:p w:rsidR="003A3061" w:rsidRPr="00BB11AF" w:rsidRDefault="003A3061" w:rsidP="003A3061">
      <w:pPr>
        <w:spacing w:before="120" w:after="120"/>
        <w:jc w:val="both"/>
      </w:pPr>
      <w:r w:rsidRPr="00BB11AF">
        <w:t>Fischer, M. M. J. 1980. « Becoming Mollah : Reflections on Ir</w:t>
      </w:r>
      <w:r w:rsidRPr="00BB11AF">
        <w:t>a</w:t>
      </w:r>
      <w:r w:rsidRPr="00BB11AF">
        <w:t xml:space="preserve">nian Clerics in a Revolutionary Age ». </w:t>
      </w:r>
      <w:r w:rsidRPr="00BB11AF">
        <w:rPr>
          <w:i/>
        </w:rPr>
        <w:t>Iranian Studies</w:t>
      </w:r>
      <w:r w:rsidRPr="00BB11AF">
        <w:t>, 13(l-4) :83-117.</w:t>
      </w:r>
    </w:p>
    <w:p w:rsidR="003A3061" w:rsidRPr="00BB11AF" w:rsidRDefault="003A3061" w:rsidP="003A3061">
      <w:pPr>
        <w:spacing w:before="120" w:after="120"/>
        <w:jc w:val="both"/>
      </w:pPr>
      <w:r w:rsidRPr="00BB11AF">
        <w:t>Geertz, C. 2006. « </w:t>
      </w:r>
      <w:r w:rsidRPr="00BB11AF">
        <w:rPr>
          <w:i/>
        </w:rPr>
        <w:t>Religion and Modernity : Some Revisionary Views </w:t>
      </w:r>
      <w:r w:rsidRPr="00BB11AF">
        <w:t>». Texte préparé pour le Colloque Les sciences sociales en m</w:t>
      </w:r>
      <w:r w:rsidRPr="00BB11AF">
        <w:t>u</w:t>
      </w:r>
      <w:r w:rsidRPr="00BB11AF">
        <w:t>tation, C.A.D.I.S, Paris, 3-6 mai.</w:t>
      </w:r>
    </w:p>
    <w:p w:rsidR="003A3061" w:rsidRPr="00BB11AF" w:rsidRDefault="003A3061" w:rsidP="003A3061">
      <w:pPr>
        <w:spacing w:before="120" w:after="120"/>
        <w:jc w:val="both"/>
      </w:pPr>
      <w:r w:rsidRPr="00BB11AF">
        <w:t>Hibou, B. 2011. « </w:t>
      </w:r>
      <w:r w:rsidRPr="00BB11AF">
        <w:rPr>
          <w:i/>
        </w:rPr>
        <w:t>Le mouvement du 20 février, le makhzen et l’antipolitique. L'impensé des réformes au Maroc </w:t>
      </w:r>
      <w:r w:rsidRPr="00BB11AF">
        <w:t>». Document éle</w:t>
      </w:r>
      <w:r w:rsidRPr="00BB11AF">
        <w:t>c</w:t>
      </w:r>
      <w:r w:rsidRPr="00BB11AF">
        <w:t xml:space="preserve">tronique, </w:t>
      </w:r>
      <w:hyperlink r:id="rId24" w:history="1">
        <w:r w:rsidRPr="00BB11AF">
          <w:rPr>
            <w:rStyle w:val="Lienhypertexte"/>
            <w:lang w:bidi="en-US"/>
          </w:rPr>
          <w:t>http:</w:t>
        </w:r>
        <w:r w:rsidRPr="00BB11AF">
          <w:rPr>
            <w:rStyle w:val="Lienhypertexte"/>
            <w:lang w:bidi="en-US"/>
          </w:rPr>
          <w:t>//www.ceri-sciences-po.org</w:t>
        </w:r>
      </w:hyperlink>
      <w:r w:rsidRPr="00BB11AF">
        <w:rPr>
          <w:lang w:bidi="en-US"/>
        </w:rPr>
        <w:t xml:space="preserve">. </w:t>
      </w:r>
      <w:r w:rsidRPr="00BB11AF">
        <w:t>Dernière date de consult</w:t>
      </w:r>
      <w:r w:rsidRPr="00BB11AF">
        <w:t>a</w:t>
      </w:r>
      <w:r w:rsidRPr="00BB11AF">
        <w:t>tion : 30 septembre 2013.</w:t>
      </w:r>
    </w:p>
    <w:p w:rsidR="003A3061" w:rsidRPr="00BB11AF" w:rsidRDefault="003A3061" w:rsidP="003A3061">
      <w:pPr>
        <w:spacing w:before="120" w:after="120"/>
        <w:jc w:val="both"/>
      </w:pPr>
      <w:r w:rsidRPr="00BB11AF">
        <w:t>Khalfi, M. 2012. « </w:t>
      </w:r>
      <w:r w:rsidRPr="00BB11AF">
        <w:rPr>
          <w:i/>
        </w:rPr>
        <w:t>Islamist Political Parties and Governing </w:t>
      </w:r>
      <w:r w:rsidRPr="00BB11AF">
        <w:t>». Conférence donnée dans le cadre du congrès Political Transition and New Constitution, The Carnegie Endowment for Internati</w:t>
      </w:r>
      <w:r w:rsidRPr="00BB11AF">
        <w:t>o</w:t>
      </w:r>
      <w:r w:rsidRPr="00BB11AF">
        <w:t>nal Peace, Washington, 13 avril.</w:t>
      </w:r>
    </w:p>
    <w:p w:rsidR="003A3061" w:rsidRPr="00BB11AF" w:rsidRDefault="003A3061" w:rsidP="003A3061">
      <w:pPr>
        <w:spacing w:before="120" w:after="120"/>
        <w:jc w:val="both"/>
      </w:pPr>
      <w:r w:rsidRPr="00BB11AF">
        <w:t xml:space="preserve">Khosrokhavar, F. et O. Roy. 1999. </w:t>
      </w:r>
      <w:r w:rsidRPr="00BB11AF">
        <w:rPr>
          <w:i/>
        </w:rPr>
        <w:t>Iran : comment sortir d'une r</w:t>
      </w:r>
      <w:r w:rsidRPr="00BB11AF">
        <w:rPr>
          <w:i/>
        </w:rPr>
        <w:t>é</w:t>
      </w:r>
      <w:r w:rsidRPr="00BB11AF">
        <w:rPr>
          <w:i/>
        </w:rPr>
        <w:t>volution religieuse</w:t>
      </w:r>
      <w:r w:rsidRPr="00BB11AF">
        <w:t>. Paris : Seuil.</w:t>
      </w:r>
    </w:p>
    <w:p w:rsidR="003A3061" w:rsidRPr="00BB11AF" w:rsidRDefault="003A3061" w:rsidP="003A3061">
      <w:pPr>
        <w:spacing w:before="120" w:after="120"/>
        <w:jc w:val="both"/>
      </w:pPr>
      <w:r w:rsidRPr="00BB11AF">
        <w:t xml:space="preserve">Lewis, B. 1988. </w:t>
      </w:r>
      <w:r w:rsidRPr="00BB11AF">
        <w:rPr>
          <w:i/>
        </w:rPr>
        <w:t>The Political Language of Islam</w:t>
      </w:r>
      <w:r w:rsidRPr="00BB11AF">
        <w:t>. Chicago : The University of Chicago Press.</w:t>
      </w:r>
    </w:p>
    <w:p w:rsidR="003A3061" w:rsidRPr="00BB11AF" w:rsidRDefault="003A3061" w:rsidP="003A3061">
      <w:pPr>
        <w:spacing w:before="120" w:after="120"/>
        <w:jc w:val="both"/>
      </w:pPr>
      <w:r w:rsidRPr="00BB11AF">
        <w:t xml:space="preserve">Marx, K. 1969[1951], </w:t>
      </w:r>
      <w:hyperlink r:id="rId25" w:history="1">
        <w:r w:rsidRPr="00BB11AF">
          <w:rPr>
            <w:rStyle w:val="Lienhypertexte"/>
            <w:i/>
          </w:rPr>
          <w:t xml:space="preserve">Le </w:t>
        </w:r>
        <w:r w:rsidRPr="00BB11AF">
          <w:rPr>
            <w:rStyle w:val="Lienhypertexte"/>
            <w:rFonts w:eastAsia="Arial" w:cs="Arial"/>
            <w:szCs w:val="15"/>
            <w:lang w:eastAsia="fr-FR" w:bidi="fr-FR"/>
          </w:rPr>
          <w:t>18</w:t>
        </w:r>
        <w:r w:rsidRPr="00BB11AF">
          <w:rPr>
            <w:rStyle w:val="Lienhypertexte"/>
            <w:i/>
          </w:rPr>
          <w:t xml:space="preserve"> brumaire de Louis Bonaparte</w:t>
        </w:r>
      </w:hyperlink>
      <w:r w:rsidRPr="00BB11AF">
        <w:t>. Paris : Éditions Sociales.</w:t>
      </w:r>
    </w:p>
    <w:p w:rsidR="003A3061" w:rsidRPr="00BB11AF" w:rsidRDefault="003A3061" w:rsidP="003A3061">
      <w:pPr>
        <w:spacing w:before="120" w:after="120"/>
        <w:jc w:val="both"/>
      </w:pPr>
      <w:r w:rsidRPr="00BB11AF">
        <w:t>Mervin, S. 2004. « Les autorités religieuses dans le chiisme duod</w:t>
      </w:r>
      <w:r w:rsidRPr="00BB11AF">
        <w:t>é</w:t>
      </w:r>
      <w:r w:rsidRPr="00BB11AF">
        <w:t xml:space="preserve">cimain contemporain ». </w:t>
      </w:r>
      <w:r w:rsidRPr="00BB11AF">
        <w:rPr>
          <w:i/>
        </w:rPr>
        <w:t>Archive de science sociale des religions,</w:t>
      </w:r>
      <w:r w:rsidRPr="00BB11AF">
        <w:t xml:space="preserve"> 125 : 63-78.</w:t>
      </w:r>
    </w:p>
    <w:p w:rsidR="003A3061" w:rsidRPr="00BB11AF" w:rsidRDefault="003A3061" w:rsidP="003A3061">
      <w:pPr>
        <w:spacing w:before="120" w:after="120"/>
        <w:jc w:val="both"/>
      </w:pPr>
      <w:r w:rsidRPr="00BB11AF">
        <w:t xml:space="preserve">Rhani, Z. 2014. </w:t>
      </w:r>
      <w:r w:rsidRPr="00BB11AF">
        <w:rPr>
          <w:i/>
        </w:rPr>
        <w:t>Le pouvoir de guérir. Mythe, mystique et p</w:t>
      </w:r>
      <w:r w:rsidRPr="00BB11AF">
        <w:rPr>
          <w:i/>
        </w:rPr>
        <w:t>o</w:t>
      </w:r>
      <w:r w:rsidRPr="00BB11AF">
        <w:rPr>
          <w:i/>
        </w:rPr>
        <w:t>litique au Maroc</w:t>
      </w:r>
      <w:r w:rsidRPr="00BB11AF">
        <w:t>. Leiden/Boston : Brill.</w:t>
      </w:r>
    </w:p>
    <w:p w:rsidR="003A3061" w:rsidRPr="00BB11AF" w:rsidRDefault="003A3061" w:rsidP="003A3061">
      <w:pPr>
        <w:spacing w:before="120" w:after="120"/>
        <w:jc w:val="both"/>
      </w:pPr>
      <w:r w:rsidRPr="00BB11AF">
        <w:t>Rhani Z. 2012. « </w:t>
      </w:r>
      <w:r w:rsidRPr="00BB11AF">
        <w:rPr>
          <w:i/>
        </w:rPr>
        <w:t>À propos du livre de B. Talidi. Les islami</w:t>
      </w:r>
      <w:r w:rsidRPr="00BB11AF">
        <w:rPr>
          <w:i/>
        </w:rPr>
        <w:t>s</w:t>
      </w:r>
      <w:r w:rsidRPr="00BB11AF">
        <w:rPr>
          <w:i/>
        </w:rPr>
        <w:t>tes et le printemps arabe : ascension, défis et gestion du pouvoir-Tunisie, Égypte, Maroc, Yémen </w:t>
      </w:r>
      <w:r w:rsidRPr="00BB11AF">
        <w:t xml:space="preserve">». Centre Jacques Berque pour les études en sciences humaines et sociales au Maroc. Document électronique, </w:t>
      </w:r>
      <w:hyperlink r:id="rId26" w:history="1">
        <w:r w:rsidRPr="00BB11AF">
          <w:rPr>
            <w:rStyle w:val="Lienhypertexte"/>
            <w:lang w:bidi="en-US"/>
          </w:rPr>
          <w:t xml:space="preserve">http://www.cjb.ma/268-les- </w:t>
        </w:r>
        <w:r w:rsidRPr="00BB11AF">
          <w:rPr>
            <w:rStyle w:val="Lienhypertexte"/>
          </w:rPr>
          <w:t xml:space="preserve">archives/275-archives-news/a-propos-du-livre-de-b-talidi-les-islamistes-et-le-printemps-arabe- </w:t>
        </w:r>
        <w:r w:rsidRPr="00BB11AF">
          <w:rPr>
            <w:rStyle w:val="Lienhypertexte"/>
            <w:lang w:bidi="en-US"/>
          </w:rPr>
          <w:t>ascension-defis-et-gestion-du-pouvoir-1753.html</w:t>
        </w:r>
      </w:hyperlink>
      <w:r w:rsidRPr="00BB11AF">
        <w:rPr>
          <w:lang w:bidi="en-US"/>
        </w:rPr>
        <w:t xml:space="preserve">. </w:t>
      </w:r>
      <w:r w:rsidRPr="00BB11AF">
        <w:t>Consulté le 30 septembre 2013.</w:t>
      </w:r>
    </w:p>
    <w:p w:rsidR="003A3061" w:rsidRPr="00BB11AF" w:rsidRDefault="003A3061" w:rsidP="003A3061">
      <w:pPr>
        <w:spacing w:before="120" w:after="120"/>
        <w:jc w:val="both"/>
      </w:pPr>
      <w:r w:rsidRPr="00BB11AF">
        <w:br w:type="page"/>
        <w:t>[41]</w:t>
      </w:r>
    </w:p>
    <w:p w:rsidR="003A3061" w:rsidRPr="00BB11AF" w:rsidRDefault="003A3061" w:rsidP="003A3061">
      <w:pPr>
        <w:spacing w:before="120" w:after="120"/>
        <w:jc w:val="both"/>
      </w:pPr>
      <w:r w:rsidRPr="00BB11AF">
        <w:t>Talidi, B. 2012. al-lslâmiyûn wa al-rabî' al-'arabî : al-su'ud al-tahaddî wa tadbîr al-sulta- Tunus, misr, al- maghrib, al-yaman [Les islamistes et le printemps arabe : ascension, défis et gestion du po</w:t>
      </w:r>
      <w:r w:rsidRPr="00BB11AF">
        <w:t>u</w:t>
      </w:r>
      <w:r w:rsidRPr="00BB11AF">
        <w:t>voir - Tunisie, Égypte, Maroc, Yémen]. Beyrouth : Ma</w:t>
      </w:r>
      <w:r w:rsidRPr="00BB11AF">
        <w:t>r</w:t>
      </w:r>
      <w:r w:rsidRPr="00BB11AF">
        <w:t>kaz Namaa.</w:t>
      </w:r>
    </w:p>
    <w:p w:rsidR="003A3061" w:rsidRPr="00BB11AF" w:rsidRDefault="003A3061" w:rsidP="003A3061">
      <w:pPr>
        <w:spacing w:before="120" w:after="120"/>
        <w:jc w:val="both"/>
      </w:pPr>
      <w:r w:rsidRPr="00BB11AF">
        <w:t xml:space="preserve">Tourabi, A. 2012. « Morocco : Towards a Cohabitation Between the King and the Islamists ? ». Arab Reform Initiative. Document électronique, </w:t>
      </w:r>
      <w:hyperlink r:id="rId27" w:history="1">
        <w:r w:rsidRPr="00BB11AF">
          <w:rPr>
            <w:rStyle w:val="Lienhypertexte"/>
            <w:lang w:bidi="en-US"/>
          </w:rPr>
          <w:t xml:space="preserve">http://www.arab-reform.net/morocco-towards- </w:t>
        </w:r>
        <w:r w:rsidRPr="00BB11AF">
          <w:rPr>
            <w:rStyle w:val="Lienhypertexte"/>
          </w:rPr>
          <w:t>cohabit</w:t>
        </w:r>
        <w:r w:rsidRPr="00BB11AF">
          <w:rPr>
            <w:rStyle w:val="Lienhypertexte"/>
          </w:rPr>
          <w:t>a</w:t>
        </w:r>
        <w:r w:rsidRPr="00BB11AF">
          <w:rPr>
            <w:rStyle w:val="Lienhypertexte"/>
          </w:rPr>
          <w:t>tion-between-king-and-islamists</w:t>
        </w:r>
      </w:hyperlink>
      <w:r w:rsidRPr="00BB11AF">
        <w:t>. Consulté le 30 septembre 2013.</w:t>
      </w:r>
    </w:p>
    <w:p w:rsidR="003A3061" w:rsidRPr="00BB11AF" w:rsidRDefault="003A3061" w:rsidP="003A3061">
      <w:pPr>
        <w:spacing w:before="120" w:after="120"/>
        <w:jc w:val="both"/>
      </w:pPr>
      <w:r w:rsidRPr="00BB11AF">
        <w:t xml:space="preserve">Yassine A. 2001. al-khilâfa wa al-mulk. Document électronique, </w:t>
      </w:r>
      <w:hyperlink r:id="rId28" w:history="1">
        <w:r w:rsidRPr="00BB11AF">
          <w:rPr>
            <w:rStyle w:val="Lienhypertexte"/>
            <w:lang w:bidi="en-US"/>
          </w:rPr>
          <w:t>http://www.yassine.net/ar/document/663.shtml</w:t>
        </w:r>
      </w:hyperlink>
      <w:r w:rsidRPr="00BB11AF">
        <w:rPr>
          <w:lang w:bidi="en-US"/>
        </w:rPr>
        <w:t xml:space="preserve">. </w:t>
      </w:r>
      <w:r w:rsidRPr="00BB11AF">
        <w:t>Consulté le 25 se</w:t>
      </w:r>
      <w:r w:rsidRPr="00BB11AF">
        <w:t>p</w:t>
      </w:r>
      <w:r w:rsidRPr="00BB11AF">
        <w:t>tembre 2013.</w:t>
      </w:r>
    </w:p>
    <w:p w:rsidR="003A3061" w:rsidRPr="00BB11AF" w:rsidRDefault="003A3061" w:rsidP="003A3061">
      <w:pPr>
        <w:spacing w:before="120" w:after="120"/>
        <w:jc w:val="both"/>
      </w:pPr>
    </w:p>
    <w:p w:rsidR="003A3061" w:rsidRDefault="003A3061" w:rsidP="003A3061">
      <w:pPr>
        <w:jc w:val="both"/>
      </w:pPr>
      <w:r w:rsidRPr="003F76B5">
        <w:rPr>
          <w:b/>
          <w:color w:val="FF0000"/>
        </w:rPr>
        <w:t>NOTES</w:t>
      </w:r>
    </w:p>
    <w:p w:rsidR="003A3061" w:rsidRDefault="003A3061" w:rsidP="003A3061">
      <w:pPr>
        <w:jc w:val="both"/>
      </w:pPr>
    </w:p>
    <w:p w:rsidR="003A3061" w:rsidRPr="00E07116" w:rsidRDefault="003A3061" w:rsidP="003A3061">
      <w:pPr>
        <w:jc w:val="both"/>
      </w:pPr>
      <w:r>
        <w:t>Pour faciliter la consultation des notes en fin de textes, nous les avons toutes converties, dans cette édition numérique des Classiques des sciences sociales, en notes de bas de page. JMT.</w:t>
      </w:r>
    </w:p>
    <w:p w:rsidR="003A3061" w:rsidRPr="00E07116" w:rsidRDefault="003A3061" w:rsidP="003A3061">
      <w:pPr>
        <w:jc w:val="both"/>
      </w:pP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[42]</w:t>
      </w:r>
    </w:p>
    <w:p w:rsidR="003A3061" w:rsidRPr="00BB11AF" w:rsidRDefault="003A3061" w:rsidP="003A3061">
      <w:pPr>
        <w:spacing w:before="120" w:after="120"/>
        <w:jc w:val="both"/>
      </w:pPr>
      <w:r w:rsidRPr="00BB11AF">
        <w:t>[43]</w:t>
      </w:r>
    </w:p>
    <w:p w:rsidR="003A3061" w:rsidRPr="00BB11AF" w:rsidRDefault="003A3061" w:rsidP="003A3061">
      <w:pPr>
        <w:spacing w:before="120" w:after="120"/>
        <w:jc w:val="both"/>
      </w:pPr>
      <w:r w:rsidRPr="00BB11AF">
        <w:t>[44]</w:t>
      </w:r>
    </w:p>
    <w:p w:rsidR="003A3061" w:rsidRPr="00BB11AF" w:rsidRDefault="003A3061" w:rsidP="003A3061">
      <w:pPr>
        <w:pStyle w:val="p"/>
      </w:pPr>
      <w:r w:rsidRPr="00BB11AF">
        <w:br w:type="page"/>
        <w:t>[45]</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hanging="20"/>
        <w:jc w:val="center"/>
        <w:rPr>
          <w:b/>
          <w:sz w:val="24"/>
        </w:rPr>
      </w:pPr>
      <w:bookmarkStart w:id="7" w:name="Crise_et_mise_en_crise_texte_04"/>
      <w:r w:rsidRPr="00BB11AF">
        <w:rPr>
          <w:b/>
          <w:i/>
          <w:color w:val="FF0000"/>
          <w:sz w:val="24"/>
        </w:rPr>
        <w:t>Crise</w:t>
      </w:r>
      <w:r w:rsidRPr="00BB11AF">
        <w:rPr>
          <w:b/>
          <w:sz w:val="24"/>
        </w:rPr>
        <w:t xml:space="preserve"> et mise en </w:t>
      </w:r>
      <w:r w:rsidRPr="00BB11AF">
        <w:rPr>
          <w:b/>
          <w:i/>
          <w:color w:val="FF0000"/>
          <w:sz w:val="24"/>
        </w:rPr>
        <w:t>crise</w:t>
      </w:r>
      <w:r w:rsidRPr="00BB11AF">
        <w:rPr>
          <w:b/>
          <w:sz w:val="24"/>
        </w:rPr>
        <w:t>.</w:t>
      </w:r>
    </w:p>
    <w:p w:rsidR="003A3061" w:rsidRPr="00BB11AF" w:rsidRDefault="003A3061" w:rsidP="003A3061">
      <w:pPr>
        <w:spacing w:after="120"/>
        <w:jc w:val="center"/>
        <w:rPr>
          <w:sz w:val="24"/>
        </w:rPr>
      </w:pPr>
      <w:r w:rsidRPr="00BB11AF">
        <w:rPr>
          <w:sz w:val="24"/>
        </w:rPr>
        <w:t>Actes du colloque annuel de l’ACSALF 2012.</w:t>
      </w:r>
    </w:p>
    <w:p w:rsidR="003A3061" w:rsidRPr="00BB11AF" w:rsidRDefault="003A3061" w:rsidP="003A3061">
      <w:pPr>
        <w:pStyle w:val="Titreniveau1"/>
      </w:pPr>
      <w:r w:rsidRPr="00BB11AF">
        <w:t>4</w:t>
      </w:r>
    </w:p>
    <w:p w:rsidR="003A3061" w:rsidRPr="00BB11AF" w:rsidRDefault="003A3061" w:rsidP="003A3061">
      <w:pPr>
        <w:pStyle w:val="Titreniveau2"/>
      </w:pPr>
      <w:r w:rsidRPr="00BB11AF">
        <w:t>“La crise économique internationale</w:t>
      </w:r>
      <w:r w:rsidRPr="00BB11AF">
        <w:br/>
        <w:t>de 2008 a-t-elle favorisé l’avènement</w:t>
      </w:r>
      <w:r w:rsidRPr="00BB11AF">
        <w:br/>
        <w:t>du « printemps arabe » en Égypte ?”</w:t>
      </w:r>
    </w:p>
    <w:bookmarkEnd w:id="7"/>
    <w:p w:rsidR="003A3061" w:rsidRPr="00BB11AF" w:rsidRDefault="003A3061" w:rsidP="003A3061">
      <w:pPr>
        <w:jc w:val="both"/>
        <w:rPr>
          <w:szCs w:val="36"/>
        </w:rPr>
      </w:pPr>
    </w:p>
    <w:p w:rsidR="003A3061" w:rsidRPr="00BB11AF" w:rsidRDefault="003A3061" w:rsidP="003A3061">
      <w:pPr>
        <w:pStyle w:val="suite"/>
      </w:pPr>
      <w:r w:rsidRPr="00BB11AF">
        <w:t>Par Samil SAUL</w:t>
      </w:r>
    </w:p>
    <w:p w:rsidR="003A3061" w:rsidRPr="00BB11AF" w:rsidRDefault="003A3061" w:rsidP="003A3061">
      <w:pPr>
        <w:pStyle w:val="auteurst"/>
      </w:pPr>
      <w:r w:rsidRPr="00BB11AF">
        <w:t>Université de Montréal</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right="90" w:firstLine="0"/>
        <w:jc w:val="both"/>
        <w:rPr>
          <w:sz w:val="20"/>
        </w:rPr>
      </w:pPr>
      <w:hyperlink w:anchor="tdm" w:history="1">
        <w:r w:rsidRPr="00BB11AF">
          <w:rPr>
            <w:rStyle w:val="Lienhypertexte"/>
            <w:sz w:val="20"/>
          </w:rPr>
          <w:t>Retour à la table des matières</w:t>
        </w:r>
      </w:hyperlink>
    </w:p>
    <w:p w:rsidR="003A3061" w:rsidRPr="00BB11AF" w:rsidRDefault="00356B29" w:rsidP="003A3061">
      <w:pPr>
        <w:spacing w:before="120" w:after="120"/>
        <w:jc w:val="both"/>
      </w:pPr>
      <w:r w:rsidRPr="00BB11AF">
        <w:rPr>
          <w:noProof/>
        </w:rPr>
        <w:drawing>
          <wp:anchor distT="0" distB="0" distL="63500" distR="182880" simplePos="0" relativeHeight="251652608" behindDoc="1" locked="0" layoutInCell="1" allowOverlap="0">
            <wp:simplePos x="0" y="0"/>
            <wp:positionH relativeFrom="margin">
              <wp:posOffset>64135</wp:posOffset>
            </wp:positionH>
            <wp:positionV relativeFrom="margin">
              <wp:posOffset>4117340</wp:posOffset>
            </wp:positionV>
            <wp:extent cx="1130300" cy="787400"/>
            <wp:effectExtent l="25400" t="25400" r="12700" b="12700"/>
            <wp:wrapSquare wrapText="bothSides"/>
            <wp:docPr id="24" name="Image 8"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image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0300" cy="7874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3A3061" w:rsidRPr="00BB11AF">
        <w:t>Deux phénomènes sont quasi synchrones. En Occident, l'économie entre en 2007-2008 dans sa plus sérieuse crise depuis la Grande d</w:t>
      </w:r>
      <w:r w:rsidR="003A3061" w:rsidRPr="00BB11AF">
        <w:t>é</w:t>
      </w:r>
      <w:r w:rsidR="003A3061" w:rsidRPr="00BB11AF">
        <w:t>pression. Crise cyclique, c'est aussi une crise de modèle de fonctio</w:t>
      </w:r>
      <w:r w:rsidR="003A3061" w:rsidRPr="00BB11AF">
        <w:t>n</w:t>
      </w:r>
      <w:r w:rsidR="003A3061" w:rsidRPr="00BB11AF">
        <w:t>nement. Après avoir suscité les rythmes de croissance les plus él</w:t>
      </w:r>
      <w:r w:rsidR="003A3061" w:rsidRPr="00BB11AF">
        <w:t>e</w:t>
      </w:r>
      <w:r w:rsidR="003A3061" w:rsidRPr="00BB11AF">
        <w:t>vés et les plus soutenus de toute l'histoire du capitalisme, les éléments du succès du boom économique des décennies postérieures à 1945 co</w:t>
      </w:r>
      <w:r w:rsidR="003A3061" w:rsidRPr="00BB11AF">
        <w:t>m</w:t>
      </w:r>
      <w:r w:rsidR="003A3061" w:rsidRPr="00BB11AF">
        <w:t>mencent à s'e</w:t>
      </w:r>
      <w:r w:rsidR="003A3061" w:rsidRPr="00BB11AF">
        <w:t>s</w:t>
      </w:r>
      <w:r w:rsidR="003A3061" w:rsidRPr="00BB11AF">
        <w:t>souffler avec une bai</w:t>
      </w:r>
      <w:r w:rsidR="003A3061" w:rsidRPr="00BB11AF">
        <w:t>s</w:t>
      </w:r>
      <w:r w:rsidR="003A3061" w:rsidRPr="00BB11AF">
        <w:t>se des taux de profit à la fin des années 1960 et leur affaissement d</w:t>
      </w:r>
      <w:r w:rsidR="003A3061" w:rsidRPr="00BB11AF">
        <w:t>u</w:t>
      </w:r>
      <w:r w:rsidR="003A3061" w:rsidRPr="00BB11AF">
        <w:t>rant les années 1970.</w:t>
      </w:r>
    </w:p>
    <w:p w:rsidR="003A3061" w:rsidRPr="00BB11AF" w:rsidRDefault="003A3061" w:rsidP="003A3061">
      <w:pPr>
        <w:spacing w:before="120" w:after="120"/>
        <w:jc w:val="both"/>
      </w:pPr>
      <w:r w:rsidRPr="00BB11AF">
        <w:t>Ils sont remplacés par le mode néolibéral de fonctionnement du capitalisme qui, des pays occ</w:t>
      </w:r>
      <w:r w:rsidRPr="00BB11AF">
        <w:t>i</w:t>
      </w:r>
      <w:r w:rsidRPr="00BB11AF">
        <w:t>dentaux, se diffuse au-delà. Malgré la pression sur les salaires, les taux de profit dans le secteur productif demeurent relativement faibles et l'activité se d</w:t>
      </w:r>
      <w:r w:rsidRPr="00BB11AF">
        <w:t>é</w:t>
      </w:r>
      <w:r w:rsidRPr="00BB11AF">
        <w:t>place vers le secteur financier qui connaît une croissance phénoménale. À la financiaris</w:t>
      </w:r>
      <w:r w:rsidRPr="00BB11AF">
        <w:t>a</w:t>
      </w:r>
      <w:r w:rsidRPr="00BB11AF">
        <w:t>tion s'ajoute une accélération de la mondialis</w:t>
      </w:r>
      <w:r w:rsidRPr="00BB11AF">
        <w:t>a</w:t>
      </w:r>
      <w:r w:rsidRPr="00BB11AF">
        <w:t>tion. L'État, ayant moins de ressources en raison de l'abaissement de la fiscalité des couches les plus fortunées, e</w:t>
      </w:r>
      <w:r w:rsidRPr="00BB11AF">
        <w:t>m</w:t>
      </w:r>
      <w:r w:rsidRPr="00BB11AF">
        <w:t>prunte davantage. Leurs revenus étant proches de la stagnation, les particuliers et les m</w:t>
      </w:r>
      <w:r w:rsidRPr="00BB11AF">
        <w:t>é</w:t>
      </w:r>
      <w:r w:rsidRPr="00BB11AF">
        <w:t>nages empruntent beaucoup. Ce modèle postule le fonctionnement de l'économie au moyen d'un ende</w:t>
      </w:r>
      <w:r w:rsidRPr="00BB11AF">
        <w:t>t</w:t>
      </w:r>
      <w:r w:rsidRPr="00BB11AF">
        <w:t>tement général</w:t>
      </w:r>
      <w:r w:rsidRPr="00BB11AF">
        <w:t>i</w:t>
      </w:r>
      <w:r w:rsidRPr="00BB11AF">
        <w:t>sé et entraîne la crise des crédits hypothécaires à risque (</w:t>
      </w:r>
      <w:r w:rsidRPr="00BB11AF">
        <w:rPr>
          <w:i/>
        </w:rPr>
        <w:t>subprimes</w:t>
      </w:r>
      <w:r w:rsidRPr="00BB11AF">
        <w:t>) en 2007- 2008.</w:t>
      </w:r>
    </w:p>
    <w:p w:rsidR="003A3061" w:rsidRPr="00BB11AF" w:rsidRDefault="003A3061" w:rsidP="003A3061">
      <w:pPr>
        <w:spacing w:before="120" w:after="120"/>
        <w:jc w:val="both"/>
      </w:pPr>
      <w:r w:rsidRPr="00BB11AF">
        <w:t>En 2011 se déploie un « printemps » arabe qui représente le dél</w:t>
      </w:r>
      <w:r w:rsidRPr="00BB11AF">
        <w:t>i</w:t>
      </w:r>
      <w:r w:rsidRPr="00BB11AF">
        <w:t>tement d'un ordre régional mis en place durant les années 1970-1980, en même temps que s'installait le modèle néolibéral en Occident. Parmi les caractéristiques de cet ordre figurent l'a</w:t>
      </w:r>
      <w:r w:rsidRPr="00BB11AF">
        <w:t>r</w:t>
      </w:r>
      <w:r w:rsidRPr="00BB11AF">
        <w:t>rêt des politiques post-indépendance de nationalisation, de planification et de dévelo</w:t>
      </w:r>
      <w:r w:rsidRPr="00BB11AF">
        <w:t>p</w:t>
      </w:r>
      <w:r w:rsidRPr="00BB11AF">
        <w:t>pement autocentré ; l'ouverture des marchés nationaux aux marcha</w:t>
      </w:r>
      <w:r w:rsidRPr="00BB11AF">
        <w:t>n</w:t>
      </w:r>
      <w:r w:rsidRPr="00BB11AF">
        <w:t>dises et aux capitaux étrangers (</w:t>
      </w:r>
      <w:r w:rsidRPr="00BB11AF">
        <w:rPr>
          <w:i/>
        </w:rPr>
        <w:t>infitah</w:t>
      </w:r>
      <w:r w:rsidRPr="00BB11AF">
        <w:t>) ; le déplacement de l'axe éc</w:t>
      </w:r>
      <w:r w:rsidRPr="00BB11AF">
        <w:t>o</w:t>
      </w:r>
      <w:r w:rsidRPr="00BB11AF">
        <w:t>nomique, politique et [46] idéologique du monde arabe vers les p</w:t>
      </w:r>
      <w:r w:rsidRPr="00BB11AF">
        <w:t>é</w:t>
      </w:r>
      <w:r w:rsidRPr="00BB11AF">
        <w:t>tromonarchies ; le reflux du rôle de l'État dans le développement éc</w:t>
      </w:r>
      <w:r w:rsidRPr="00BB11AF">
        <w:t>o</w:t>
      </w:r>
      <w:r w:rsidRPr="00BB11AF">
        <w:t>nomique, la r</w:t>
      </w:r>
      <w:r w:rsidRPr="00BB11AF">
        <w:t>e</w:t>
      </w:r>
      <w:r w:rsidRPr="00BB11AF">
        <w:t>distribution des revenus et les programmes sociaux ; la consolidation de régimes aut</w:t>
      </w:r>
      <w:r w:rsidRPr="00BB11AF">
        <w:t>o</w:t>
      </w:r>
      <w:r w:rsidRPr="00BB11AF">
        <w:t>ritaires, parfois claniques ; et la montée de l'islamisme.</w:t>
      </w:r>
    </w:p>
    <w:p w:rsidR="003A3061" w:rsidRPr="00BB11AF" w:rsidRDefault="003A3061" w:rsidP="003A3061">
      <w:pPr>
        <w:spacing w:before="120" w:after="120"/>
        <w:jc w:val="both"/>
      </w:pPr>
      <w:r w:rsidRPr="00BB11AF">
        <w:t>De prime abord, les peuples arabes se soulèvent pour leurs droits pol</w:t>
      </w:r>
      <w:r w:rsidRPr="00BB11AF">
        <w:t>i</w:t>
      </w:r>
      <w:r w:rsidRPr="00BB11AF">
        <w:t>tiques et individuels, pour l'État de droit, pour « la dignité ». Mais quels sont les facteurs économiques sous-jacents au « printemps » arabe ? Un « malfonctionnement » du système économique constitue-t-il un des éléments qui l'expliquent ? Y a-t-il une aggravation des conditions économiques ? Si oui, est-elle en rapport avec la crise qui éclate dans toute son ampleur en Occident en septembre 2008 ?</w:t>
      </w:r>
    </w:p>
    <w:p w:rsidR="003A3061" w:rsidRPr="00BB11AF" w:rsidRDefault="003A3061" w:rsidP="003A3061">
      <w:pPr>
        <w:spacing w:before="120" w:after="120"/>
        <w:jc w:val="both"/>
      </w:pPr>
      <w:r w:rsidRPr="00BB11AF">
        <w:t>Ce texte est un début de réponse à ces questions. Il cherche à s</w:t>
      </w:r>
      <w:r w:rsidRPr="00BB11AF">
        <w:t>a</w:t>
      </w:r>
      <w:r w:rsidRPr="00BB11AF">
        <w:t>voir s'il y a une relation entre la crise économique internati</w:t>
      </w:r>
      <w:r w:rsidRPr="00BB11AF">
        <w:t>o</w:t>
      </w:r>
      <w:r w:rsidRPr="00BB11AF">
        <w:t>nale et la crise des systèmes arabes ; il ne postule pas cette relation ni ne l'affi</w:t>
      </w:r>
      <w:r w:rsidRPr="00BB11AF">
        <w:t>r</w:t>
      </w:r>
      <w:r w:rsidRPr="00BB11AF">
        <w:t>me. Il vise à clarifier le rôle de la dimension économique dans le « pri</w:t>
      </w:r>
      <w:r w:rsidRPr="00BB11AF">
        <w:t>n</w:t>
      </w:r>
      <w:r w:rsidRPr="00BB11AF">
        <w:t>temps » arabe, sans écarter les dimensions politiques, sociales et autres ou établir de hiérarchie. Plus théoriquement, il revisite la que</w:t>
      </w:r>
      <w:r w:rsidRPr="00BB11AF">
        <w:t>s</w:t>
      </w:r>
      <w:r w:rsidRPr="00BB11AF">
        <w:t>tion des liaisons entre l'instance matérielle et l'instance politico-idéelle dans l'apparition des cr</w:t>
      </w:r>
      <w:r w:rsidRPr="00BB11AF">
        <w:t>i</w:t>
      </w:r>
      <w:r w:rsidRPr="00BB11AF">
        <w:t>ses. Vu l'ampleur de l'interrogation, le parti est pris ici de se focaliser sur un seul pays, le plus peuplé du monde ar</w:t>
      </w:r>
      <w:r w:rsidRPr="00BB11AF">
        <w:t>a</w:t>
      </w:r>
      <w:r w:rsidRPr="00BB11AF">
        <w:t>be, l'Égypte. Le recours aux données quantitatives sera indispe</w:t>
      </w:r>
      <w:r w:rsidRPr="00BB11AF">
        <w:t>n</w:t>
      </w:r>
      <w:r w:rsidRPr="00BB11AF">
        <w:t>sable pour étayer l'argument.</w:t>
      </w:r>
    </w:p>
    <w:p w:rsidR="003A3061" w:rsidRPr="00BB11AF" w:rsidRDefault="003A3061" w:rsidP="003A3061">
      <w:pPr>
        <w:spacing w:before="120" w:after="120"/>
        <w:jc w:val="both"/>
      </w:pPr>
      <w:r>
        <w:br w:type="page"/>
      </w:r>
    </w:p>
    <w:p w:rsidR="003A3061" w:rsidRPr="00BB11AF" w:rsidRDefault="003A3061" w:rsidP="003A3061">
      <w:pPr>
        <w:pStyle w:val="a"/>
      </w:pPr>
      <w:r w:rsidRPr="00BB11AF">
        <w:t>Préalables aux révolutions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Enchaînements complexes, les révolutions font converger un fai</w:t>
      </w:r>
      <w:r w:rsidRPr="00BB11AF">
        <w:t>s</w:t>
      </w:r>
      <w:r w:rsidRPr="00BB11AF">
        <w:t>ceau de crises ou d'impasses - politiques, idéologiques, éc</w:t>
      </w:r>
      <w:r w:rsidRPr="00BB11AF">
        <w:t>o</w:t>
      </w:r>
      <w:r w:rsidRPr="00BB11AF">
        <w:t>nomiques, etc. - qui, dans des conditions concrètes et une conjoncture spécifique, d</w:t>
      </w:r>
      <w:r w:rsidRPr="00BB11AF">
        <w:t>é</w:t>
      </w:r>
      <w:r w:rsidRPr="00BB11AF">
        <w:t>bouchent sur un bouleversement de l'ordre établi. Les révolutions n'étant pas des émanations spont</w:t>
      </w:r>
      <w:r w:rsidRPr="00BB11AF">
        <w:t>a</w:t>
      </w:r>
      <w:r w:rsidRPr="00BB11AF">
        <w:t>nées, il faut pour qu'elles aient lieu la réunion de circonstances et de situations propices. De manière g</w:t>
      </w:r>
      <w:r w:rsidRPr="00BB11AF">
        <w:t>é</w:t>
      </w:r>
      <w:r w:rsidRPr="00BB11AF">
        <w:t>nérale, sur le plan polit</w:t>
      </w:r>
      <w:r w:rsidRPr="00BB11AF">
        <w:t>i</w:t>
      </w:r>
      <w:r w:rsidRPr="00BB11AF">
        <w:t>que, on observe un système de gouvernement figé, contesté et manquant de légitimité, parce que dysfonctionnel ou incapable de se renouveler pour être en phase avec la société. Les échecs de tentatives de réforme accentuent une perte de confiance préparatoire à la rupture. Sur le plan idéologique, l'écart qui se creuse entre le(s) modèle(s) en place et des conceptions ou pri</w:t>
      </w:r>
      <w:r w:rsidRPr="00BB11AF">
        <w:t>n</w:t>
      </w:r>
      <w:r w:rsidRPr="00BB11AF">
        <w:t>cipes de plus en plus admis cesse d'être tolérable. Sur le plan économique, des se</w:t>
      </w:r>
      <w:r w:rsidRPr="00BB11AF">
        <w:t>g</w:t>
      </w:r>
      <w:r w:rsidRPr="00BB11AF">
        <w:t>ments significatifs de la population pa</w:t>
      </w:r>
      <w:r w:rsidRPr="00BB11AF">
        <w:t>r</w:t>
      </w:r>
      <w:r w:rsidRPr="00BB11AF">
        <w:t>viennent de moins en moins à assurer les conditions indispens</w:t>
      </w:r>
      <w:r w:rsidRPr="00BB11AF">
        <w:t>a</w:t>
      </w:r>
      <w:r w:rsidRPr="00BB11AF">
        <w:t>bles à leur vie matérielle. Enfin, des acteurs humains-groupes organisés et/ou masse populaire - intervie</w:t>
      </w:r>
      <w:r w:rsidRPr="00BB11AF">
        <w:t>n</w:t>
      </w:r>
      <w:r w:rsidRPr="00BB11AF">
        <w:t>nent pour porter les coups qui ébranlent les défenseurs du statu quo et entraînent sa désagrégation. Dans un dosage et une combinaison part</w:t>
      </w:r>
      <w:r w:rsidRPr="00BB11AF">
        <w:t>i</w:t>
      </w:r>
      <w:r w:rsidRPr="00BB11AF">
        <w:t>culiers à chaque contexte historique, ces facteurs font office de pr</w:t>
      </w:r>
      <w:r w:rsidRPr="00BB11AF">
        <w:t>é</w:t>
      </w:r>
      <w:r w:rsidRPr="00BB11AF">
        <w:t>alables ou de constantes pour les processus révolutionnaires.</w:t>
      </w:r>
    </w:p>
    <w:p w:rsidR="003A3061" w:rsidRPr="00BB11AF" w:rsidRDefault="003A3061" w:rsidP="003A3061">
      <w:pPr>
        <w:spacing w:before="120" w:after="120"/>
        <w:jc w:val="both"/>
      </w:pPr>
      <w:r w:rsidRPr="00BB11AF">
        <w:t>[47]</w:t>
      </w:r>
    </w:p>
    <w:p w:rsidR="003A3061" w:rsidRPr="00BB11AF" w:rsidRDefault="003A3061" w:rsidP="003A3061">
      <w:pPr>
        <w:spacing w:before="120" w:after="120"/>
        <w:jc w:val="both"/>
      </w:pPr>
      <w:r w:rsidRPr="00BB11AF">
        <w:t>À partir de trois révolutions, un historien de renom, Ernest L</w:t>
      </w:r>
      <w:r w:rsidRPr="00BB11AF">
        <w:t>a</w:t>
      </w:r>
      <w:r w:rsidRPr="00BB11AF">
        <w:t>brousse (1948), a, dans une célèbre communication, élaboré un mod</w:t>
      </w:r>
      <w:r w:rsidRPr="00BB11AF">
        <w:t>è</w:t>
      </w:r>
      <w:r w:rsidRPr="00BB11AF">
        <w:t>le expl</w:t>
      </w:r>
      <w:r w:rsidRPr="00BB11AF">
        <w:t>i</w:t>
      </w:r>
      <w:r w:rsidRPr="00BB11AF">
        <w:t>catif qui est devenu un classique sur l'enchaînement menant à l'écl</w:t>
      </w:r>
      <w:r w:rsidRPr="00BB11AF">
        <w:t>a</w:t>
      </w:r>
      <w:r w:rsidRPr="00BB11AF">
        <w:t>tement d'une révolution. Selon lui, en premier lieu se retrouve un « état de tension économique » : ma</w:t>
      </w:r>
      <w:r w:rsidRPr="00BB11AF">
        <w:t>u</w:t>
      </w:r>
      <w:r w:rsidRPr="00BB11AF">
        <w:t>vaise récolte, hausse du prix des subsistances, effondrement du pouvoir d'achat, mévente des pr</w:t>
      </w:r>
      <w:r w:rsidRPr="00BB11AF">
        <w:t>o</w:t>
      </w:r>
      <w:r w:rsidRPr="00BB11AF">
        <w:t>duits industriels, fermetures d'usines, chômage. La crise économique donne l'impulsion au processus révolutionnaire. Les difficultés éc</w:t>
      </w:r>
      <w:r w:rsidRPr="00BB11AF">
        <w:t>o</w:t>
      </w:r>
      <w:r w:rsidRPr="00BB11AF">
        <w:t>nomiques sont e</w:t>
      </w:r>
      <w:r w:rsidRPr="00BB11AF">
        <w:t>n</w:t>
      </w:r>
      <w:r w:rsidRPr="00BB11AF">
        <w:t>suite imputées au gouvernement, voire au régime. À la tension économique s'ajoute la tension politique. Tous les griefs économiques, sociaux et politiques sont réveillés par une crise éc</w:t>
      </w:r>
      <w:r w:rsidRPr="00BB11AF">
        <w:t>o</w:t>
      </w:r>
      <w:r w:rsidRPr="00BB11AF">
        <w:t>nomique, laquelle va aggraver les inégalités sociales. Les contest</w:t>
      </w:r>
      <w:r w:rsidRPr="00BB11AF">
        <w:t>a</w:t>
      </w:r>
      <w:r w:rsidRPr="00BB11AF">
        <w:t>taires de longue date, normalement une minorité, sont alors re</w:t>
      </w:r>
      <w:r w:rsidRPr="00BB11AF">
        <w:t>n</w:t>
      </w:r>
      <w:r w:rsidRPr="00BB11AF">
        <w:t>forcés par l'entrée en scène de la masse populaire, mobilisée par la crise économique et sans l</w:t>
      </w:r>
      <w:r w:rsidRPr="00BB11AF">
        <w:t>a</w:t>
      </w:r>
      <w:r w:rsidRPr="00BB11AF">
        <w:t>quelle il ne peut y avoir de soulèvement à grande échelle ou de pr</w:t>
      </w:r>
      <w:r w:rsidRPr="00BB11AF">
        <w:t>o</w:t>
      </w:r>
      <w:r w:rsidRPr="00BB11AF">
        <w:t>cessus révolutionnaire. Au sein du régime, des fi</w:t>
      </w:r>
      <w:r w:rsidRPr="00BB11AF">
        <w:t>s</w:t>
      </w:r>
      <w:r w:rsidRPr="00BB11AF">
        <w:t>sures apparaissent. Arrive en dernier lieu l'étincelle sous la forme d'une résistance, d'une provocation ou d'un coup de force de la part du pouvoir. Le mérite de ce modèle est de réunir l'ensemble des facteurs pertinents à un proce</w:t>
      </w:r>
      <w:r w:rsidRPr="00BB11AF">
        <w:t>s</w:t>
      </w:r>
      <w:r w:rsidRPr="00BB11AF">
        <w:t>sus révolutionnaire et de les articuler dans des relations dynamiques. Il est évoqué ici parce qu'il éclaire un processus révolutionnaire, tel le « printemps » arabe, et intègre l'économie parmi les facteurs explic</w:t>
      </w:r>
      <w:r w:rsidRPr="00BB11AF">
        <w:t>a</w:t>
      </w:r>
      <w:r w:rsidRPr="00BB11AF">
        <w:t>tifs. Le facteur économique, objet du présent texte, est souvent négligé dans les analyses du « printemps » arabe, qui se sont concentrées g</w:t>
      </w:r>
      <w:r w:rsidRPr="00BB11AF">
        <w:t>é</w:t>
      </w:r>
      <w:r w:rsidRPr="00BB11AF">
        <w:t>néralement sur l'autoritarisme, le déficit démocr</w:t>
      </w:r>
      <w:r w:rsidRPr="00BB11AF">
        <w:t>a</w:t>
      </w:r>
      <w:r w:rsidRPr="00BB11AF">
        <w:t>tique et l'absence de droits politiques.</w:t>
      </w:r>
    </w:p>
    <w:p w:rsidR="003A3061" w:rsidRPr="00BB11AF" w:rsidRDefault="003A3061" w:rsidP="003A3061">
      <w:pPr>
        <w:spacing w:before="120" w:after="120"/>
        <w:jc w:val="both"/>
      </w:pPr>
      <w:r w:rsidRPr="00BB11AF">
        <w:t xml:space="preserve">S'agissant de l'Égypte, le régime politique était en état de </w:t>
      </w:r>
      <w:r w:rsidRPr="00BB11AF">
        <w:rPr>
          <w:i/>
        </w:rPr>
        <w:t>stasis</w:t>
      </w:r>
      <w:r w:rsidRPr="00BB11AF">
        <w:t xml:space="preserve"> au moins depuis la mort de Sadate en 1981 et l'avènement de Moubarak au pouvoir (Pommier 2008, Tripp et Owen 1989). Élections truquées après élections truquées, les majorités obtenues excluaient toute opp</w:t>
      </w:r>
      <w:r w:rsidRPr="00BB11AF">
        <w:t>o</w:t>
      </w:r>
      <w:r w:rsidRPr="00BB11AF">
        <w:t>sition crédible. La dernière élection de l'ère Moubarak, celle de l'A</w:t>
      </w:r>
      <w:r w:rsidRPr="00BB11AF">
        <w:t>s</w:t>
      </w:r>
      <w:r w:rsidRPr="00BB11AF">
        <w:t>semblée du peuple (chambre basse), a lieu en octobre et novembre 2010, quelques semaines avant le soulèvement de janvier 2011. S</w:t>
      </w:r>
      <w:r w:rsidRPr="00BB11AF">
        <w:t>i</w:t>
      </w:r>
      <w:r w:rsidRPr="00BB11AF">
        <w:t>multanément se prép</w:t>
      </w:r>
      <w:r w:rsidRPr="00BB11AF">
        <w:t>a</w:t>
      </w:r>
      <w:r w:rsidRPr="00BB11AF">
        <w:t>rait la succession du président par son fils, un homme d'affaires nouveau riche et représentant des cercles d'affairi</w:t>
      </w:r>
      <w:r w:rsidRPr="00BB11AF">
        <w:t>s</w:t>
      </w:r>
      <w:r w:rsidRPr="00BB11AF">
        <w:t>tes qui entouraient la présidence. La sclérose du modèle de gouve</w:t>
      </w:r>
      <w:r w:rsidRPr="00BB11AF">
        <w:t>r</w:t>
      </w:r>
      <w:r w:rsidRPr="00BB11AF">
        <w:t>nance a</w:t>
      </w:r>
      <w:r w:rsidRPr="00BB11AF">
        <w:t>l</w:t>
      </w:r>
      <w:r w:rsidRPr="00BB11AF">
        <w:t>lait en s'aggravant et laissait peu d'espoir pour une évolution vers l'ouverture. Le hiatus entre l'autoritarisme de fait et les aspir</w:t>
      </w:r>
      <w:r w:rsidRPr="00BB11AF">
        <w:t>a</w:t>
      </w:r>
      <w:r w:rsidRPr="00BB11AF">
        <w:t>tions à la démocratisation était béant pour une société civile dont le niveau d'instruction s'élevait et dont la conscience du monde extérieur croissait.</w:t>
      </w:r>
    </w:p>
    <w:p w:rsidR="003A3061" w:rsidRPr="00BB11AF" w:rsidRDefault="003A3061" w:rsidP="003A3061">
      <w:pPr>
        <w:spacing w:before="120" w:after="120"/>
        <w:jc w:val="both"/>
      </w:pPr>
      <w:r w:rsidRPr="00BB11AF">
        <w:t>Au plan historique, il est des conjonctures où les carences polit</w:t>
      </w:r>
      <w:r w:rsidRPr="00BB11AF">
        <w:t>i</w:t>
      </w:r>
      <w:r w:rsidRPr="00BB11AF">
        <w:t>ques et les insuffisances en matière de droits et libertés personnels peuvent être supportables si la contrepartie est l'amélioration des conditions de vie et le développement économique. Cette espèce de co</w:t>
      </w:r>
      <w:r w:rsidRPr="00BB11AF">
        <w:t>n</w:t>
      </w:r>
      <w:r w:rsidRPr="00BB11AF">
        <w:t>trat social informel, souvent imposé par des circonstances de force majeure, suppose un troc entre les concessions politiques consenties par la population et le bien-être économique assuré par les gouve</w:t>
      </w:r>
      <w:r w:rsidRPr="00BB11AF">
        <w:t>r</w:t>
      </w:r>
      <w:r w:rsidRPr="00BB11AF">
        <w:t>nants. Si ces derniers ne sont plus en mesure de procurer les compe</w:t>
      </w:r>
      <w:r w:rsidRPr="00BB11AF">
        <w:t>n</w:t>
      </w:r>
      <w:r w:rsidRPr="00BB11AF">
        <w:t>sations éc</w:t>
      </w:r>
      <w:r w:rsidRPr="00BB11AF">
        <w:t>o</w:t>
      </w:r>
      <w:r w:rsidRPr="00BB11AF">
        <w:t>nomiques attendues d'eux, le pacte est alors [48] remis en question. L'Égypte était-elle dans cette configuration en 2011 ? Y avait-il aggravation des conditions économ</w:t>
      </w:r>
      <w:r w:rsidRPr="00BB11AF">
        <w:t>i</w:t>
      </w:r>
      <w:r w:rsidRPr="00BB11AF">
        <w:t>ques au point de susciter la contestation de l'ordre politique par de larges couches de la popul</w:t>
      </w:r>
      <w:r w:rsidRPr="00BB11AF">
        <w:t>a</w:t>
      </w:r>
      <w:r w:rsidRPr="00BB11AF">
        <w:t>tion ?</w:t>
      </w:r>
    </w:p>
    <w:p w:rsidR="003A3061" w:rsidRPr="00BB11AF" w:rsidRDefault="003A3061" w:rsidP="003A3061">
      <w:pPr>
        <w:spacing w:before="120" w:after="120"/>
        <w:jc w:val="both"/>
      </w:pPr>
    </w:p>
    <w:p w:rsidR="003A3061" w:rsidRPr="00BB11AF" w:rsidRDefault="003A3061" w:rsidP="003A3061">
      <w:pPr>
        <w:pStyle w:val="a"/>
      </w:pPr>
      <w:r w:rsidRPr="00BB11AF">
        <w:t>Physionomie de l'économie égyptienne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À la veille du soulèvement de janvier 2011, l'économie égy</w:t>
      </w:r>
      <w:r w:rsidRPr="00BB11AF">
        <w:t>p</w:t>
      </w:r>
      <w:r w:rsidRPr="00BB11AF">
        <w:t>tienne, comme beaucoup d'autres, est insérée dans l'économie mondiale basée sur la primauté du capital et des relations ma</w:t>
      </w:r>
      <w:r w:rsidRPr="00BB11AF">
        <w:t>r</w:t>
      </w:r>
      <w:r w:rsidRPr="00BB11AF">
        <w:t>chandes, et dominée par les centres occidentaux. En Égypte, ce</w:t>
      </w:r>
      <w:r w:rsidRPr="00BB11AF">
        <w:t>t</w:t>
      </w:r>
      <w:r w:rsidRPr="00BB11AF">
        <w:t>te insertion est le résultat d'un parcours heurté qui mérite d'être rappelé</w:t>
      </w:r>
      <w:r>
        <w:t> </w:t>
      </w:r>
      <w:r>
        <w:rPr>
          <w:rStyle w:val="Appelnotedebasdep"/>
        </w:rPr>
        <w:footnoteReference w:id="35"/>
      </w:r>
      <w:r w:rsidRPr="00BB11AF">
        <w:t>.</w:t>
      </w:r>
    </w:p>
    <w:p w:rsidR="003A3061" w:rsidRPr="00BB11AF" w:rsidRDefault="003A3061" w:rsidP="003A3061">
      <w:pPr>
        <w:spacing w:before="120" w:after="120"/>
        <w:jc w:val="both"/>
      </w:pPr>
      <w:r w:rsidRPr="00BB11AF">
        <w:t xml:space="preserve">L'Égypte est intégrée dans le marché mondial dès le début du </w:t>
      </w:r>
      <w:r w:rsidRPr="00BB11AF">
        <w:rPr>
          <w:rStyle w:val="Corpsdutexte275ptGras"/>
          <w:b w:val="0"/>
          <w:sz w:val="28"/>
          <w:lang w:val="fr-CA"/>
        </w:rPr>
        <w:t>XIX</w:t>
      </w:r>
      <w:r w:rsidRPr="00BB11AF">
        <w:rPr>
          <w:rStyle w:val="Corpsdutexte275ptGras"/>
          <w:b w:val="0"/>
          <w:sz w:val="28"/>
          <w:vertAlign w:val="superscript"/>
          <w:lang w:val="fr-CA"/>
        </w:rPr>
        <w:t>e</w:t>
      </w:r>
      <w:r w:rsidRPr="00BB11AF">
        <w:rPr>
          <w:rStyle w:val="Corpsdutexte275ptGras"/>
          <w:b w:val="0"/>
          <w:sz w:val="28"/>
          <w:lang w:val="fr-CA"/>
        </w:rPr>
        <w:t xml:space="preserve"> </w:t>
      </w:r>
      <w:r w:rsidRPr="00BB11AF">
        <w:t>siècle selon un schéma observé maintes fois. La révolution industrielle en Grande-Bretagne multiplie les produits à écouler et la politique br</w:t>
      </w:r>
      <w:r w:rsidRPr="00BB11AF">
        <w:t>i</w:t>
      </w:r>
      <w:r w:rsidRPr="00BB11AF">
        <w:t>tannique consiste à ouvrir des marchés ext</w:t>
      </w:r>
      <w:r w:rsidRPr="00BB11AF">
        <w:t>é</w:t>
      </w:r>
      <w:r w:rsidRPr="00BB11AF">
        <w:t>rieurs. La Grande-Bretagne a souvent recours à la force et aux traités de libre-échange qui abaissent les barrières tarifaires, laissant sans protection l'industrie locale et facilitant la pénétration des exportations britanniques. En 1839, un traité de libre-échange est imposé à l'Empire ottoman dont fait partie l'Égypte. Aussitôt, les textiles anglais bon marché sont d</w:t>
      </w:r>
      <w:r w:rsidRPr="00BB11AF">
        <w:t>é</w:t>
      </w:r>
      <w:r w:rsidRPr="00BB11AF">
        <w:t>versés dans le pays et l'industrie et l'artisanat locaux sont démantelés.</w:t>
      </w:r>
    </w:p>
    <w:p w:rsidR="003A3061" w:rsidRPr="00BB11AF" w:rsidRDefault="003A3061" w:rsidP="003A3061">
      <w:pPr>
        <w:spacing w:before="120" w:after="120"/>
        <w:jc w:val="both"/>
      </w:pPr>
      <w:r w:rsidRPr="00BB11AF">
        <w:t>L'engrenage se met en place. L'étouffement de la manufacture l</w:t>
      </w:r>
      <w:r w:rsidRPr="00BB11AF">
        <w:t>o</w:t>
      </w:r>
      <w:r w:rsidRPr="00BB11AF">
        <w:t>cale est suivi d'une transition vers les matières premières pour l'expo</w:t>
      </w:r>
      <w:r w:rsidRPr="00BB11AF">
        <w:t>r</w:t>
      </w:r>
      <w:r w:rsidRPr="00BB11AF">
        <w:t>tation en direction des centres industriels en Grande-Bretagne. C'est la nature ouverte de l'économie qui détermine ses orientations. La fabr</w:t>
      </w:r>
      <w:r w:rsidRPr="00BB11AF">
        <w:t>i</w:t>
      </w:r>
      <w:r w:rsidRPr="00BB11AF">
        <w:t>c</w:t>
      </w:r>
      <w:r w:rsidRPr="00BB11AF">
        <w:t>a</w:t>
      </w:r>
      <w:r w:rsidRPr="00BB11AF">
        <w:t>tion locale étant mise à mal par les importations de produits finis et l'industrie étrangère éliminant la concurrence, la production de mati</w:t>
      </w:r>
      <w:r w:rsidRPr="00BB11AF">
        <w:t>è</w:t>
      </w:r>
      <w:r w:rsidRPr="00BB11AF">
        <w:t>res premières recherchées par les centres industriels étrangers d</w:t>
      </w:r>
      <w:r w:rsidRPr="00BB11AF">
        <w:t>e</w:t>
      </w:r>
      <w:r w:rsidRPr="00BB11AF">
        <w:t>vient l'activité dominante de l'Égypte. On passe ainsi de la manufa</w:t>
      </w:r>
      <w:r w:rsidRPr="00BB11AF">
        <w:t>c</w:t>
      </w:r>
      <w:r w:rsidRPr="00BB11AF">
        <w:t>ture à la spécialisation dans la production de matières premières, selon les b</w:t>
      </w:r>
      <w:r w:rsidRPr="00BB11AF">
        <w:t>e</w:t>
      </w:r>
      <w:r w:rsidRPr="00BB11AF">
        <w:t>soins des économies industrielles. Le modèle imposé de « div</w:t>
      </w:r>
      <w:r w:rsidRPr="00BB11AF">
        <w:t>i</w:t>
      </w:r>
      <w:r w:rsidRPr="00BB11AF">
        <w:t>sion inte</w:t>
      </w:r>
      <w:r w:rsidRPr="00BB11AF">
        <w:t>r</w:t>
      </w:r>
      <w:r w:rsidRPr="00BB11AF">
        <w:t xml:space="preserve">nationale du travail » est typique du </w:t>
      </w:r>
      <w:r w:rsidRPr="00BB11AF">
        <w:rPr>
          <w:rStyle w:val="Corpsdutexte275ptGras"/>
          <w:b w:val="0"/>
          <w:sz w:val="28"/>
          <w:lang w:val="fr-CA"/>
        </w:rPr>
        <w:t>XIX</w:t>
      </w:r>
      <w:r w:rsidRPr="00BB11AF">
        <w:rPr>
          <w:rStyle w:val="Corpsdutexte275ptGras"/>
          <w:b w:val="0"/>
          <w:sz w:val="28"/>
          <w:vertAlign w:val="superscript"/>
          <w:lang w:val="fr-CA"/>
        </w:rPr>
        <w:t>e</w:t>
      </w:r>
      <w:r w:rsidRPr="00BB11AF">
        <w:rPr>
          <w:rStyle w:val="Corpsdutexte275ptGras"/>
          <w:b w:val="0"/>
          <w:sz w:val="28"/>
          <w:lang w:val="fr-CA"/>
        </w:rPr>
        <w:t xml:space="preserve"> </w:t>
      </w:r>
      <w:r w:rsidRPr="00BB11AF">
        <w:t xml:space="preserve">siècle et de la plus grande partie du </w:t>
      </w:r>
      <w:r w:rsidRPr="00BB11AF">
        <w:rPr>
          <w:rStyle w:val="Corpsdutexte275ptGras"/>
          <w:b w:val="0"/>
          <w:sz w:val="28"/>
          <w:lang w:val="fr-CA"/>
        </w:rPr>
        <w:t>XX</w:t>
      </w:r>
      <w:r w:rsidRPr="00BB11AF">
        <w:rPr>
          <w:rStyle w:val="Corpsdutexte275ptGras"/>
          <w:b w:val="0"/>
          <w:sz w:val="28"/>
          <w:vertAlign w:val="superscript"/>
          <w:lang w:val="fr-CA"/>
        </w:rPr>
        <w:t>e</w:t>
      </w:r>
      <w:r w:rsidRPr="00BB11AF">
        <w:rPr>
          <w:rStyle w:val="Corpsdutexte275ptGras"/>
          <w:b w:val="0"/>
          <w:sz w:val="28"/>
          <w:lang w:val="fr-CA"/>
        </w:rPr>
        <w:t xml:space="preserve"> </w:t>
      </w:r>
      <w:r w:rsidRPr="00BB11AF">
        <w:t>siècle.</w:t>
      </w:r>
    </w:p>
    <w:p w:rsidR="003A3061" w:rsidRPr="00BB11AF" w:rsidRDefault="003A3061" w:rsidP="003A3061">
      <w:pPr>
        <w:spacing w:before="120" w:after="120"/>
        <w:jc w:val="both"/>
      </w:pPr>
      <w:r w:rsidRPr="00BB11AF">
        <w:t>En Égypte, la matière première exportable est le coton et les usines britanniques en sont avides. Développer sa culture, son transport et son acheminement vers l'extérieur conduit à l'ende</w:t>
      </w:r>
      <w:r w:rsidRPr="00BB11AF">
        <w:t>t</w:t>
      </w:r>
      <w:r w:rsidRPr="00BB11AF">
        <w:t>tement auprès de la finance européenne, à la banqueroute et à l'invasion de l'Égypte par la Grande-Bretagne en 1882. La culture du coton s'étend inexorabl</w:t>
      </w:r>
      <w:r w:rsidRPr="00BB11AF">
        <w:t>e</w:t>
      </w:r>
      <w:r w:rsidRPr="00BB11AF">
        <w:t>ment, l'Égypte devenant une vaste plantation aux mains d'une couche de grands propriétaires te</w:t>
      </w:r>
      <w:r w:rsidRPr="00BB11AF">
        <w:t>r</w:t>
      </w:r>
      <w:r w:rsidRPr="00BB11AF">
        <w:t>riens associés à l'occupant britannique et à un monarque docile. C'est cette structure qui est mise en cause par la décolonisation.</w:t>
      </w:r>
    </w:p>
    <w:p w:rsidR="003A3061" w:rsidRPr="00BB11AF" w:rsidRDefault="003A3061" w:rsidP="003A3061">
      <w:pPr>
        <w:spacing w:before="120" w:after="120"/>
        <w:jc w:val="both"/>
      </w:pPr>
      <w:r w:rsidRPr="00BB11AF">
        <w:t>[49]</w:t>
      </w:r>
    </w:p>
    <w:p w:rsidR="003A3061" w:rsidRPr="00BB11AF" w:rsidRDefault="003A3061" w:rsidP="003A3061">
      <w:pPr>
        <w:spacing w:before="120" w:after="120"/>
        <w:jc w:val="both"/>
      </w:pPr>
      <w:r w:rsidRPr="00BB11AF">
        <w:t>Au-delà de l'indépendance politique, la priorité de cette p</w:t>
      </w:r>
      <w:r w:rsidRPr="00BB11AF">
        <w:t>é</w:t>
      </w:r>
      <w:r w:rsidRPr="00BB11AF">
        <w:t>riode de décolonisation est au remodelage de l'économie en vue de mettre fin au sous-développement basé sur la monoculture, à l'appauvrissement de la population et à la soumission aux aléas du marché international. Réaliser le développement exige le passage d'une spécialisation forcée dans la production et l'exportation du coton à la promotion de l'indu</w:t>
      </w:r>
      <w:r w:rsidRPr="00BB11AF">
        <w:t>s</w:t>
      </w:r>
      <w:r w:rsidRPr="00BB11AF">
        <w:t>trie et la transformation sur place. Cette transition va à contresens des structures et du fonctionnement du marché mondial, car elle implique la substitution des produits locaux aux produits importés. D'où la n</w:t>
      </w:r>
      <w:r w:rsidRPr="00BB11AF">
        <w:t>é</w:t>
      </w:r>
      <w:r w:rsidRPr="00BB11AF">
        <w:t>cessité de s'en distancier par des mesures de protection, de planific</w:t>
      </w:r>
      <w:r w:rsidRPr="00BB11AF">
        <w:t>a</w:t>
      </w:r>
      <w:r w:rsidRPr="00BB11AF">
        <w:t>tion et de nationalisation des secteurs économiques clés à f</w:t>
      </w:r>
      <w:r w:rsidRPr="00BB11AF">
        <w:t>a</w:t>
      </w:r>
      <w:r w:rsidRPr="00BB11AF">
        <w:t>voriser par les pouvoirs publics. Par conséquent, l'économie « autocentrée » re</w:t>
      </w:r>
      <w:r w:rsidRPr="00BB11AF">
        <w:t>m</w:t>
      </w:r>
      <w:r w:rsidRPr="00BB11AF">
        <w:t>place l'économie « extravertie ».</w:t>
      </w:r>
    </w:p>
    <w:p w:rsidR="003A3061" w:rsidRPr="00BB11AF" w:rsidRDefault="003A3061" w:rsidP="003A3061">
      <w:pPr>
        <w:spacing w:before="120" w:after="120"/>
        <w:jc w:val="both"/>
      </w:pPr>
      <w:r w:rsidRPr="00BB11AF">
        <w:t>Ce modèle est celui de l'Égypte de Gamal Abdel Nasser d</w:t>
      </w:r>
      <w:r w:rsidRPr="00BB11AF">
        <w:t>u</w:t>
      </w:r>
      <w:r w:rsidRPr="00BB11AF">
        <w:t>rant les années 1950 et 1960. Il correspond aux idées devenues dominantes dans l'après-guerre. Apparentes au cours des années 1960, les failles du modèle sont aggravées par la guerre de 1967 contre Israël, laquelle entraîne la perte des revenus du canal de Suez et du pétrole du Sinaï, ainsi que la prolongation de l'état de guerre pendant une décennie. L'Égypte est épuisée sur le plan économique. La présidence d'Anouar al-Sadate (1970-1981) met en marche une « dénassérisation » dont l'un des volets est la l</w:t>
      </w:r>
      <w:r w:rsidRPr="00BB11AF">
        <w:t>i</w:t>
      </w:r>
      <w:r w:rsidRPr="00BB11AF">
        <w:t>béralisation de l'import-export et l'ouverture des frontières aux produits et aux capitaux étrangers. C'est la politique de l'infitah proclamée en 1974. Cependant l'économie continue à être contrôlée par l'État et le secteur public demeure dominant.</w:t>
      </w:r>
    </w:p>
    <w:p w:rsidR="003A3061" w:rsidRPr="00BB11AF" w:rsidRDefault="003A3061" w:rsidP="003A3061">
      <w:pPr>
        <w:spacing w:before="120" w:after="120"/>
        <w:jc w:val="both"/>
      </w:pPr>
      <w:r w:rsidRPr="00BB11AF">
        <w:t>Hosni Moubarak, vice-président de la République, devient le chef de l'État à la suite de l'assassinat de Sadate en 1981 et conserve cette fonction jusqu'en 2011. Durant les années 1980, l'Égypte, comme d'autres pays, est étranglée par l'endettement. Les créanciers acceptent la restructuration de sa dette extérieure et le maintien des flux de cr</w:t>
      </w:r>
      <w:r w:rsidRPr="00BB11AF">
        <w:t>é</w:t>
      </w:r>
      <w:r w:rsidRPr="00BB11AF">
        <w:t>dit, mais seulement contre l'acceptation par l'Égypte en 1991 d'un Programme d'ajustement structurel (PAS) prescrit par le FMI et co</w:t>
      </w:r>
      <w:r w:rsidRPr="00BB11AF">
        <w:t>m</w:t>
      </w:r>
      <w:r w:rsidRPr="00BB11AF">
        <w:t>portant les mesures néol</w:t>
      </w:r>
      <w:r w:rsidRPr="00BB11AF">
        <w:t>i</w:t>
      </w:r>
      <w:r w:rsidRPr="00BB11AF">
        <w:t>bérales usuelles : baisse des dépenses sur les services sociaux et des subventions pour les produits de première n</w:t>
      </w:r>
      <w:r w:rsidRPr="00BB11AF">
        <w:t>é</w:t>
      </w:r>
      <w:r w:rsidRPr="00BB11AF">
        <w:t>cessité, relâchement du contrôle des prix, déréglementation, privatis</w:t>
      </w:r>
      <w:r w:rsidRPr="00BB11AF">
        <w:t>a</w:t>
      </w:r>
      <w:r w:rsidRPr="00BB11AF">
        <w:t>tion des entreprises d'État. Les changements touchent de nombreux Égyptiens et la moitié de la population doit acquérir les produits al</w:t>
      </w:r>
      <w:r w:rsidRPr="00BB11AF">
        <w:t>i</w:t>
      </w:r>
      <w:r w:rsidRPr="00BB11AF">
        <w:t>mentaires de base (pain, farine, sucre, huile de cuisson, etc.) à des prix subventionnés par l'État. L'économie planifiée est définitivement éca</w:t>
      </w:r>
      <w:r w:rsidRPr="00BB11AF">
        <w:t>r</w:t>
      </w:r>
      <w:r w:rsidRPr="00BB11AF">
        <w:t>tée au profit de l'économie de marché.</w:t>
      </w:r>
    </w:p>
    <w:p w:rsidR="003A3061" w:rsidRPr="00BB11AF" w:rsidRDefault="003A3061" w:rsidP="003A3061">
      <w:pPr>
        <w:spacing w:before="120" w:after="120"/>
        <w:jc w:val="both"/>
      </w:pPr>
      <w:r w:rsidRPr="00BB11AF">
        <w:t>En 1996, c'est un programme de privatisation qui se met en branle en vue de transférer les grands pôles de l'économie des mains de l'État à celles des milieux d'affaires. Dix ans plus tard, les deux tiers des quelque 300 plus grandes sociétés publiques sont entièrement ou pa</w:t>
      </w:r>
      <w:r w:rsidRPr="00BB11AF">
        <w:t>r</w:t>
      </w:r>
      <w:r w:rsidRPr="00BB11AF">
        <w:t>tiellement cédés à des particuliers dans des conditions discutables, illustration du capitalisme des c</w:t>
      </w:r>
      <w:r w:rsidRPr="00BB11AF">
        <w:t>o</w:t>
      </w:r>
      <w:r w:rsidRPr="00BB11AF">
        <w:t>pains (</w:t>
      </w:r>
      <w:r w:rsidRPr="00BB11AF">
        <w:rPr>
          <w:i/>
        </w:rPr>
        <w:t>crony capitalism</w:t>
      </w:r>
      <w:r w:rsidRPr="00BB11AF">
        <w:t>).</w:t>
      </w:r>
    </w:p>
    <w:p w:rsidR="003A3061" w:rsidRPr="00BB11AF" w:rsidRDefault="003A3061" w:rsidP="003A3061">
      <w:pPr>
        <w:spacing w:before="120" w:after="120"/>
        <w:jc w:val="both"/>
      </w:pPr>
      <w:r w:rsidRPr="00BB11AF">
        <w:t>[50]</w:t>
      </w:r>
    </w:p>
    <w:p w:rsidR="003A3061" w:rsidRPr="00BB11AF" w:rsidRDefault="003A3061" w:rsidP="003A3061">
      <w:pPr>
        <w:spacing w:before="120" w:after="120"/>
        <w:jc w:val="both"/>
      </w:pPr>
      <w:r w:rsidRPr="00BB11AF">
        <w:t>Entré en fonction en 2004, un nouveau gouvernement est chargé d'a</w:t>
      </w:r>
      <w:r w:rsidRPr="00BB11AF">
        <w:t>p</w:t>
      </w:r>
      <w:r w:rsidRPr="00BB11AF">
        <w:t>pliquer un programme qui accélère la cadence de la libéralisation de l'économie. Conformément au programme, presque tous les actifs de l'État deviennent aliénables, en part</w:t>
      </w:r>
      <w:r w:rsidRPr="00BB11AF">
        <w:t>i</w:t>
      </w:r>
      <w:r w:rsidRPr="00BB11AF">
        <w:t>culier les télécommunications et les banques ; les tarifs douaniers sont abaissés et l'administration douanière simplifiée ; le taux supérieur d'imposition fiscale est ramené au niveau moyen ; des facilités sont offertes aux détenteurs de cap</w:t>
      </w:r>
      <w:r w:rsidRPr="00BB11AF">
        <w:t>i</w:t>
      </w:r>
      <w:r w:rsidRPr="00BB11AF">
        <w:t>taux afin d'att</w:t>
      </w:r>
      <w:r w:rsidRPr="00BB11AF">
        <w:t>i</w:t>
      </w:r>
      <w:r w:rsidRPr="00BB11AF">
        <w:t>rer vers l'Égypte l'investissement direct étranger (IDE). L'obje</w:t>
      </w:r>
      <w:r w:rsidRPr="00BB11AF">
        <w:t>c</w:t>
      </w:r>
      <w:r w:rsidRPr="00BB11AF">
        <w:t>tif est de créer un climat attractif pour les capitaux étrangers. Son économie étant ouverte, l'Égypte s'inscrit dans le courant de la mondialisation et elle opère un retour vers l'état qui était le sien entre les années médianes du XIX</w:t>
      </w:r>
      <w:r w:rsidRPr="00BB11AF">
        <w:rPr>
          <w:vertAlign w:val="superscript"/>
        </w:rPr>
        <w:t>e</w:t>
      </w:r>
      <w:r w:rsidRPr="00BB11AF">
        <w:t xml:space="preserve"> siècle et les années m</w:t>
      </w:r>
      <w:r w:rsidRPr="00BB11AF">
        <w:t>é</w:t>
      </w:r>
      <w:r w:rsidRPr="00BB11AF">
        <w:t>dianes du XX</w:t>
      </w:r>
      <w:r w:rsidRPr="00BB11AF">
        <w:rPr>
          <w:vertAlign w:val="superscript"/>
        </w:rPr>
        <w:t>e</w:t>
      </w:r>
      <w:r w:rsidRPr="00BB11AF">
        <w:t xml:space="preserve"> siècle.</w:t>
      </w:r>
    </w:p>
    <w:p w:rsidR="003A3061" w:rsidRPr="00BB11AF" w:rsidRDefault="003A3061" w:rsidP="003A3061">
      <w:pPr>
        <w:spacing w:before="120" w:after="120"/>
        <w:jc w:val="both"/>
      </w:pPr>
      <w:r>
        <w:br w:type="page"/>
      </w:r>
    </w:p>
    <w:p w:rsidR="003A3061" w:rsidRPr="00BB11AF" w:rsidRDefault="003A3061" w:rsidP="003A3061">
      <w:pPr>
        <w:pStyle w:val="planche"/>
      </w:pPr>
      <w:r w:rsidRPr="00BB11AF">
        <w:t xml:space="preserve">Conséquences de l'ouverture économique, </w:t>
      </w:r>
      <w:r w:rsidRPr="00BB11AF">
        <w:br/>
        <w:t xml:space="preserve">jusqu'à la crise de </w:t>
      </w:r>
      <w:r w:rsidRPr="00BB11AF">
        <w:rPr>
          <w:bCs/>
        </w:rPr>
        <w:t>2008</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Les mesures de 2004 atteignent le premier but recherché, soit une entrée accrue de capitaux étrangers, principalement des États-Unis, de l'Europe et des autres pays arabes. Seulement 0,5% du PIB en 2003-2004, l'IDE en représente 8,1% en 2007-2008 (Ministry of Finance 2009 :1).</w:t>
      </w:r>
    </w:p>
    <w:p w:rsidR="003A3061" w:rsidRPr="00BB11AF" w:rsidRDefault="003A3061" w:rsidP="003A3061">
      <w:pPr>
        <w:spacing w:before="120" w:after="120"/>
        <w:jc w:val="both"/>
      </w:pPr>
    </w:p>
    <w:p w:rsidR="003A3061" w:rsidRPr="00BB11AF" w:rsidRDefault="003A3061" w:rsidP="003A3061">
      <w:pPr>
        <w:spacing w:before="120" w:after="120"/>
        <w:ind w:firstLine="0"/>
        <w:jc w:val="center"/>
        <w:rPr>
          <w:b/>
          <w:bCs/>
          <w:sz w:val="24"/>
          <w:szCs w:val="24"/>
        </w:rPr>
      </w:pPr>
      <w:r w:rsidRPr="00BB11AF">
        <w:rPr>
          <w:b/>
          <w:bCs/>
          <w:sz w:val="24"/>
          <w:szCs w:val="24"/>
        </w:rPr>
        <w:t>Tableau 1</w:t>
      </w:r>
      <w:r w:rsidRPr="00BB11AF">
        <w:rPr>
          <w:b/>
          <w:bCs/>
          <w:sz w:val="24"/>
          <w:szCs w:val="24"/>
        </w:rPr>
        <w:br/>
        <w:t>Entrée nette d'investissements directs étrangers (IDE)</w:t>
      </w:r>
    </w:p>
    <w:tbl>
      <w:tblPr>
        <w:tblW w:w="0" w:type="auto"/>
        <w:tblLook w:val="00BF" w:firstRow="1" w:lastRow="0" w:firstColumn="1" w:lastColumn="0" w:noHBand="0" w:noVBand="0"/>
      </w:tblPr>
      <w:tblGrid>
        <w:gridCol w:w="4030"/>
        <w:gridCol w:w="4030"/>
      </w:tblGrid>
      <w:tr w:rsidR="003A3061" w:rsidRPr="00BB11AF">
        <w:tc>
          <w:tcPr>
            <w:tcW w:w="4030" w:type="dxa"/>
            <w:tcBorders>
              <w:top w:val="single" w:sz="12" w:space="0" w:color="auto"/>
              <w:bottom w:val="single" w:sz="12" w:space="0" w:color="auto"/>
            </w:tcBorders>
            <w:shd w:val="clear" w:color="auto" w:fill="EAF1DD"/>
          </w:tcPr>
          <w:p w:rsidR="003A3061" w:rsidRPr="00BB11AF" w:rsidRDefault="003A3061" w:rsidP="003A3061">
            <w:pPr>
              <w:spacing w:before="120" w:after="120"/>
              <w:ind w:firstLine="0"/>
              <w:jc w:val="center"/>
              <w:rPr>
                <w:sz w:val="24"/>
              </w:rPr>
            </w:pPr>
            <w:r w:rsidRPr="00BB11AF">
              <w:rPr>
                <w:sz w:val="24"/>
              </w:rPr>
              <w:t>Année</w:t>
            </w:r>
          </w:p>
        </w:tc>
        <w:tc>
          <w:tcPr>
            <w:tcW w:w="4030" w:type="dxa"/>
            <w:tcBorders>
              <w:top w:val="single" w:sz="12" w:space="0" w:color="auto"/>
              <w:bottom w:val="single" w:sz="12" w:space="0" w:color="auto"/>
            </w:tcBorders>
            <w:shd w:val="clear" w:color="auto" w:fill="EAF1DD"/>
          </w:tcPr>
          <w:p w:rsidR="003A3061" w:rsidRPr="00BB11AF" w:rsidRDefault="003A3061" w:rsidP="003A3061">
            <w:pPr>
              <w:spacing w:before="120" w:after="120"/>
              <w:ind w:firstLine="0"/>
              <w:jc w:val="center"/>
              <w:rPr>
                <w:sz w:val="24"/>
              </w:rPr>
            </w:pPr>
            <w:r w:rsidRPr="00BB11AF">
              <w:rPr>
                <w:sz w:val="24"/>
              </w:rPr>
              <w:t>Investissements directs étrangers</w:t>
            </w:r>
            <w:r w:rsidRPr="00BB11AF">
              <w:rPr>
                <w:sz w:val="24"/>
              </w:rPr>
              <w:br/>
              <w:t>(milliards de s US)</w:t>
            </w:r>
          </w:p>
        </w:tc>
      </w:tr>
      <w:tr w:rsidR="003A3061" w:rsidRPr="00BB11AF">
        <w:tc>
          <w:tcPr>
            <w:tcW w:w="4030" w:type="dxa"/>
            <w:tcBorders>
              <w:top w:val="single" w:sz="12" w:space="0" w:color="auto"/>
            </w:tcBorders>
          </w:tcPr>
          <w:p w:rsidR="003A3061" w:rsidRPr="00BB11AF" w:rsidRDefault="003A3061" w:rsidP="003A3061">
            <w:pPr>
              <w:spacing w:before="120"/>
              <w:ind w:firstLine="0"/>
              <w:jc w:val="center"/>
              <w:rPr>
                <w:sz w:val="24"/>
              </w:rPr>
            </w:pPr>
            <w:r w:rsidRPr="00BB11AF">
              <w:rPr>
                <w:sz w:val="24"/>
              </w:rPr>
              <w:t>2001-2002</w:t>
            </w:r>
          </w:p>
        </w:tc>
        <w:tc>
          <w:tcPr>
            <w:tcW w:w="4030" w:type="dxa"/>
            <w:tcBorders>
              <w:top w:val="single" w:sz="12" w:space="0" w:color="auto"/>
            </w:tcBorders>
          </w:tcPr>
          <w:p w:rsidR="003A3061" w:rsidRPr="00BB11AF" w:rsidRDefault="003A3061" w:rsidP="003A3061">
            <w:pPr>
              <w:spacing w:before="120"/>
              <w:ind w:firstLine="0"/>
              <w:jc w:val="center"/>
              <w:rPr>
                <w:sz w:val="24"/>
              </w:rPr>
            </w:pPr>
            <w:r w:rsidRPr="00BB11AF">
              <w:rPr>
                <w:sz w:val="24"/>
              </w:rPr>
              <w:t>0,4</w:t>
            </w:r>
          </w:p>
        </w:tc>
      </w:tr>
      <w:tr w:rsidR="003A3061" w:rsidRPr="00BB11AF">
        <w:tc>
          <w:tcPr>
            <w:tcW w:w="4030" w:type="dxa"/>
          </w:tcPr>
          <w:p w:rsidR="003A3061" w:rsidRPr="00BB11AF" w:rsidRDefault="003A3061" w:rsidP="003A3061">
            <w:pPr>
              <w:ind w:firstLine="0"/>
              <w:jc w:val="center"/>
              <w:rPr>
                <w:sz w:val="24"/>
              </w:rPr>
            </w:pPr>
            <w:r w:rsidRPr="00BB11AF">
              <w:rPr>
                <w:sz w:val="24"/>
              </w:rPr>
              <w:t>2002-2003</w:t>
            </w:r>
          </w:p>
        </w:tc>
        <w:tc>
          <w:tcPr>
            <w:tcW w:w="4030" w:type="dxa"/>
          </w:tcPr>
          <w:p w:rsidR="003A3061" w:rsidRPr="00BB11AF" w:rsidRDefault="003A3061" w:rsidP="003A3061">
            <w:pPr>
              <w:ind w:firstLine="0"/>
              <w:jc w:val="center"/>
              <w:rPr>
                <w:sz w:val="24"/>
              </w:rPr>
            </w:pPr>
            <w:r w:rsidRPr="00BB11AF">
              <w:rPr>
                <w:sz w:val="24"/>
              </w:rPr>
              <w:t>0,7</w:t>
            </w:r>
          </w:p>
        </w:tc>
      </w:tr>
      <w:tr w:rsidR="003A3061" w:rsidRPr="00BB11AF">
        <w:tc>
          <w:tcPr>
            <w:tcW w:w="4030" w:type="dxa"/>
          </w:tcPr>
          <w:p w:rsidR="003A3061" w:rsidRPr="00BB11AF" w:rsidRDefault="003A3061" w:rsidP="003A3061">
            <w:pPr>
              <w:ind w:firstLine="0"/>
              <w:jc w:val="center"/>
              <w:rPr>
                <w:sz w:val="24"/>
              </w:rPr>
            </w:pPr>
            <w:r w:rsidRPr="00BB11AF">
              <w:rPr>
                <w:sz w:val="24"/>
              </w:rPr>
              <w:t>2003-2004</w:t>
            </w:r>
          </w:p>
        </w:tc>
        <w:tc>
          <w:tcPr>
            <w:tcW w:w="4030" w:type="dxa"/>
          </w:tcPr>
          <w:p w:rsidR="003A3061" w:rsidRPr="00BB11AF" w:rsidRDefault="003A3061" w:rsidP="003A3061">
            <w:pPr>
              <w:ind w:firstLine="0"/>
              <w:jc w:val="center"/>
              <w:rPr>
                <w:sz w:val="24"/>
              </w:rPr>
            </w:pPr>
            <w:r w:rsidRPr="00BB11AF">
              <w:rPr>
                <w:sz w:val="24"/>
              </w:rPr>
              <w:t>2,1</w:t>
            </w:r>
          </w:p>
        </w:tc>
      </w:tr>
      <w:tr w:rsidR="003A3061" w:rsidRPr="00BB11AF">
        <w:tc>
          <w:tcPr>
            <w:tcW w:w="4030" w:type="dxa"/>
          </w:tcPr>
          <w:p w:rsidR="003A3061" w:rsidRPr="00BB11AF" w:rsidRDefault="003A3061" w:rsidP="003A3061">
            <w:pPr>
              <w:ind w:firstLine="0"/>
              <w:jc w:val="center"/>
              <w:rPr>
                <w:sz w:val="24"/>
              </w:rPr>
            </w:pPr>
            <w:r w:rsidRPr="00BB11AF">
              <w:rPr>
                <w:sz w:val="24"/>
              </w:rPr>
              <w:t>2004-2005</w:t>
            </w:r>
          </w:p>
        </w:tc>
        <w:tc>
          <w:tcPr>
            <w:tcW w:w="4030" w:type="dxa"/>
          </w:tcPr>
          <w:p w:rsidR="003A3061" w:rsidRPr="00BB11AF" w:rsidRDefault="003A3061" w:rsidP="003A3061">
            <w:pPr>
              <w:ind w:firstLine="0"/>
              <w:jc w:val="center"/>
              <w:rPr>
                <w:sz w:val="24"/>
              </w:rPr>
            </w:pPr>
            <w:r w:rsidRPr="00BB11AF">
              <w:rPr>
                <w:sz w:val="24"/>
              </w:rPr>
              <w:t>3,9</w:t>
            </w:r>
          </w:p>
        </w:tc>
      </w:tr>
      <w:tr w:rsidR="003A3061" w:rsidRPr="00BB11AF">
        <w:tc>
          <w:tcPr>
            <w:tcW w:w="4030" w:type="dxa"/>
          </w:tcPr>
          <w:p w:rsidR="003A3061" w:rsidRPr="00BB11AF" w:rsidRDefault="003A3061" w:rsidP="003A3061">
            <w:pPr>
              <w:ind w:firstLine="0"/>
              <w:jc w:val="center"/>
              <w:rPr>
                <w:sz w:val="24"/>
              </w:rPr>
            </w:pPr>
            <w:r w:rsidRPr="00BB11AF">
              <w:rPr>
                <w:sz w:val="24"/>
              </w:rPr>
              <w:t>2005-2006</w:t>
            </w:r>
          </w:p>
        </w:tc>
        <w:tc>
          <w:tcPr>
            <w:tcW w:w="4030" w:type="dxa"/>
          </w:tcPr>
          <w:p w:rsidR="003A3061" w:rsidRPr="00BB11AF" w:rsidRDefault="003A3061" w:rsidP="003A3061">
            <w:pPr>
              <w:ind w:firstLine="0"/>
              <w:jc w:val="center"/>
              <w:rPr>
                <w:sz w:val="24"/>
              </w:rPr>
            </w:pPr>
            <w:r w:rsidRPr="00BB11AF">
              <w:rPr>
                <w:sz w:val="24"/>
              </w:rPr>
              <w:t>6,1</w:t>
            </w:r>
          </w:p>
        </w:tc>
      </w:tr>
      <w:tr w:rsidR="003A3061" w:rsidRPr="00BB11AF">
        <w:tc>
          <w:tcPr>
            <w:tcW w:w="4030" w:type="dxa"/>
          </w:tcPr>
          <w:p w:rsidR="003A3061" w:rsidRPr="00BB11AF" w:rsidRDefault="003A3061" w:rsidP="003A3061">
            <w:pPr>
              <w:ind w:firstLine="0"/>
              <w:jc w:val="center"/>
              <w:rPr>
                <w:sz w:val="24"/>
              </w:rPr>
            </w:pPr>
            <w:r w:rsidRPr="00BB11AF">
              <w:rPr>
                <w:sz w:val="24"/>
              </w:rPr>
              <w:t>2006-2007</w:t>
            </w:r>
          </w:p>
        </w:tc>
        <w:tc>
          <w:tcPr>
            <w:tcW w:w="4030" w:type="dxa"/>
          </w:tcPr>
          <w:p w:rsidR="003A3061" w:rsidRPr="00BB11AF" w:rsidRDefault="003A3061" w:rsidP="003A3061">
            <w:pPr>
              <w:ind w:firstLine="0"/>
              <w:jc w:val="center"/>
              <w:rPr>
                <w:sz w:val="24"/>
              </w:rPr>
            </w:pPr>
            <w:r w:rsidRPr="00BB11AF">
              <w:rPr>
                <w:sz w:val="24"/>
              </w:rPr>
              <w:t>11,1</w:t>
            </w:r>
          </w:p>
        </w:tc>
      </w:tr>
      <w:tr w:rsidR="003A3061" w:rsidRPr="00BB11AF">
        <w:tc>
          <w:tcPr>
            <w:tcW w:w="4030" w:type="dxa"/>
            <w:tcBorders>
              <w:bottom w:val="single" w:sz="12" w:space="0" w:color="auto"/>
            </w:tcBorders>
          </w:tcPr>
          <w:p w:rsidR="003A3061" w:rsidRPr="00BB11AF" w:rsidRDefault="003A3061" w:rsidP="003A3061">
            <w:pPr>
              <w:spacing w:after="120"/>
              <w:ind w:firstLine="0"/>
              <w:jc w:val="center"/>
              <w:rPr>
                <w:sz w:val="24"/>
              </w:rPr>
            </w:pPr>
            <w:r w:rsidRPr="00BB11AF">
              <w:rPr>
                <w:sz w:val="24"/>
              </w:rPr>
              <w:t>2007-2008</w:t>
            </w:r>
          </w:p>
        </w:tc>
        <w:tc>
          <w:tcPr>
            <w:tcW w:w="4030" w:type="dxa"/>
            <w:tcBorders>
              <w:bottom w:val="single" w:sz="12" w:space="0" w:color="auto"/>
            </w:tcBorders>
          </w:tcPr>
          <w:p w:rsidR="003A3061" w:rsidRPr="00BB11AF" w:rsidRDefault="003A3061" w:rsidP="003A3061">
            <w:pPr>
              <w:spacing w:after="120"/>
              <w:ind w:firstLine="0"/>
              <w:jc w:val="center"/>
              <w:rPr>
                <w:sz w:val="24"/>
              </w:rPr>
            </w:pPr>
            <w:r w:rsidRPr="00BB11AF">
              <w:rPr>
                <w:sz w:val="24"/>
              </w:rPr>
              <w:t>13,2</w:t>
            </w:r>
          </w:p>
        </w:tc>
      </w:tr>
    </w:tbl>
    <w:p w:rsidR="003A3061" w:rsidRPr="00BB11AF" w:rsidRDefault="003A3061" w:rsidP="003A3061">
      <w:pPr>
        <w:spacing w:before="120" w:after="120"/>
        <w:jc w:val="both"/>
        <w:rPr>
          <w:sz w:val="24"/>
        </w:rPr>
      </w:pPr>
      <w:r w:rsidRPr="00BB11AF">
        <w:rPr>
          <w:sz w:val="24"/>
        </w:rPr>
        <w:t xml:space="preserve">Source : Africain Development Bank, </w:t>
      </w:r>
      <w:r w:rsidRPr="00BB11AF">
        <w:rPr>
          <w:rStyle w:val="Lgendedelimage2Italique"/>
          <w:rFonts w:ascii="Times New Roman" w:hAnsi="Times New Roman"/>
          <w:sz w:val="24"/>
          <w:lang w:val="fr-CA"/>
        </w:rPr>
        <w:t>Egypt Private Sector Country Prof</w:t>
      </w:r>
      <w:r w:rsidRPr="00BB11AF">
        <w:rPr>
          <w:rStyle w:val="Lgendedelimage2Italique"/>
          <w:rFonts w:ascii="Times New Roman" w:hAnsi="Times New Roman"/>
          <w:sz w:val="24"/>
          <w:lang w:val="fr-CA"/>
        </w:rPr>
        <w:t>i</w:t>
      </w:r>
      <w:r w:rsidRPr="00BB11AF">
        <w:rPr>
          <w:rStyle w:val="Lgendedelimage2Italique"/>
          <w:rFonts w:ascii="Times New Roman" w:hAnsi="Times New Roman"/>
          <w:sz w:val="24"/>
          <w:lang w:val="fr-CA"/>
        </w:rPr>
        <w:t>le,</w:t>
      </w:r>
      <w:r w:rsidRPr="00BB11AF">
        <w:rPr>
          <w:sz w:val="24"/>
        </w:rPr>
        <w:t xml:space="preserve"> 2009 :18.</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L'IDE est concentré dans l'industrie pétrolière et gazière, mais 30% est dirigé vers le secteur industriel (Booz &amp; Compagny, 2009 :6). La d</w:t>
      </w:r>
      <w:r w:rsidRPr="00BB11AF">
        <w:t>e</w:t>
      </w:r>
      <w:r w:rsidRPr="00BB11AF">
        <w:t>mande énergétique dans le monde est si forte qu'elle provoque un « troisième boom pétrolier ». Les cours du pétrole commencent leur ascension dès 2002 et flambent ju</w:t>
      </w:r>
      <w:r w:rsidRPr="00BB11AF">
        <w:t>s</w:t>
      </w:r>
      <w:r w:rsidRPr="00BB11AF">
        <w:t>qu'en 2008. De 2000 à 2010, les réserves prouvées de gaz doublent et les réserves prouvées de p</w:t>
      </w:r>
      <w:r w:rsidRPr="00BB11AF">
        <w:t>é</w:t>
      </w:r>
      <w:r w:rsidRPr="00BB11AF">
        <w:t>trole sont à un sommet hist</w:t>
      </w:r>
      <w:r w:rsidRPr="00BB11AF">
        <w:t>o</w:t>
      </w:r>
      <w:r w:rsidRPr="00BB11AF">
        <w:t>rique.</w:t>
      </w:r>
    </w:p>
    <w:p w:rsidR="003A3061" w:rsidRDefault="003A3061" w:rsidP="003A3061">
      <w:pPr>
        <w:spacing w:before="120" w:after="120"/>
        <w:jc w:val="both"/>
      </w:pPr>
      <w:r w:rsidRPr="00BB11AF">
        <w:t>Stimulée par l'IDE, la performance de l'économie égyptienne se</w:t>
      </w:r>
      <w:r w:rsidRPr="00BB11AF">
        <w:t>m</w:t>
      </w:r>
      <w:r w:rsidRPr="00BB11AF">
        <w:t>ble encourageante. De 47% de l'investissement total en 2003-2004, les investissements privés représentent 65% en 2007-2008</w:t>
      </w:r>
      <w:r>
        <w:t xml:space="preserve"> </w:t>
      </w:r>
      <w:r w:rsidRPr="00BB11AF">
        <w:t>[51]</w:t>
      </w:r>
      <w:r>
        <w:t xml:space="preserve"> </w:t>
      </w:r>
      <w:r w:rsidRPr="00BB11AF">
        <w:t>(African Development Bank 2009 :3). Pratiquement tous les ind</w:t>
      </w:r>
      <w:r w:rsidRPr="00BB11AF">
        <w:t>i</w:t>
      </w:r>
      <w:r w:rsidRPr="00BB11AF">
        <w:t>cateurs macro-économiques sont à la hausse. Le taux de croissance du PIB, en baisse de 1998 à 2002, remonte annuell</w:t>
      </w:r>
      <w:r w:rsidRPr="00BB11AF">
        <w:t>e</w:t>
      </w:r>
      <w:r w:rsidRPr="00BB11AF">
        <w:t>ment. Ce résultat est à relativiser par la prise en compte du taux annuel de croissance de la population. L'augmentation du PIB est moins rapide que celle de la croissance de la population de 2001 à 2004, plus rapide à partir de 2005.</w:t>
      </w:r>
    </w:p>
    <w:p w:rsidR="003A3061" w:rsidRPr="00BB11AF" w:rsidRDefault="003A3061" w:rsidP="003A3061">
      <w:pPr>
        <w:spacing w:before="120" w:after="120"/>
        <w:jc w:val="both"/>
      </w:pPr>
    </w:p>
    <w:p w:rsidR="003A3061" w:rsidRPr="00BB11AF" w:rsidRDefault="003A3061" w:rsidP="003A3061">
      <w:pPr>
        <w:spacing w:before="120" w:after="120"/>
        <w:jc w:val="center"/>
        <w:rPr>
          <w:b/>
          <w:sz w:val="24"/>
          <w:szCs w:val="24"/>
        </w:rPr>
      </w:pPr>
      <w:r w:rsidRPr="00BB11AF">
        <w:rPr>
          <w:b/>
          <w:bCs/>
          <w:sz w:val="24"/>
          <w:szCs w:val="24"/>
        </w:rPr>
        <w:t>Tableau 2 Taux de croissance annuel</w:t>
      </w:r>
    </w:p>
    <w:tbl>
      <w:tblPr>
        <w:tblOverlap w:val="never"/>
        <w:tblW w:w="0" w:type="auto"/>
        <w:tblInd w:w="1180" w:type="dxa"/>
        <w:tblLayout w:type="fixed"/>
        <w:tblCellMar>
          <w:left w:w="10" w:type="dxa"/>
          <w:right w:w="10" w:type="dxa"/>
        </w:tblCellMar>
        <w:tblLook w:val="04A0" w:firstRow="1" w:lastRow="0" w:firstColumn="1" w:lastColumn="0" w:noHBand="0" w:noVBand="1"/>
      </w:tblPr>
      <w:tblGrid>
        <w:gridCol w:w="1710"/>
        <w:gridCol w:w="1530"/>
        <w:gridCol w:w="2520"/>
      </w:tblGrid>
      <w:tr w:rsidR="003A3061" w:rsidRPr="00BB11AF">
        <w:tblPrEx>
          <w:tblCellMar>
            <w:top w:w="0" w:type="dxa"/>
            <w:bottom w:w="0" w:type="dxa"/>
          </w:tblCellMar>
        </w:tblPrEx>
        <w:tc>
          <w:tcPr>
            <w:tcW w:w="1710" w:type="dxa"/>
            <w:tcBorders>
              <w:top w:val="single" w:sz="12" w:space="0" w:color="auto"/>
              <w:bottom w:val="single" w:sz="12" w:space="0" w:color="auto"/>
            </w:tcBorders>
            <w:shd w:val="clear" w:color="auto" w:fill="EAF1DD"/>
            <w:vAlign w:val="bottom"/>
          </w:tcPr>
          <w:p w:rsidR="003A3061" w:rsidRPr="00BB11AF" w:rsidRDefault="003A3061" w:rsidP="003A3061">
            <w:pPr>
              <w:spacing w:before="120" w:after="120"/>
              <w:ind w:left="80" w:right="80" w:firstLine="0"/>
              <w:jc w:val="center"/>
              <w:rPr>
                <w:sz w:val="24"/>
              </w:rPr>
            </w:pPr>
            <w:r w:rsidRPr="00BB11AF">
              <w:rPr>
                <w:rStyle w:val="Corpsdutexte275ptGras"/>
                <w:b w:val="0"/>
                <w:sz w:val="24"/>
                <w:lang w:val="fr-CA"/>
              </w:rPr>
              <w:t>A</w:t>
            </w:r>
            <w:r w:rsidRPr="00BB11AF">
              <w:rPr>
                <w:rStyle w:val="Corpsdutexte275ptGras"/>
                <w:b w:val="0"/>
                <w:sz w:val="24"/>
                <w:lang w:val="fr-CA"/>
              </w:rPr>
              <w:t>n</w:t>
            </w:r>
            <w:r w:rsidRPr="00BB11AF">
              <w:rPr>
                <w:rStyle w:val="Corpsdutexte275ptGras"/>
                <w:b w:val="0"/>
                <w:sz w:val="24"/>
                <w:lang w:val="fr-CA"/>
              </w:rPr>
              <w:t>née</w:t>
            </w:r>
          </w:p>
        </w:tc>
        <w:tc>
          <w:tcPr>
            <w:tcW w:w="1530" w:type="dxa"/>
            <w:tcBorders>
              <w:top w:val="single" w:sz="12" w:space="0" w:color="auto"/>
              <w:bottom w:val="single" w:sz="12" w:space="0" w:color="auto"/>
            </w:tcBorders>
            <w:shd w:val="clear" w:color="auto" w:fill="EAF1DD"/>
            <w:vAlign w:val="bottom"/>
          </w:tcPr>
          <w:p w:rsidR="003A3061" w:rsidRPr="00BB11AF" w:rsidRDefault="003A3061" w:rsidP="003A3061">
            <w:pPr>
              <w:spacing w:before="120" w:after="120"/>
              <w:ind w:left="80" w:right="80" w:firstLine="0"/>
              <w:jc w:val="center"/>
              <w:rPr>
                <w:sz w:val="24"/>
              </w:rPr>
            </w:pPr>
            <w:r w:rsidRPr="00BB11AF">
              <w:rPr>
                <w:rStyle w:val="Corpsdutexte275ptGras"/>
                <w:b w:val="0"/>
                <w:sz w:val="24"/>
                <w:lang w:val="fr-CA"/>
              </w:rPr>
              <w:t>PIB (%)</w:t>
            </w:r>
          </w:p>
        </w:tc>
        <w:tc>
          <w:tcPr>
            <w:tcW w:w="2520" w:type="dxa"/>
            <w:tcBorders>
              <w:top w:val="single" w:sz="12" w:space="0" w:color="auto"/>
              <w:bottom w:val="single" w:sz="12" w:space="0" w:color="auto"/>
            </w:tcBorders>
            <w:shd w:val="clear" w:color="auto" w:fill="EAF1DD"/>
            <w:vAlign w:val="bottom"/>
          </w:tcPr>
          <w:p w:rsidR="003A3061" w:rsidRPr="00BB11AF" w:rsidRDefault="003A3061" w:rsidP="003A3061">
            <w:pPr>
              <w:spacing w:before="120" w:after="120"/>
              <w:ind w:left="80" w:right="80" w:firstLine="0"/>
              <w:jc w:val="center"/>
              <w:rPr>
                <w:sz w:val="24"/>
              </w:rPr>
            </w:pPr>
            <w:r w:rsidRPr="00BB11AF">
              <w:rPr>
                <w:rStyle w:val="Corpsdutexte275ptGras"/>
                <w:b w:val="0"/>
                <w:sz w:val="24"/>
                <w:lang w:val="fr-CA"/>
              </w:rPr>
              <w:t>Population (%)</w:t>
            </w:r>
          </w:p>
        </w:tc>
      </w:tr>
      <w:tr w:rsidR="003A3061" w:rsidRPr="00BB11AF">
        <w:tblPrEx>
          <w:tblCellMar>
            <w:top w:w="0" w:type="dxa"/>
            <w:bottom w:w="0" w:type="dxa"/>
          </w:tblCellMar>
        </w:tblPrEx>
        <w:tc>
          <w:tcPr>
            <w:tcW w:w="1710" w:type="dxa"/>
            <w:tcBorders>
              <w:top w:val="single" w:sz="12" w:space="0" w:color="auto"/>
            </w:tcBorders>
            <w:shd w:val="clear" w:color="auto" w:fill="FFFFFF"/>
            <w:vAlign w:val="bottom"/>
          </w:tcPr>
          <w:p w:rsidR="003A3061" w:rsidRPr="00BB11AF" w:rsidRDefault="003A3061" w:rsidP="003A3061">
            <w:pPr>
              <w:spacing w:before="120" w:after="120"/>
              <w:ind w:left="86" w:right="86" w:firstLine="0"/>
              <w:jc w:val="center"/>
              <w:rPr>
                <w:sz w:val="24"/>
              </w:rPr>
            </w:pPr>
            <w:r w:rsidRPr="00BB11AF">
              <w:rPr>
                <w:rStyle w:val="Corpsdutexte275ptGras"/>
                <w:b w:val="0"/>
                <w:sz w:val="24"/>
                <w:lang w:val="fr-CA"/>
              </w:rPr>
              <w:t>1998</w:t>
            </w:r>
          </w:p>
        </w:tc>
        <w:tc>
          <w:tcPr>
            <w:tcW w:w="1530" w:type="dxa"/>
            <w:tcBorders>
              <w:top w:val="single" w:sz="12" w:space="0" w:color="auto"/>
            </w:tcBorders>
            <w:shd w:val="clear" w:color="auto" w:fill="FFFFFF"/>
            <w:vAlign w:val="bottom"/>
          </w:tcPr>
          <w:p w:rsidR="003A3061" w:rsidRPr="00BB11AF" w:rsidRDefault="003A3061" w:rsidP="003A3061">
            <w:pPr>
              <w:spacing w:before="120" w:after="120"/>
              <w:ind w:left="86" w:right="86" w:firstLine="0"/>
              <w:jc w:val="center"/>
              <w:rPr>
                <w:sz w:val="24"/>
              </w:rPr>
            </w:pPr>
            <w:r w:rsidRPr="00BB11AF">
              <w:rPr>
                <w:sz w:val="24"/>
              </w:rPr>
              <w:t>7,5</w:t>
            </w:r>
          </w:p>
        </w:tc>
        <w:tc>
          <w:tcPr>
            <w:tcW w:w="2520" w:type="dxa"/>
            <w:tcBorders>
              <w:top w:val="single" w:sz="12" w:space="0" w:color="auto"/>
            </w:tcBorders>
            <w:shd w:val="clear" w:color="auto" w:fill="FFFFFF"/>
          </w:tcPr>
          <w:p w:rsidR="003A3061" w:rsidRPr="00BB11AF" w:rsidRDefault="003A3061" w:rsidP="003A3061">
            <w:pPr>
              <w:spacing w:before="120" w:after="120"/>
              <w:ind w:left="86" w:right="86" w:firstLine="0"/>
              <w:jc w:val="center"/>
              <w:rPr>
                <w:sz w:val="24"/>
                <w:szCs w:val="10"/>
              </w:rPr>
            </w:pPr>
          </w:p>
        </w:tc>
      </w:tr>
      <w:tr w:rsidR="003A3061" w:rsidRPr="00BB11AF">
        <w:tblPrEx>
          <w:tblCellMar>
            <w:top w:w="0" w:type="dxa"/>
            <w:bottom w:w="0" w:type="dxa"/>
          </w:tblCellMar>
        </w:tblPrEx>
        <w:tc>
          <w:tcPr>
            <w:tcW w:w="171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rStyle w:val="Corpsdutexte275ptGras"/>
                <w:b w:val="0"/>
                <w:sz w:val="24"/>
                <w:lang w:val="fr-CA"/>
              </w:rPr>
              <w:t>1999</w:t>
            </w:r>
          </w:p>
        </w:tc>
        <w:tc>
          <w:tcPr>
            <w:tcW w:w="153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rStyle w:val="Corpsdutexte275ptGras"/>
                <w:b w:val="0"/>
                <w:sz w:val="24"/>
                <w:lang w:val="fr-CA"/>
              </w:rPr>
              <w:t>6,1</w:t>
            </w:r>
          </w:p>
        </w:tc>
        <w:tc>
          <w:tcPr>
            <w:tcW w:w="2520" w:type="dxa"/>
            <w:shd w:val="clear" w:color="auto" w:fill="FFFFFF"/>
          </w:tcPr>
          <w:p w:rsidR="003A3061" w:rsidRPr="00BB11AF" w:rsidRDefault="003A3061" w:rsidP="003A3061">
            <w:pPr>
              <w:spacing w:before="120" w:after="120"/>
              <w:ind w:left="86" w:right="86" w:firstLine="0"/>
              <w:jc w:val="center"/>
              <w:rPr>
                <w:sz w:val="24"/>
                <w:szCs w:val="10"/>
              </w:rPr>
            </w:pPr>
          </w:p>
        </w:tc>
      </w:tr>
      <w:tr w:rsidR="003A3061" w:rsidRPr="00BB11AF">
        <w:tblPrEx>
          <w:tblCellMar>
            <w:top w:w="0" w:type="dxa"/>
            <w:bottom w:w="0" w:type="dxa"/>
          </w:tblCellMar>
        </w:tblPrEx>
        <w:tc>
          <w:tcPr>
            <w:tcW w:w="171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rStyle w:val="Corpsdutexte275ptGras"/>
                <w:b w:val="0"/>
                <w:sz w:val="24"/>
                <w:lang w:val="fr-CA"/>
              </w:rPr>
              <w:t>2000</w:t>
            </w:r>
          </w:p>
        </w:tc>
        <w:tc>
          <w:tcPr>
            <w:tcW w:w="153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sz w:val="24"/>
              </w:rPr>
              <w:t>4,4</w:t>
            </w:r>
          </w:p>
        </w:tc>
        <w:tc>
          <w:tcPr>
            <w:tcW w:w="2520" w:type="dxa"/>
            <w:shd w:val="clear" w:color="auto" w:fill="FFFFFF"/>
          </w:tcPr>
          <w:p w:rsidR="003A3061" w:rsidRPr="00BB11AF" w:rsidRDefault="003A3061" w:rsidP="003A3061">
            <w:pPr>
              <w:spacing w:before="120" w:after="120"/>
              <w:ind w:left="86" w:right="86" w:firstLine="0"/>
              <w:jc w:val="center"/>
              <w:rPr>
                <w:sz w:val="24"/>
                <w:szCs w:val="10"/>
              </w:rPr>
            </w:pPr>
          </w:p>
        </w:tc>
      </w:tr>
      <w:tr w:rsidR="003A3061" w:rsidRPr="00BB11AF">
        <w:tblPrEx>
          <w:tblCellMar>
            <w:top w:w="0" w:type="dxa"/>
            <w:bottom w:w="0" w:type="dxa"/>
          </w:tblCellMar>
        </w:tblPrEx>
        <w:tc>
          <w:tcPr>
            <w:tcW w:w="171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rStyle w:val="Corpsdutexte275ptGras"/>
                <w:b w:val="0"/>
                <w:sz w:val="24"/>
                <w:lang w:val="fr-CA"/>
              </w:rPr>
              <w:t>2001</w:t>
            </w:r>
          </w:p>
        </w:tc>
        <w:tc>
          <w:tcPr>
            <w:tcW w:w="153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sz w:val="24"/>
              </w:rPr>
              <w:t>3,8</w:t>
            </w:r>
          </w:p>
        </w:tc>
        <w:tc>
          <w:tcPr>
            <w:tcW w:w="252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sz w:val="24"/>
              </w:rPr>
              <w:t>4,93</w:t>
            </w:r>
          </w:p>
        </w:tc>
      </w:tr>
      <w:tr w:rsidR="003A3061" w:rsidRPr="00BB11AF">
        <w:tblPrEx>
          <w:tblCellMar>
            <w:top w:w="0" w:type="dxa"/>
            <w:bottom w:w="0" w:type="dxa"/>
          </w:tblCellMar>
        </w:tblPrEx>
        <w:tc>
          <w:tcPr>
            <w:tcW w:w="171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rStyle w:val="Corpsdutexte275ptGras"/>
                <w:b w:val="0"/>
                <w:sz w:val="24"/>
                <w:lang w:val="fr-CA"/>
              </w:rPr>
              <w:t>2002</w:t>
            </w:r>
          </w:p>
        </w:tc>
        <w:tc>
          <w:tcPr>
            <w:tcW w:w="153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sz w:val="24"/>
              </w:rPr>
              <w:t>3,2</w:t>
            </w:r>
          </w:p>
        </w:tc>
        <w:tc>
          <w:tcPr>
            <w:tcW w:w="252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sz w:val="24"/>
              </w:rPr>
              <w:t>4,43</w:t>
            </w:r>
          </w:p>
        </w:tc>
      </w:tr>
      <w:tr w:rsidR="003A3061" w:rsidRPr="00BB11AF">
        <w:tblPrEx>
          <w:tblCellMar>
            <w:top w:w="0" w:type="dxa"/>
            <w:bottom w:w="0" w:type="dxa"/>
          </w:tblCellMar>
        </w:tblPrEx>
        <w:tc>
          <w:tcPr>
            <w:tcW w:w="1710" w:type="dxa"/>
            <w:shd w:val="clear" w:color="auto" w:fill="FFFFFF"/>
            <w:vAlign w:val="center"/>
          </w:tcPr>
          <w:p w:rsidR="003A3061" w:rsidRPr="00BB11AF" w:rsidRDefault="003A3061" w:rsidP="003A3061">
            <w:pPr>
              <w:spacing w:before="120" w:after="120"/>
              <w:ind w:left="86" w:right="86" w:firstLine="0"/>
              <w:jc w:val="center"/>
              <w:rPr>
                <w:sz w:val="24"/>
              </w:rPr>
            </w:pPr>
            <w:r w:rsidRPr="00BB11AF">
              <w:rPr>
                <w:rStyle w:val="Corpsdutexte275ptGras"/>
                <w:b w:val="0"/>
                <w:sz w:val="24"/>
                <w:lang w:val="fr-CA"/>
              </w:rPr>
              <w:t>2003</w:t>
            </w:r>
          </w:p>
        </w:tc>
        <w:tc>
          <w:tcPr>
            <w:tcW w:w="1530" w:type="dxa"/>
            <w:shd w:val="clear" w:color="auto" w:fill="FFFFFF"/>
            <w:vAlign w:val="center"/>
          </w:tcPr>
          <w:p w:rsidR="003A3061" w:rsidRPr="00BB11AF" w:rsidRDefault="003A3061" w:rsidP="003A3061">
            <w:pPr>
              <w:spacing w:before="120" w:after="120"/>
              <w:ind w:left="86" w:right="86" w:firstLine="0"/>
              <w:jc w:val="center"/>
              <w:rPr>
                <w:sz w:val="24"/>
              </w:rPr>
            </w:pPr>
            <w:r w:rsidRPr="00BB11AF">
              <w:rPr>
                <w:sz w:val="24"/>
              </w:rPr>
              <w:t>3,2</w:t>
            </w:r>
          </w:p>
        </w:tc>
        <w:tc>
          <w:tcPr>
            <w:tcW w:w="2520" w:type="dxa"/>
            <w:shd w:val="clear" w:color="auto" w:fill="FFFFFF"/>
            <w:vAlign w:val="center"/>
          </w:tcPr>
          <w:p w:rsidR="003A3061" w:rsidRPr="00BB11AF" w:rsidRDefault="003A3061" w:rsidP="003A3061">
            <w:pPr>
              <w:spacing w:before="120" w:after="120"/>
              <w:ind w:left="86" w:right="86" w:firstLine="0"/>
              <w:jc w:val="center"/>
              <w:rPr>
                <w:sz w:val="24"/>
              </w:rPr>
            </w:pPr>
            <w:r w:rsidRPr="00BB11AF">
              <w:rPr>
                <w:sz w:val="24"/>
              </w:rPr>
              <w:t>4</w:t>
            </w:r>
            <w:r w:rsidRPr="00BB11AF">
              <w:rPr>
                <w:rStyle w:val="Corpsdutexte275ptGras"/>
                <w:b w:val="0"/>
                <w:sz w:val="24"/>
                <w:lang w:val="fr-CA"/>
              </w:rPr>
              <w:t>,11</w:t>
            </w:r>
          </w:p>
        </w:tc>
      </w:tr>
      <w:tr w:rsidR="003A3061" w:rsidRPr="00BB11AF">
        <w:tblPrEx>
          <w:tblCellMar>
            <w:top w:w="0" w:type="dxa"/>
            <w:bottom w:w="0" w:type="dxa"/>
          </w:tblCellMar>
        </w:tblPrEx>
        <w:tc>
          <w:tcPr>
            <w:tcW w:w="171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rStyle w:val="Corpsdutexte275ptGras"/>
                <w:b w:val="0"/>
                <w:sz w:val="24"/>
                <w:lang w:val="fr-CA"/>
              </w:rPr>
              <w:t>2004</w:t>
            </w:r>
          </w:p>
        </w:tc>
        <w:tc>
          <w:tcPr>
            <w:tcW w:w="153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sz w:val="24"/>
              </w:rPr>
              <w:t>4,1</w:t>
            </w:r>
          </w:p>
        </w:tc>
        <w:tc>
          <w:tcPr>
            <w:tcW w:w="252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sz w:val="24"/>
              </w:rPr>
              <w:t>4,17</w:t>
            </w:r>
          </w:p>
        </w:tc>
      </w:tr>
      <w:tr w:rsidR="003A3061" w:rsidRPr="00BB11AF">
        <w:tblPrEx>
          <w:tblCellMar>
            <w:top w:w="0" w:type="dxa"/>
            <w:bottom w:w="0" w:type="dxa"/>
          </w:tblCellMar>
        </w:tblPrEx>
        <w:tc>
          <w:tcPr>
            <w:tcW w:w="171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rStyle w:val="Corpsdutexte275ptGras"/>
                <w:b w:val="0"/>
                <w:sz w:val="24"/>
                <w:lang w:val="fr-CA"/>
              </w:rPr>
              <w:t>2005</w:t>
            </w:r>
          </w:p>
        </w:tc>
        <w:tc>
          <w:tcPr>
            <w:tcW w:w="153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sz w:val="24"/>
              </w:rPr>
              <w:t>4,5</w:t>
            </w:r>
          </w:p>
        </w:tc>
        <w:tc>
          <w:tcPr>
            <w:tcW w:w="252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sz w:val="24"/>
              </w:rPr>
              <w:t>4,36</w:t>
            </w:r>
          </w:p>
        </w:tc>
      </w:tr>
      <w:tr w:rsidR="003A3061" w:rsidRPr="00BB11AF">
        <w:tblPrEx>
          <w:tblCellMar>
            <w:top w:w="0" w:type="dxa"/>
            <w:bottom w:w="0" w:type="dxa"/>
          </w:tblCellMar>
        </w:tblPrEx>
        <w:tc>
          <w:tcPr>
            <w:tcW w:w="171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rStyle w:val="Corpsdutexte275ptGras"/>
                <w:b w:val="0"/>
                <w:sz w:val="24"/>
                <w:lang w:val="fr-CA"/>
              </w:rPr>
              <w:t>2006</w:t>
            </w:r>
          </w:p>
        </w:tc>
        <w:tc>
          <w:tcPr>
            <w:tcW w:w="153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sz w:val="24"/>
              </w:rPr>
              <w:t>6,8</w:t>
            </w:r>
          </w:p>
        </w:tc>
        <w:tc>
          <w:tcPr>
            <w:tcW w:w="252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sz w:val="24"/>
              </w:rPr>
              <w:t>-3,86</w:t>
            </w:r>
          </w:p>
        </w:tc>
      </w:tr>
      <w:tr w:rsidR="003A3061" w:rsidRPr="00BB11AF">
        <w:tblPrEx>
          <w:tblCellMar>
            <w:top w:w="0" w:type="dxa"/>
            <w:bottom w:w="0" w:type="dxa"/>
          </w:tblCellMar>
        </w:tblPrEx>
        <w:tc>
          <w:tcPr>
            <w:tcW w:w="171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rStyle w:val="Corpsdutexte275ptGras"/>
                <w:b w:val="0"/>
                <w:sz w:val="24"/>
                <w:lang w:val="fr-CA"/>
              </w:rPr>
              <w:t>2007</w:t>
            </w:r>
          </w:p>
        </w:tc>
        <w:tc>
          <w:tcPr>
            <w:tcW w:w="153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sz w:val="24"/>
              </w:rPr>
              <w:t>7,1</w:t>
            </w:r>
          </w:p>
        </w:tc>
        <w:tc>
          <w:tcPr>
            <w:tcW w:w="2520" w:type="dxa"/>
            <w:shd w:val="clear" w:color="auto" w:fill="FFFFFF"/>
            <w:vAlign w:val="bottom"/>
          </w:tcPr>
          <w:p w:rsidR="003A3061" w:rsidRPr="00BB11AF" w:rsidRDefault="003A3061" w:rsidP="003A3061">
            <w:pPr>
              <w:spacing w:before="120" w:after="120"/>
              <w:ind w:left="86" w:right="86" w:firstLine="0"/>
              <w:jc w:val="center"/>
              <w:rPr>
                <w:sz w:val="24"/>
              </w:rPr>
            </w:pPr>
            <w:r w:rsidRPr="00BB11AF">
              <w:rPr>
                <w:rStyle w:val="Corpsdutexte275ptGras"/>
                <w:b w:val="0"/>
                <w:sz w:val="24"/>
                <w:lang w:val="fr-CA"/>
              </w:rPr>
              <w:t>-</w:t>
            </w:r>
            <w:r w:rsidRPr="00BB11AF">
              <w:rPr>
                <w:sz w:val="24"/>
              </w:rPr>
              <w:t>4,91</w:t>
            </w:r>
          </w:p>
        </w:tc>
      </w:tr>
      <w:tr w:rsidR="003A3061" w:rsidRPr="00BB11AF">
        <w:tblPrEx>
          <w:tblCellMar>
            <w:top w:w="0" w:type="dxa"/>
            <w:bottom w:w="0" w:type="dxa"/>
          </w:tblCellMar>
        </w:tblPrEx>
        <w:tc>
          <w:tcPr>
            <w:tcW w:w="1710" w:type="dxa"/>
            <w:tcBorders>
              <w:bottom w:val="single" w:sz="12" w:space="0" w:color="auto"/>
            </w:tcBorders>
            <w:shd w:val="clear" w:color="auto" w:fill="FFFFFF"/>
            <w:vAlign w:val="bottom"/>
          </w:tcPr>
          <w:p w:rsidR="003A3061" w:rsidRPr="00BB11AF" w:rsidRDefault="003A3061" w:rsidP="003A3061">
            <w:pPr>
              <w:spacing w:before="120" w:after="120"/>
              <w:ind w:left="86" w:right="86" w:firstLine="0"/>
              <w:jc w:val="center"/>
              <w:rPr>
                <w:sz w:val="24"/>
              </w:rPr>
            </w:pPr>
            <w:r w:rsidRPr="00BB11AF">
              <w:rPr>
                <w:rStyle w:val="Corpsdutexte275ptGras"/>
                <w:b w:val="0"/>
                <w:sz w:val="24"/>
                <w:lang w:val="fr-CA"/>
              </w:rPr>
              <w:t>2008</w:t>
            </w:r>
          </w:p>
        </w:tc>
        <w:tc>
          <w:tcPr>
            <w:tcW w:w="1530" w:type="dxa"/>
            <w:tcBorders>
              <w:bottom w:val="single" w:sz="12" w:space="0" w:color="auto"/>
            </w:tcBorders>
            <w:shd w:val="clear" w:color="auto" w:fill="FFFFFF"/>
            <w:vAlign w:val="bottom"/>
          </w:tcPr>
          <w:p w:rsidR="003A3061" w:rsidRPr="00BB11AF" w:rsidRDefault="003A3061" w:rsidP="003A3061">
            <w:pPr>
              <w:spacing w:before="120" w:after="120"/>
              <w:ind w:left="86" w:right="86" w:firstLine="0"/>
              <w:jc w:val="center"/>
              <w:rPr>
                <w:sz w:val="24"/>
              </w:rPr>
            </w:pPr>
            <w:r w:rsidRPr="00BB11AF">
              <w:rPr>
                <w:sz w:val="24"/>
              </w:rPr>
              <w:t>7,2</w:t>
            </w:r>
          </w:p>
        </w:tc>
        <w:tc>
          <w:tcPr>
            <w:tcW w:w="2520" w:type="dxa"/>
            <w:tcBorders>
              <w:bottom w:val="single" w:sz="12" w:space="0" w:color="auto"/>
            </w:tcBorders>
            <w:shd w:val="clear" w:color="auto" w:fill="FFFFFF"/>
            <w:vAlign w:val="bottom"/>
          </w:tcPr>
          <w:p w:rsidR="003A3061" w:rsidRPr="00BB11AF" w:rsidRDefault="003A3061" w:rsidP="003A3061">
            <w:pPr>
              <w:spacing w:before="120" w:after="120"/>
              <w:ind w:left="86" w:right="86" w:firstLine="0"/>
              <w:jc w:val="center"/>
              <w:rPr>
                <w:sz w:val="24"/>
              </w:rPr>
            </w:pPr>
            <w:r w:rsidRPr="00BB11AF">
              <w:rPr>
                <w:sz w:val="24"/>
              </w:rPr>
              <w:t>2,36</w:t>
            </w:r>
          </w:p>
        </w:tc>
      </w:tr>
    </w:tbl>
    <w:p w:rsidR="003A3061" w:rsidRPr="00BB11AF" w:rsidRDefault="003A3061" w:rsidP="003A3061">
      <w:pPr>
        <w:spacing w:before="120" w:after="120"/>
        <w:jc w:val="both"/>
        <w:rPr>
          <w:sz w:val="24"/>
        </w:rPr>
      </w:pPr>
      <w:r w:rsidRPr="00BB11AF">
        <w:rPr>
          <w:sz w:val="24"/>
        </w:rPr>
        <w:t xml:space="preserve">Sources : Rady </w:t>
      </w:r>
      <w:r w:rsidRPr="00BB11AF">
        <w:rPr>
          <w:rStyle w:val="LgendedutableauTimesNewRomanGras"/>
          <w:rFonts w:eastAsia="Arial"/>
          <w:b w:val="0"/>
          <w:sz w:val="24"/>
          <w:lang w:val="fr-CA"/>
        </w:rPr>
        <w:t>2010</w:t>
      </w:r>
      <w:r w:rsidRPr="00BB11AF">
        <w:rPr>
          <w:sz w:val="24"/>
        </w:rPr>
        <w:t xml:space="preserve"> : </w:t>
      </w:r>
      <w:r w:rsidRPr="00BB11AF">
        <w:rPr>
          <w:rStyle w:val="LgendedutableauTimesNewRomanGras"/>
          <w:rFonts w:eastAsia="Arial"/>
          <w:b w:val="0"/>
          <w:sz w:val="24"/>
          <w:lang w:val="fr-CA"/>
        </w:rPr>
        <w:t>121</w:t>
      </w:r>
      <w:r w:rsidRPr="00BB11AF">
        <w:rPr>
          <w:sz w:val="24"/>
        </w:rPr>
        <w:t xml:space="preserve">, pour le PIB ; Saget et Yao </w:t>
      </w:r>
      <w:r w:rsidRPr="00BB11AF">
        <w:rPr>
          <w:rStyle w:val="LgendedutableauTimesNewRomanGras"/>
          <w:rFonts w:eastAsia="Arial"/>
          <w:b w:val="0"/>
          <w:sz w:val="24"/>
          <w:lang w:val="fr-CA"/>
        </w:rPr>
        <w:t>2011 : 9</w:t>
      </w:r>
      <w:r w:rsidRPr="00BB11AF">
        <w:rPr>
          <w:sz w:val="24"/>
        </w:rPr>
        <w:t xml:space="preserve"> pour la popul</w:t>
      </w:r>
      <w:r w:rsidRPr="00BB11AF">
        <w:rPr>
          <w:sz w:val="24"/>
        </w:rPr>
        <w:t>a</w:t>
      </w:r>
      <w:r w:rsidRPr="00BB11AF">
        <w:rPr>
          <w:sz w:val="24"/>
        </w:rPr>
        <w:t>tion.</w:t>
      </w:r>
    </w:p>
    <w:p w:rsidR="003A3061" w:rsidRPr="00BB11AF" w:rsidRDefault="003A3061" w:rsidP="003A3061">
      <w:pPr>
        <w:spacing w:before="120" w:after="120"/>
        <w:jc w:val="both"/>
        <w:rPr>
          <w:szCs w:val="2"/>
        </w:rPr>
      </w:pPr>
      <w:r w:rsidRPr="00BB11AF">
        <w:rPr>
          <w:szCs w:val="2"/>
        </w:rPr>
        <w:br w:type="page"/>
      </w:r>
    </w:p>
    <w:p w:rsidR="003A3061" w:rsidRPr="00BB11AF" w:rsidRDefault="003A3061" w:rsidP="003A3061">
      <w:pPr>
        <w:spacing w:before="120" w:after="120"/>
        <w:ind w:firstLine="0"/>
        <w:jc w:val="center"/>
        <w:rPr>
          <w:b/>
          <w:bCs/>
          <w:sz w:val="24"/>
          <w:szCs w:val="24"/>
        </w:rPr>
      </w:pPr>
      <w:r w:rsidRPr="00BB11AF">
        <w:rPr>
          <w:b/>
          <w:bCs/>
          <w:sz w:val="24"/>
          <w:szCs w:val="24"/>
        </w:rPr>
        <w:t>Tableau 3.</w:t>
      </w:r>
      <w:r w:rsidRPr="00BB11AF">
        <w:rPr>
          <w:b/>
          <w:bCs/>
          <w:sz w:val="24"/>
          <w:szCs w:val="24"/>
        </w:rPr>
        <w:br/>
        <w:t>Taux de croissance moyen du produit intérieur brut, par période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2160"/>
      </w:tblGrid>
      <w:tr w:rsidR="003A3061" w:rsidRPr="00BB11AF">
        <w:tblPrEx>
          <w:tblCellMar>
            <w:top w:w="0" w:type="dxa"/>
            <w:bottom w:w="0" w:type="dxa"/>
          </w:tblCellMar>
        </w:tblPrEx>
        <w:trPr>
          <w:jc w:val="center"/>
        </w:trPr>
        <w:tc>
          <w:tcPr>
            <w:tcW w:w="2568" w:type="dxa"/>
            <w:tcBorders>
              <w:top w:val="single" w:sz="12" w:space="0" w:color="auto"/>
              <w:bottom w:val="single" w:sz="12" w:space="0" w:color="auto"/>
            </w:tcBorders>
            <w:shd w:val="clear" w:color="auto" w:fill="EAF1DD"/>
            <w:vAlign w:val="center"/>
          </w:tcPr>
          <w:p w:rsidR="003A3061" w:rsidRPr="00BB11AF" w:rsidRDefault="003A3061" w:rsidP="003A3061">
            <w:pPr>
              <w:spacing w:before="120" w:after="120"/>
              <w:ind w:left="38" w:right="128"/>
              <w:jc w:val="center"/>
              <w:rPr>
                <w:sz w:val="24"/>
              </w:rPr>
            </w:pPr>
            <w:r w:rsidRPr="00BB11AF">
              <w:rPr>
                <w:rStyle w:val="Corpsdutexte275ptGras"/>
                <w:b w:val="0"/>
                <w:sz w:val="24"/>
                <w:lang w:val="fr-CA"/>
              </w:rPr>
              <w:t>Période</w:t>
            </w:r>
          </w:p>
        </w:tc>
        <w:tc>
          <w:tcPr>
            <w:tcW w:w="2160" w:type="dxa"/>
            <w:tcBorders>
              <w:top w:val="single" w:sz="12" w:space="0" w:color="auto"/>
              <w:bottom w:val="single" w:sz="12" w:space="0" w:color="auto"/>
            </w:tcBorders>
            <w:shd w:val="clear" w:color="auto" w:fill="EAF1DD"/>
            <w:vAlign w:val="center"/>
          </w:tcPr>
          <w:p w:rsidR="003A3061" w:rsidRPr="00BB11AF" w:rsidRDefault="003A3061" w:rsidP="003A3061">
            <w:pPr>
              <w:spacing w:before="120" w:after="120"/>
              <w:ind w:left="43" w:right="130" w:firstLine="0"/>
              <w:jc w:val="center"/>
              <w:rPr>
                <w:sz w:val="24"/>
              </w:rPr>
            </w:pPr>
            <w:r w:rsidRPr="00BB11AF">
              <w:rPr>
                <w:rStyle w:val="Corpsdutexte275ptGras"/>
                <w:b w:val="0"/>
                <w:sz w:val="24"/>
                <w:lang w:val="fr-CA"/>
              </w:rPr>
              <w:t>Taux moyen (%)</w:t>
            </w:r>
          </w:p>
        </w:tc>
      </w:tr>
      <w:tr w:rsidR="003A3061" w:rsidRPr="00BB11AF">
        <w:tblPrEx>
          <w:tblCellMar>
            <w:top w:w="0" w:type="dxa"/>
            <w:bottom w:w="0" w:type="dxa"/>
          </w:tblCellMar>
        </w:tblPrEx>
        <w:trPr>
          <w:jc w:val="center"/>
        </w:trPr>
        <w:tc>
          <w:tcPr>
            <w:tcW w:w="2568" w:type="dxa"/>
            <w:tcBorders>
              <w:top w:val="single" w:sz="12" w:space="0" w:color="auto"/>
            </w:tcBorders>
            <w:shd w:val="clear" w:color="auto" w:fill="FFFFFF"/>
            <w:vAlign w:val="bottom"/>
          </w:tcPr>
          <w:p w:rsidR="003A3061" w:rsidRPr="00BB11AF" w:rsidRDefault="003A3061" w:rsidP="003A3061">
            <w:pPr>
              <w:spacing w:before="120" w:after="120"/>
              <w:ind w:left="38" w:right="128" w:firstLine="0"/>
              <w:jc w:val="center"/>
              <w:rPr>
                <w:sz w:val="24"/>
              </w:rPr>
            </w:pPr>
            <w:r w:rsidRPr="00BB11AF">
              <w:rPr>
                <w:rStyle w:val="Corpsdutexte275ptGras"/>
                <w:b w:val="0"/>
                <w:sz w:val="24"/>
                <w:lang w:val="fr-CA"/>
              </w:rPr>
              <w:t>1987-1990</w:t>
            </w:r>
          </w:p>
        </w:tc>
        <w:tc>
          <w:tcPr>
            <w:tcW w:w="2160" w:type="dxa"/>
            <w:tcBorders>
              <w:top w:val="single" w:sz="12" w:space="0" w:color="auto"/>
            </w:tcBorders>
            <w:shd w:val="clear" w:color="auto" w:fill="FFFFFF"/>
            <w:vAlign w:val="bottom"/>
          </w:tcPr>
          <w:p w:rsidR="003A3061" w:rsidRPr="00BB11AF" w:rsidRDefault="003A3061" w:rsidP="003A3061">
            <w:pPr>
              <w:spacing w:before="120" w:after="120"/>
              <w:ind w:left="43" w:right="130" w:firstLine="0"/>
              <w:jc w:val="center"/>
              <w:rPr>
                <w:sz w:val="24"/>
              </w:rPr>
            </w:pPr>
            <w:r w:rsidRPr="00BB11AF">
              <w:rPr>
                <w:sz w:val="24"/>
              </w:rPr>
              <w:t>5,4</w:t>
            </w:r>
          </w:p>
        </w:tc>
      </w:tr>
      <w:tr w:rsidR="003A3061" w:rsidRPr="00BB11AF">
        <w:tblPrEx>
          <w:tblCellMar>
            <w:top w:w="0" w:type="dxa"/>
            <w:bottom w:w="0" w:type="dxa"/>
          </w:tblCellMar>
        </w:tblPrEx>
        <w:trPr>
          <w:jc w:val="center"/>
        </w:trPr>
        <w:tc>
          <w:tcPr>
            <w:tcW w:w="2568" w:type="dxa"/>
            <w:shd w:val="clear" w:color="auto" w:fill="FFFFFF"/>
            <w:vAlign w:val="bottom"/>
          </w:tcPr>
          <w:p w:rsidR="003A3061" w:rsidRPr="00BB11AF" w:rsidRDefault="003A3061" w:rsidP="003A3061">
            <w:pPr>
              <w:spacing w:before="120" w:after="120"/>
              <w:ind w:left="38" w:right="128" w:firstLine="0"/>
              <w:jc w:val="center"/>
              <w:rPr>
                <w:sz w:val="24"/>
              </w:rPr>
            </w:pPr>
            <w:r w:rsidRPr="00BB11AF">
              <w:rPr>
                <w:rStyle w:val="Corpsdutexte275ptGras"/>
                <w:b w:val="0"/>
                <w:sz w:val="24"/>
                <w:lang w:val="fr-CA"/>
              </w:rPr>
              <w:t>1991-1998</w:t>
            </w:r>
          </w:p>
        </w:tc>
        <w:tc>
          <w:tcPr>
            <w:tcW w:w="2160" w:type="dxa"/>
            <w:shd w:val="clear" w:color="auto" w:fill="FFFFFF"/>
            <w:vAlign w:val="bottom"/>
          </w:tcPr>
          <w:p w:rsidR="003A3061" w:rsidRPr="00BB11AF" w:rsidRDefault="003A3061" w:rsidP="003A3061">
            <w:pPr>
              <w:spacing w:before="120" w:after="120"/>
              <w:ind w:left="43" w:right="130" w:firstLine="0"/>
              <w:jc w:val="center"/>
              <w:rPr>
                <w:sz w:val="24"/>
              </w:rPr>
            </w:pPr>
            <w:r w:rsidRPr="00BB11AF">
              <w:rPr>
                <w:sz w:val="24"/>
              </w:rPr>
              <w:t>4</w:t>
            </w:r>
          </w:p>
        </w:tc>
      </w:tr>
      <w:tr w:rsidR="003A3061" w:rsidRPr="00BB11AF">
        <w:tblPrEx>
          <w:tblCellMar>
            <w:top w:w="0" w:type="dxa"/>
            <w:bottom w:w="0" w:type="dxa"/>
          </w:tblCellMar>
        </w:tblPrEx>
        <w:trPr>
          <w:jc w:val="center"/>
        </w:trPr>
        <w:tc>
          <w:tcPr>
            <w:tcW w:w="2568" w:type="dxa"/>
            <w:shd w:val="clear" w:color="auto" w:fill="FFFFFF"/>
            <w:vAlign w:val="bottom"/>
          </w:tcPr>
          <w:p w:rsidR="003A3061" w:rsidRPr="00BB11AF" w:rsidRDefault="003A3061" w:rsidP="003A3061">
            <w:pPr>
              <w:spacing w:before="120" w:after="120"/>
              <w:ind w:left="38" w:right="128" w:firstLine="0"/>
              <w:jc w:val="center"/>
              <w:rPr>
                <w:sz w:val="24"/>
              </w:rPr>
            </w:pPr>
            <w:r w:rsidRPr="00BB11AF">
              <w:rPr>
                <w:rStyle w:val="Corpsdutexte275ptGras"/>
                <w:b w:val="0"/>
                <w:sz w:val="24"/>
                <w:lang w:val="fr-CA"/>
              </w:rPr>
              <w:t>1999*20</w:t>
            </w:r>
            <w:r w:rsidRPr="00BB11AF">
              <w:rPr>
                <w:rStyle w:val="Corpsdutexte275ptGras"/>
                <w:b w:val="0"/>
                <w:sz w:val="24"/>
                <w:vertAlign w:val="superscript"/>
                <w:lang w:val="fr-CA"/>
              </w:rPr>
              <w:t>0</w:t>
            </w:r>
            <w:r w:rsidRPr="00BB11AF">
              <w:rPr>
                <w:rStyle w:val="Corpsdutexte275ptGras"/>
                <w:b w:val="0"/>
                <w:sz w:val="24"/>
                <w:lang w:val="fr-CA"/>
              </w:rPr>
              <w:t>Z|</w:t>
            </w:r>
          </w:p>
        </w:tc>
        <w:tc>
          <w:tcPr>
            <w:tcW w:w="2160" w:type="dxa"/>
            <w:shd w:val="clear" w:color="auto" w:fill="FFFFFF"/>
            <w:vAlign w:val="bottom"/>
          </w:tcPr>
          <w:p w:rsidR="003A3061" w:rsidRPr="00BB11AF" w:rsidRDefault="003A3061" w:rsidP="003A3061">
            <w:pPr>
              <w:spacing w:before="120" w:after="120"/>
              <w:ind w:left="43" w:right="130" w:firstLine="0"/>
              <w:jc w:val="center"/>
              <w:rPr>
                <w:sz w:val="24"/>
              </w:rPr>
            </w:pPr>
            <w:r w:rsidRPr="00BB11AF">
              <w:rPr>
                <w:sz w:val="24"/>
              </w:rPr>
              <w:t>4</w:t>
            </w:r>
            <w:r w:rsidRPr="00BB11AF">
              <w:rPr>
                <w:rStyle w:val="Corpsdutexte275ptGras"/>
                <w:b w:val="0"/>
                <w:sz w:val="24"/>
                <w:lang w:val="fr-CA"/>
              </w:rPr>
              <w:t>,1</w:t>
            </w:r>
          </w:p>
        </w:tc>
      </w:tr>
      <w:tr w:rsidR="003A3061" w:rsidRPr="00BB11AF">
        <w:tblPrEx>
          <w:tblCellMar>
            <w:top w:w="0" w:type="dxa"/>
            <w:bottom w:w="0" w:type="dxa"/>
          </w:tblCellMar>
        </w:tblPrEx>
        <w:trPr>
          <w:jc w:val="center"/>
        </w:trPr>
        <w:tc>
          <w:tcPr>
            <w:tcW w:w="2568" w:type="dxa"/>
            <w:tcBorders>
              <w:bottom w:val="single" w:sz="12" w:space="0" w:color="auto"/>
            </w:tcBorders>
            <w:shd w:val="clear" w:color="auto" w:fill="FFFFFF"/>
            <w:vAlign w:val="bottom"/>
          </w:tcPr>
          <w:p w:rsidR="003A3061" w:rsidRPr="00BB11AF" w:rsidRDefault="003A3061" w:rsidP="003A3061">
            <w:pPr>
              <w:spacing w:before="120" w:after="120"/>
              <w:ind w:left="38" w:right="128" w:firstLine="0"/>
              <w:jc w:val="center"/>
              <w:rPr>
                <w:sz w:val="24"/>
              </w:rPr>
            </w:pPr>
            <w:r w:rsidRPr="00BB11AF">
              <w:rPr>
                <w:rStyle w:val="Corpsdutexte275ptGras"/>
                <w:b w:val="0"/>
                <w:sz w:val="24"/>
                <w:lang w:val="fr-CA"/>
              </w:rPr>
              <w:t>2005-2008</w:t>
            </w:r>
          </w:p>
        </w:tc>
        <w:tc>
          <w:tcPr>
            <w:tcW w:w="2160" w:type="dxa"/>
            <w:tcBorders>
              <w:bottom w:val="single" w:sz="12" w:space="0" w:color="auto"/>
            </w:tcBorders>
            <w:shd w:val="clear" w:color="auto" w:fill="FFFFFF"/>
            <w:vAlign w:val="bottom"/>
          </w:tcPr>
          <w:p w:rsidR="003A3061" w:rsidRPr="00BB11AF" w:rsidRDefault="003A3061" w:rsidP="003A3061">
            <w:pPr>
              <w:spacing w:before="120" w:after="120"/>
              <w:ind w:left="43" w:right="130" w:firstLine="0"/>
              <w:jc w:val="center"/>
              <w:rPr>
                <w:sz w:val="24"/>
              </w:rPr>
            </w:pPr>
            <w:r w:rsidRPr="00BB11AF">
              <w:rPr>
                <w:sz w:val="24"/>
              </w:rPr>
              <w:t>6,4</w:t>
            </w:r>
          </w:p>
        </w:tc>
      </w:tr>
      <w:tr w:rsidR="003A3061" w:rsidRPr="00BB11AF">
        <w:tblPrEx>
          <w:tblCellMar>
            <w:top w:w="0" w:type="dxa"/>
            <w:bottom w:w="0" w:type="dxa"/>
          </w:tblCellMar>
        </w:tblPrEx>
        <w:trPr>
          <w:jc w:val="center"/>
        </w:trPr>
        <w:tc>
          <w:tcPr>
            <w:tcW w:w="4728" w:type="dxa"/>
            <w:gridSpan w:val="2"/>
            <w:tcBorders>
              <w:top w:val="single" w:sz="12" w:space="0" w:color="auto"/>
              <w:bottom w:val="single" w:sz="12" w:space="0" w:color="auto"/>
            </w:tcBorders>
            <w:shd w:val="clear" w:color="auto" w:fill="FFFFFF"/>
            <w:vAlign w:val="bottom"/>
          </w:tcPr>
          <w:p w:rsidR="003A3061" w:rsidRPr="00BB11AF" w:rsidRDefault="003A3061" w:rsidP="003A3061">
            <w:pPr>
              <w:spacing w:before="120" w:after="120"/>
              <w:ind w:left="38" w:right="128"/>
              <w:jc w:val="both"/>
              <w:rPr>
                <w:sz w:val="24"/>
              </w:rPr>
            </w:pPr>
            <w:r w:rsidRPr="00BB11AF">
              <w:rPr>
                <w:sz w:val="24"/>
              </w:rPr>
              <w:t xml:space="preserve">Source : Herrera </w:t>
            </w:r>
            <w:r w:rsidRPr="00BB11AF">
              <w:rPr>
                <w:rStyle w:val="Corpsdutexte245ptItalique"/>
                <w:rFonts w:ascii="Times New Roman" w:hAnsi="Times New Roman"/>
                <w:sz w:val="24"/>
                <w:lang w:val="fr-CA"/>
              </w:rPr>
              <w:t>étal.</w:t>
            </w:r>
            <w:r w:rsidRPr="00BB11AF">
              <w:rPr>
                <w:rStyle w:val="Corpsdutexte275ptGras"/>
                <w:b w:val="0"/>
                <w:sz w:val="24"/>
                <w:lang w:val="fr-CA"/>
              </w:rPr>
              <w:t xml:space="preserve"> </w:t>
            </w:r>
            <w:r w:rsidRPr="00BB11AF">
              <w:rPr>
                <w:rStyle w:val="Corpsdutexte2TimesNewRoman65ptGras"/>
                <w:rFonts w:eastAsia="Arial"/>
                <w:b w:val="0"/>
                <w:sz w:val="24"/>
                <w:lang w:val="fr-CA"/>
              </w:rPr>
              <w:t>2010</w:t>
            </w:r>
            <w:r w:rsidRPr="00BB11AF">
              <w:rPr>
                <w:sz w:val="24"/>
              </w:rPr>
              <w:t> :</w:t>
            </w:r>
            <w:r w:rsidRPr="00BB11AF">
              <w:rPr>
                <w:rStyle w:val="Corpsdutexte2TimesNewRoman65ptGras"/>
                <w:rFonts w:eastAsia="Arial"/>
                <w:b w:val="0"/>
                <w:sz w:val="24"/>
                <w:lang w:val="fr-CA"/>
              </w:rPr>
              <w:t>7</w:t>
            </w:r>
            <w:r w:rsidRPr="00BB11AF">
              <w:rPr>
                <w:sz w:val="24"/>
              </w:rPr>
              <w:t>.</w:t>
            </w:r>
          </w:p>
        </w:tc>
      </w:tr>
    </w:tbl>
    <w:p w:rsidR="003A3061" w:rsidRPr="00BB11AF" w:rsidRDefault="003A3061" w:rsidP="003A3061">
      <w:pPr>
        <w:spacing w:before="120" w:after="120"/>
        <w:jc w:val="both"/>
        <w:rPr>
          <w:szCs w:val="2"/>
        </w:rPr>
      </w:pPr>
    </w:p>
    <w:p w:rsidR="003A3061" w:rsidRPr="00BB11AF" w:rsidRDefault="003A3061" w:rsidP="003A3061">
      <w:pPr>
        <w:spacing w:before="120" w:after="120"/>
        <w:jc w:val="both"/>
      </w:pPr>
      <w:r w:rsidRPr="00BB11AF">
        <w:t>Le PIB est multiplié par 4,5 durant les 30 ans de la présidence de Moubarak (1981-2011), soit un des meilleurs résultats des pays du « tiers monde » (Koratayev et Zinkina 2011 : 140). Le taux annuel moyen de croissance est de 4,9%. En 2006 et 2007, la croissance de l'économie égyptienne est parmi les plus vigoureuses de la région Moyen-Orient/Afrique du Nord. Les réserves internationales du pays augmentent de 14,9 milliards de $ US en 2004 à 34,7 milliards de $ US en 2008 (Radwan 2009 : 6).</w:t>
      </w:r>
    </w:p>
    <w:p w:rsidR="003A3061" w:rsidRPr="00BB11AF" w:rsidRDefault="003A3061" w:rsidP="003A3061">
      <w:pPr>
        <w:spacing w:before="120" w:after="120"/>
        <w:jc w:val="both"/>
      </w:pPr>
      <w:r w:rsidRPr="00BB11AF">
        <w:t>[53]</w:t>
      </w:r>
    </w:p>
    <w:p w:rsidR="003A3061" w:rsidRPr="00BB11AF" w:rsidRDefault="003A3061" w:rsidP="003A3061">
      <w:pPr>
        <w:spacing w:before="120" w:after="120"/>
        <w:jc w:val="both"/>
      </w:pPr>
      <w:r w:rsidRPr="00BB11AF">
        <w:t>L'IDE et la croissance du PIB ne modifient toutefois pas une con</w:t>
      </w:r>
      <w:r w:rsidRPr="00BB11AF">
        <w:t>s</w:t>
      </w:r>
      <w:r w:rsidRPr="00BB11AF">
        <w:t>tante, avérée depuis l’</w:t>
      </w:r>
      <w:r w:rsidRPr="00BB11AF">
        <w:rPr>
          <w:i/>
        </w:rPr>
        <w:t>infitah</w:t>
      </w:r>
      <w:r w:rsidRPr="00BB11AF">
        <w:t xml:space="preserve"> des années 1970, soit le fait que l'écon</w:t>
      </w:r>
      <w:r w:rsidRPr="00BB11AF">
        <w:t>o</w:t>
      </w:r>
      <w:r w:rsidRPr="00BB11AF">
        <w:t>mie égyptienne est une économie à caractère rentier. Autrefois dom</w:t>
      </w:r>
      <w:r w:rsidRPr="00BB11AF">
        <w:t>i</w:t>
      </w:r>
      <w:r w:rsidRPr="00BB11AF">
        <w:t>nant, le coton a cédé sa place, moins à l'industrie -</w:t>
      </w:r>
      <w:r>
        <w:t xml:space="preserve"> </w:t>
      </w:r>
      <w:r w:rsidRPr="00BB11AF">
        <w:t>comme l'aurait r</w:t>
      </w:r>
      <w:r w:rsidRPr="00BB11AF">
        <w:t>e</w:t>
      </w:r>
      <w:r w:rsidRPr="00BB11AF">
        <w:t>commandé la politique de substitution des importations</w:t>
      </w:r>
      <w:r>
        <w:t xml:space="preserve"> </w:t>
      </w:r>
      <w:r w:rsidRPr="00BB11AF">
        <w:t>- qu'aux re</w:t>
      </w:r>
      <w:r w:rsidRPr="00BB11AF">
        <w:t>n</w:t>
      </w:r>
      <w:r w:rsidRPr="00BB11AF">
        <w:t>tes de situation et au tertiaire. L'économie post-coton dépend de quatre sou</w:t>
      </w:r>
      <w:r w:rsidRPr="00BB11AF">
        <w:t>r</w:t>
      </w:r>
      <w:r w:rsidRPr="00BB11AF">
        <w:t>ces de revenus, volatiles ou occasionnels (</w:t>
      </w:r>
      <w:r w:rsidRPr="00BB11AF">
        <w:rPr>
          <w:i/>
        </w:rPr>
        <w:t>windfall rents</w:t>
      </w:r>
      <w:r w:rsidRPr="00BB11AF">
        <w:t>), générés par un avantage naturel plutôt que par une infrastructure et un appareil productifs : le tourisme (environ 7% du PIB), les hydrocarbures (env</w:t>
      </w:r>
      <w:r w:rsidRPr="00BB11AF">
        <w:t>i</w:t>
      </w:r>
      <w:r w:rsidRPr="00BB11AF">
        <w:t>ron 7% du PIB), les fonds remis par les travailleurs égyptiens à l'étranger (environ 6% du PIB)</w:t>
      </w:r>
      <w:r>
        <w:t> </w:t>
      </w:r>
      <w:r>
        <w:rPr>
          <w:rStyle w:val="Appelnotedebasdep"/>
        </w:rPr>
        <w:footnoteReference w:id="36"/>
      </w:r>
      <w:r w:rsidRPr="00BB11AF">
        <w:t xml:space="preserve"> et les péages du canal de Suez (env</w:t>
      </w:r>
      <w:r w:rsidRPr="00BB11AF">
        <w:t>i</w:t>
      </w:r>
      <w:r w:rsidRPr="00BB11AF">
        <w:t>ron 4% du PIB). Ajoutons à cela les subventions américaines (env</w:t>
      </w:r>
      <w:r w:rsidRPr="00BB11AF">
        <w:t>i</w:t>
      </w:r>
      <w:r w:rsidRPr="00BB11AF">
        <w:t>ron 1,5% du PIB), dues à des considérations géopolitiques. Ainsi, le quart des ressources du pays provient de services et de rentes qui sont à la fois aléatoires et étroitement liés à la conjoncture. L'Égypte est la de</w:t>
      </w:r>
      <w:r w:rsidRPr="00BB11AF">
        <w:t>s</w:t>
      </w:r>
      <w:r w:rsidRPr="00BB11AF">
        <w:t>tination de 36% des touristes se dirigeant vers l'Afrique du Nord et de 8% des touristes allant du Moyen-Orient (Blominvest Bank 2010 : 20). La moitié des rev</w:t>
      </w:r>
      <w:r w:rsidRPr="00BB11AF">
        <w:t>e</w:t>
      </w:r>
      <w:r w:rsidRPr="00BB11AF">
        <w:t>nus d'exportation émanent du secteur pétrolier et gazier (African Development Bank 2009 :10 ; World Bank 2012 :1). Quant à l'industrie, elle compte pour 19% du PIB et dessert le marché intérieur, ne réalisant à l'étranger que 10% de ses ventes (Booz &amp; Compagny 2009 : 6).</w:t>
      </w:r>
    </w:p>
    <w:p w:rsidR="003A3061" w:rsidRPr="00BB11AF" w:rsidRDefault="003A3061" w:rsidP="003A3061">
      <w:pPr>
        <w:spacing w:before="120" w:after="120"/>
        <w:jc w:val="both"/>
      </w:pPr>
    </w:p>
    <w:p w:rsidR="003A3061" w:rsidRPr="00BB11AF" w:rsidRDefault="003A3061" w:rsidP="003A3061">
      <w:pPr>
        <w:spacing w:before="120" w:after="120"/>
        <w:ind w:firstLine="0"/>
        <w:jc w:val="center"/>
        <w:rPr>
          <w:b/>
          <w:bCs/>
          <w:sz w:val="24"/>
          <w:szCs w:val="24"/>
        </w:rPr>
      </w:pPr>
      <w:r w:rsidRPr="00BB11AF">
        <w:rPr>
          <w:b/>
          <w:bCs/>
          <w:sz w:val="24"/>
          <w:szCs w:val="24"/>
        </w:rPr>
        <w:t>Tableau 4.</w:t>
      </w:r>
      <w:r w:rsidRPr="00BB11AF">
        <w:rPr>
          <w:b/>
          <w:bCs/>
          <w:sz w:val="24"/>
          <w:szCs w:val="24"/>
        </w:rPr>
        <w:br/>
        <w:t>Sources de revenus Milliards de $ US</w:t>
      </w:r>
    </w:p>
    <w:tbl>
      <w:tblPr>
        <w:tblOverlap w:val="never"/>
        <w:tblW w:w="0" w:type="auto"/>
        <w:tblLayout w:type="fixed"/>
        <w:tblCellMar>
          <w:left w:w="10" w:type="dxa"/>
          <w:right w:w="10" w:type="dxa"/>
        </w:tblCellMar>
        <w:tblLook w:val="04A0" w:firstRow="1" w:lastRow="0" w:firstColumn="1" w:lastColumn="0" w:noHBand="0" w:noVBand="1"/>
      </w:tblPr>
      <w:tblGrid>
        <w:gridCol w:w="1630"/>
        <w:gridCol w:w="1338"/>
        <w:gridCol w:w="1654"/>
        <w:gridCol w:w="1958"/>
        <w:gridCol w:w="1350"/>
      </w:tblGrid>
      <w:tr w:rsidR="003A3061" w:rsidRPr="00BB11AF">
        <w:tblPrEx>
          <w:tblCellMar>
            <w:top w:w="0" w:type="dxa"/>
            <w:bottom w:w="0" w:type="dxa"/>
          </w:tblCellMar>
        </w:tblPrEx>
        <w:tc>
          <w:tcPr>
            <w:tcW w:w="1630" w:type="dxa"/>
            <w:tcBorders>
              <w:top w:val="single" w:sz="12" w:space="0" w:color="auto"/>
              <w:bottom w:val="single" w:sz="12" w:space="0" w:color="auto"/>
            </w:tcBorders>
            <w:shd w:val="clear" w:color="auto" w:fill="EAF1DD"/>
            <w:vAlign w:val="center"/>
          </w:tcPr>
          <w:p w:rsidR="003A3061" w:rsidRPr="00BB11AF" w:rsidRDefault="003A3061" w:rsidP="003A3061">
            <w:pPr>
              <w:spacing w:before="120" w:after="120"/>
              <w:ind w:left="86" w:right="130" w:firstLine="0"/>
              <w:jc w:val="both"/>
              <w:rPr>
                <w:sz w:val="24"/>
              </w:rPr>
            </w:pPr>
            <w:r w:rsidRPr="00BB11AF">
              <w:rPr>
                <w:rStyle w:val="Corpsdutexte275ptGras"/>
                <w:b w:val="0"/>
                <w:sz w:val="24"/>
                <w:lang w:val="fr-CA"/>
              </w:rPr>
              <w:t>Année</w:t>
            </w:r>
          </w:p>
        </w:tc>
        <w:tc>
          <w:tcPr>
            <w:tcW w:w="1338" w:type="dxa"/>
            <w:tcBorders>
              <w:top w:val="single" w:sz="12" w:space="0" w:color="auto"/>
              <w:bottom w:val="single" w:sz="12" w:space="0" w:color="auto"/>
            </w:tcBorders>
            <w:shd w:val="clear" w:color="auto" w:fill="EAF1DD"/>
            <w:vAlign w:val="center"/>
          </w:tcPr>
          <w:p w:rsidR="003A3061" w:rsidRPr="00BB11AF" w:rsidRDefault="003A3061" w:rsidP="003A3061">
            <w:pPr>
              <w:spacing w:before="120" w:after="120"/>
              <w:ind w:left="86" w:right="130" w:firstLine="0"/>
              <w:jc w:val="center"/>
              <w:rPr>
                <w:sz w:val="24"/>
              </w:rPr>
            </w:pPr>
            <w:r w:rsidRPr="00BB11AF">
              <w:rPr>
                <w:rStyle w:val="Corpsdutexte275ptGras"/>
                <w:b w:val="0"/>
                <w:sz w:val="24"/>
                <w:lang w:val="fr-CA"/>
              </w:rPr>
              <w:t>To</w:t>
            </w:r>
            <w:r w:rsidRPr="00BB11AF">
              <w:rPr>
                <w:rStyle w:val="Corpsdutexte275ptGras"/>
                <w:b w:val="0"/>
                <w:sz w:val="24"/>
                <w:lang w:val="fr-CA"/>
              </w:rPr>
              <w:t>u</w:t>
            </w:r>
            <w:r w:rsidRPr="00BB11AF">
              <w:rPr>
                <w:rStyle w:val="Corpsdutexte275ptGras"/>
                <w:b w:val="0"/>
                <w:sz w:val="24"/>
                <w:lang w:val="fr-CA"/>
              </w:rPr>
              <w:t>risme</w:t>
            </w:r>
          </w:p>
        </w:tc>
        <w:tc>
          <w:tcPr>
            <w:tcW w:w="1654" w:type="dxa"/>
            <w:tcBorders>
              <w:top w:val="single" w:sz="12" w:space="0" w:color="auto"/>
              <w:bottom w:val="single" w:sz="12" w:space="0" w:color="auto"/>
            </w:tcBorders>
            <w:shd w:val="clear" w:color="auto" w:fill="EAF1DD"/>
            <w:vAlign w:val="center"/>
          </w:tcPr>
          <w:p w:rsidR="003A3061" w:rsidRPr="00BB11AF" w:rsidRDefault="003A3061" w:rsidP="003A3061">
            <w:pPr>
              <w:spacing w:before="120" w:after="120"/>
              <w:ind w:left="86" w:right="130" w:firstLine="0"/>
              <w:jc w:val="center"/>
              <w:rPr>
                <w:sz w:val="24"/>
              </w:rPr>
            </w:pPr>
            <w:r w:rsidRPr="00BB11AF">
              <w:rPr>
                <w:rStyle w:val="Corpsdutexte275ptGras"/>
                <w:b w:val="0"/>
                <w:sz w:val="24"/>
                <w:lang w:val="fr-CA"/>
              </w:rPr>
              <w:t>Export</w:t>
            </w:r>
            <w:r w:rsidRPr="00BB11AF">
              <w:rPr>
                <w:rStyle w:val="Corpsdutexte275ptGras"/>
                <w:b w:val="0"/>
                <w:sz w:val="24"/>
                <w:lang w:val="fr-CA"/>
              </w:rPr>
              <w:t>a</w:t>
            </w:r>
            <w:r w:rsidRPr="00BB11AF">
              <w:rPr>
                <w:rStyle w:val="Corpsdutexte275ptGras"/>
                <w:b w:val="0"/>
                <w:sz w:val="24"/>
                <w:lang w:val="fr-CA"/>
              </w:rPr>
              <w:t>tions</w:t>
            </w:r>
          </w:p>
          <w:p w:rsidR="003A3061" w:rsidRPr="00BB11AF" w:rsidRDefault="003A3061" w:rsidP="003A3061">
            <w:pPr>
              <w:spacing w:before="120" w:after="120"/>
              <w:ind w:left="86" w:right="130" w:firstLine="0"/>
              <w:jc w:val="center"/>
              <w:rPr>
                <w:sz w:val="24"/>
              </w:rPr>
            </w:pPr>
            <w:r w:rsidRPr="00BB11AF">
              <w:rPr>
                <w:rStyle w:val="Corpsdutexte275ptGras"/>
                <w:b w:val="0"/>
                <w:sz w:val="24"/>
                <w:lang w:val="fr-CA"/>
              </w:rPr>
              <w:t>pétroli</w:t>
            </w:r>
            <w:r w:rsidRPr="00BB11AF">
              <w:rPr>
                <w:rStyle w:val="Corpsdutexte275ptGras"/>
                <w:b w:val="0"/>
                <w:sz w:val="24"/>
                <w:lang w:val="fr-CA"/>
              </w:rPr>
              <w:t>è</w:t>
            </w:r>
            <w:r w:rsidRPr="00BB11AF">
              <w:rPr>
                <w:rStyle w:val="Corpsdutexte275ptGras"/>
                <w:b w:val="0"/>
                <w:sz w:val="24"/>
                <w:lang w:val="fr-CA"/>
              </w:rPr>
              <w:t>res</w:t>
            </w:r>
          </w:p>
        </w:tc>
        <w:tc>
          <w:tcPr>
            <w:tcW w:w="1958" w:type="dxa"/>
            <w:tcBorders>
              <w:top w:val="single" w:sz="12" w:space="0" w:color="auto"/>
              <w:bottom w:val="single" w:sz="12" w:space="0" w:color="auto"/>
            </w:tcBorders>
            <w:shd w:val="clear" w:color="auto" w:fill="EAF1DD"/>
            <w:vAlign w:val="bottom"/>
          </w:tcPr>
          <w:p w:rsidR="003A3061" w:rsidRPr="00BB11AF" w:rsidRDefault="003A3061" w:rsidP="003A3061">
            <w:pPr>
              <w:spacing w:before="120" w:after="120"/>
              <w:ind w:left="86" w:right="130" w:firstLine="0"/>
              <w:jc w:val="center"/>
              <w:rPr>
                <w:sz w:val="24"/>
              </w:rPr>
            </w:pPr>
            <w:r w:rsidRPr="00BB11AF">
              <w:rPr>
                <w:rStyle w:val="Corpsdutexte275ptGras"/>
                <w:b w:val="0"/>
                <w:sz w:val="24"/>
                <w:lang w:val="fr-CA"/>
              </w:rPr>
              <w:t>Remises</w:t>
            </w:r>
            <w:r w:rsidRPr="00BB11AF">
              <w:rPr>
                <w:rStyle w:val="Corpsdutexte275ptGras"/>
                <w:b w:val="0"/>
                <w:sz w:val="24"/>
                <w:lang w:val="fr-CA"/>
              </w:rPr>
              <w:br/>
              <w:t>des travai</w:t>
            </w:r>
            <w:r w:rsidRPr="00BB11AF">
              <w:rPr>
                <w:rStyle w:val="Corpsdutexte275ptGras"/>
                <w:b w:val="0"/>
                <w:sz w:val="24"/>
                <w:lang w:val="fr-CA"/>
              </w:rPr>
              <w:t>l</w:t>
            </w:r>
            <w:r w:rsidRPr="00BB11AF">
              <w:rPr>
                <w:rStyle w:val="Corpsdutexte275ptGras"/>
                <w:b w:val="0"/>
                <w:sz w:val="24"/>
                <w:lang w:val="fr-CA"/>
              </w:rPr>
              <w:t>leurs</w:t>
            </w:r>
            <w:r w:rsidRPr="00BB11AF">
              <w:rPr>
                <w:rStyle w:val="Corpsdutexte275ptGras"/>
                <w:b w:val="0"/>
                <w:sz w:val="24"/>
                <w:lang w:val="fr-CA"/>
              </w:rPr>
              <w:br/>
              <w:t>à l'étranger</w:t>
            </w:r>
          </w:p>
        </w:tc>
        <w:tc>
          <w:tcPr>
            <w:tcW w:w="1350" w:type="dxa"/>
            <w:tcBorders>
              <w:top w:val="single" w:sz="12" w:space="0" w:color="auto"/>
              <w:bottom w:val="single" w:sz="12" w:space="0" w:color="auto"/>
            </w:tcBorders>
            <w:shd w:val="clear" w:color="auto" w:fill="EAF1DD"/>
            <w:vAlign w:val="center"/>
          </w:tcPr>
          <w:p w:rsidR="003A3061" w:rsidRPr="00BB11AF" w:rsidRDefault="003A3061" w:rsidP="003A3061">
            <w:pPr>
              <w:spacing w:before="120" w:after="120"/>
              <w:ind w:left="86" w:right="130" w:firstLine="0"/>
              <w:jc w:val="center"/>
              <w:rPr>
                <w:sz w:val="24"/>
              </w:rPr>
            </w:pPr>
            <w:r w:rsidRPr="00BB11AF">
              <w:rPr>
                <w:rStyle w:val="Corpsdutexte275ptGras"/>
                <w:b w:val="0"/>
                <w:sz w:val="24"/>
                <w:lang w:val="fr-CA"/>
              </w:rPr>
              <w:t>C</w:t>
            </w:r>
            <w:r w:rsidRPr="00BB11AF">
              <w:rPr>
                <w:rStyle w:val="Corpsdutexte275ptGras"/>
                <w:b w:val="0"/>
                <w:sz w:val="24"/>
                <w:lang w:val="fr-CA"/>
              </w:rPr>
              <w:t>a</w:t>
            </w:r>
            <w:r w:rsidRPr="00BB11AF">
              <w:rPr>
                <w:rStyle w:val="Corpsdutexte275ptGras"/>
                <w:b w:val="0"/>
                <w:sz w:val="24"/>
                <w:lang w:val="fr-CA"/>
              </w:rPr>
              <w:t>nal</w:t>
            </w:r>
            <w:r w:rsidRPr="00BB11AF">
              <w:rPr>
                <w:rStyle w:val="Corpsdutexte275ptGras"/>
                <w:b w:val="0"/>
                <w:sz w:val="24"/>
                <w:lang w:val="fr-CA"/>
              </w:rPr>
              <w:br/>
              <w:t>de Suez</w:t>
            </w:r>
          </w:p>
        </w:tc>
      </w:tr>
      <w:tr w:rsidR="003A3061" w:rsidRPr="00BB11AF">
        <w:tblPrEx>
          <w:tblCellMar>
            <w:top w:w="0" w:type="dxa"/>
            <w:bottom w:w="0" w:type="dxa"/>
          </w:tblCellMar>
        </w:tblPrEx>
        <w:tc>
          <w:tcPr>
            <w:tcW w:w="1630" w:type="dxa"/>
            <w:tcBorders>
              <w:top w:val="single" w:sz="12" w:space="0" w:color="auto"/>
            </w:tcBorders>
            <w:shd w:val="clear" w:color="auto" w:fill="FFFFFF"/>
            <w:vAlign w:val="bottom"/>
          </w:tcPr>
          <w:p w:rsidR="003A3061" w:rsidRPr="00BB11AF" w:rsidRDefault="003A3061" w:rsidP="003A3061">
            <w:pPr>
              <w:spacing w:before="120"/>
              <w:ind w:left="86" w:right="130" w:firstLine="0"/>
              <w:jc w:val="both"/>
              <w:rPr>
                <w:sz w:val="24"/>
              </w:rPr>
            </w:pPr>
            <w:r w:rsidRPr="00BB11AF">
              <w:rPr>
                <w:rStyle w:val="Corpsdutexte275ptGras"/>
                <w:b w:val="0"/>
                <w:sz w:val="24"/>
                <w:lang w:val="fr-CA"/>
              </w:rPr>
              <w:t>1998-1999</w:t>
            </w:r>
          </w:p>
        </w:tc>
        <w:tc>
          <w:tcPr>
            <w:tcW w:w="1338" w:type="dxa"/>
            <w:tcBorders>
              <w:top w:val="single" w:sz="12" w:space="0" w:color="auto"/>
            </w:tcBorders>
            <w:shd w:val="clear" w:color="auto" w:fill="FFFFFF"/>
            <w:vAlign w:val="bottom"/>
          </w:tcPr>
          <w:p w:rsidR="003A3061" w:rsidRPr="00BB11AF" w:rsidRDefault="003A3061" w:rsidP="003A3061">
            <w:pPr>
              <w:spacing w:before="120"/>
              <w:ind w:left="86" w:right="130" w:firstLine="0"/>
              <w:jc w:val="center"/>
              <w:rPr>
                <w:sz w:val="24"/>
              </w:rPr>
            </w:pPr>
            <w:r w:rsidRPr="00BB11AF">
              <w:rPr>
                <w:sz w:val="24"/>
              </w:rPr>
              <w:t>3,2</w:t>
            </w:r>
          </w:p>
        </w:tc>
        <w:tc>
          <w:tcPr>
            <w:tcW w:w="1654" w:type="dxa"/>
            <w:tcBorders>
              <w:top w:val="single" w:sz="12" w:space="0" w:color="auto"/>
            </w:tcBorders>
            <w:shd w:val="clear" w:color="auto" w:fill="FFFFFF"/>
            <w:vAlign w:val="bottom"/>
          </w:tcPr>
          <w:p w:rsidR="003A3061" w:rsidRPr="00BB11AF" w:rsidRDefault="003A3061" w:rsidP="003A3061">
            <w:pPr>
              <w:spacing w:before="120"/>
              <w:ind w:left="86" w:right="130" w:firstLine="0"/>
              <w:jc w:val="center"/>
              <w:rPr>
                <w:sz w:val="24"/>
              </w:rPr>
            </w:pPr>
            <w:r w:rsidRPr="00BB11AF">
              <w:rPr>
                <w:rStyle w:val="Corpsdutexte275ptGras"/>
                <w:b w:val="0"/>
                <w:sz w:val="24"/>
                <w:lang w:val="fr-CA"/>
              </w:rPr>
              <w:t>1,0</w:t>
            </w:r>
          </w:p>
        </w:tc>
        <w:tc>
          <w:tcPr>
            <w:tcW w:w="1958" w:type="dxa"/>
            <w:tcBorders>
              <w:top w:val="single" w:sz="12" w:space="0" w:color="auto"/>
            </w:tcBorders>
            <w:shd w:val="clear" w:color="auto" w:fill="FFFFFF"/>
            <w:vAlign w:val="bottom"/>
          </w:tcPr>
          <w:p w:rsidR="003A3061" w:rsidRPr="00BB11AF" w:rsidRDefault="003A3061" w:rsidP="003A3061">
            <w:pPr>
              <w:spacing w:before="120"/>
              <w:ind w:left="86" w:right="130" w:firstLine="0"/>
              <w:jc w:val="center"/>
              <w:rPr>
                <w:sz w:val="24"/>
              </w:rPr>
            </w:pPr>
            <w:r w:rsidRPr="00BB11AF">
              <w:rPr>
                <w:sz w:val="24"/>
              </w:rPr>
              <w:t>4,6</w:t>
            </w:r>
          </w:p>
        </w:tc>
        <w:tc>
          <w:tcPr>
            <w:tcW w:w="1350" w:type="dxa"/>
            <w:tcBorders>
              <w:top w:val="single" w:sz="12" w:space="0" w:color="auto"/>
            </w:tcBorders>
            <w:shd w:val="clear" w:color="auto" w:fill="FFFFFF"/>
            <w:vAlign w:val="bottom"/>
          </w:tcPr>
          <w:p w:rsidR="003A3061" w:rsidRPr="00BB11AF" w:rsidRDefault="003A3061" w:rsidP="003A3061">
            <w:pPr>
              <w:spacing w:before="120"/>
              <w:ind w:left="86" w:right="130" w:firstLine="0"/>
              <w:jc w:val="center"/>
              <w:rPr>
                <w:sz w:val="24"/>
              </w:rPr>
            </w:pPr>
            <w:r w:rsidRPr="00BB11AF">
              <w:rPr>
                <w:rStyle w:val="Corpsdutexte275ptGras"/>
                <w:b w:val="0"/>
                <w:sz w:val="24"/>
                <w:lang w:val="fr-CA"/>
              </w:rPr>
              <w:t>1,8</w:t>
            </w:r>
          </w:p>
        </w:tc>
      </w:tr>
      <w:tr w:rsidR="003A3061" w:rsidRPr="00BB11AF">
        <w:tblPrEx>
          <w:tblCellMar>
            <w:top w:w="0" w:type="dxa"/>
            <w:bottom w:w="0" w:type="dxa"/>
          </w:tblCellMar>
        </w:tblPrEx>
        <w:tc>
          <w:tcPr>
            <w:tcW w:w="1630" w:type="dxa"/>
            <w:shd w:val="clear" w:color="auto" w:fill="FFFFFF"/>
            <w:vAlign w:val="bottom"/>
          </w:tcPr>
          <w:p w:rsidR="003A3061" w:rsidRPr="00BB11AF" w:rsidRDefault="003A3061" w:rsidP="003A3061">
            <w:pPr>
              <w:ind w:left="90" w:right="125" w:firstLine="0"/>
              <w:jc w:val="both"/>
              <w:rPr>
                <w:sz w:val="24"/>
              </w:rPr>
            </w:pPr>
            <w:r w:rsidRPr="00BB11AF">
              <w:rPr>
                <w:sz w:val="24"/>
              </w:rPr>
              <w:t>1999-2000</w:t>
            </w:r>
          </w:p>
        </w:tc>
        <w:tc>
          <w:tcPr>
            <w:tcW w:w="1338" w:type="dxa"/>
            <w:shd w:val="clear" w:color="auto" w:fill="FFFFFF"/>
            <w:vAlign w:val="bottom"/>
          </w:tcPr>
          <w:p w:rsidR="003A3061" w:rsidRPr="00BB11AF" w:rsidRDefault="003A3061" w:rsidP="003A3061">
            <w:pPr>
              <w:ind w:left="90" w:right="125" w:firstLine="0"/>
              <w:jc w:val="center"/>
              <w:rPr>
                <w:sz w:val="24"/>
              </w:rPr>
            </w:pPr>
            <w:r w:rsidRPr="00BB11AF">
              <w:rPr>
                <w:rStyle w:val="Corpsdutexte27ptGras"/>
                <w:rFonts w:ascii="Times New Roman" w:hAnsi="Times New Roman"/>
                <w:b w:val="0"/>
                <w:sz w:val="24"/>
                <w:lang w:val="fr-CA"/>
              </w:rPr>
              <w:t>3,2</w:t>
            </w:r>
          </w:p>
        </w:tc>
        <w:tc>
          <w:tcPr>
            <w:tcW w:w="1654" w:type="dxa"/>
            <w:shd w:val="clear" w:color="auto" w:fill="FFFFFF"/>
            <w:vAlign w:val="bottom"/>
          </w:tcPr>
          <w:p w:rsidR="003A3061" w:rsidRPr="00BB11AF" w:rsidRDefault="003A3061" w:rsidP="003A3061">
            <w:pPr>
              <w:ind w:left="90" w:right="125" w:firstLine="0"/>
              <w:jc w:val="center"/>
              <w:rPr>
                <w:sz w:val="24"/>
              </w:rPr>
            </w:pPr>
            <w:r w:rsidRPr="00BB11AF">
              <w:rPr>
                <w:sz w:val="24"/>
              </w:rPr>
              <w:t>2,3</w:t>
            </w:r>
          </w:p>
        </w:tc>
        <w:tc>
          <w:tcPr>
            <w:tcW w:w="1958" w:type="dxa"/>
            <w:shd w:val="clear" w:color="auto" w:fill="FFFFFF"/>
            <w:vAlign w:val="bottom"/>
          </w:tcPr>
          <w:p w:rsidR="003A3061" w:rsidRPr="00BB11AF" w:rsidRDefault="003A3061" w:rsidP="003A3061">
            <w:pPr>
              <w:ind w:left="90" w:right="125" w:firstLine="0"/>
              <w:jc w:val="center"/>
              <w:rPr>
                <w:sz w:val="24"/>
              </w:rPr>
            </w:pPr>
            <w:r w:rsidRPr="00BB11AF">
              <w:rPr>
                <w:rStyle w:val="Corpsdutexte27ptGras"/>
                <w:rFonts w:ascii="Times New Roman" w:hAnsi="Times New Roman"/>
                <w:b w:val="0"/>
                <w:sz w:val="24"/>
                <w:lang w:val="fr-CA"/>
              </w:rPr>
              <w:t>4,7</w:t>
            </w:r>
          </w:p>
        </w:tc>
        <w:tc>
          <w:tcPr>
            <w:tcW w:w="1350" w:type="dxa"/>
            <w:shd w:val="clear" w:color="auto" w:fill="FFFFFF"/>
            <w:vAlign w:val="bottom"/>
          </w:tcPr>
          <w:p w:rsidR="003A3061" w:rsidRPr="00BB11AF" w:rsidRDefault="003A3061" w:rsidP="003A3061">
            <w:pPr>
              <w:ind w:left="90" w:right="125" w:firstLine="0"/>
              <w:jc w:val="center"/>
              <w:rPr>
                <w:sz w:val="24"/>
              </w:rPr>
            </w:pPr>
            <w:r w:rsidRPr="00BB11AF">
              <w:rPr>
                <w:rStyle w:val="Corpsdutexte275ptGras"/>
                <w:b w:val="0"/>
                <w:sz w:val="24"/>
                <w:lang w:val="fr-CA"/>
              </w:rPr>
              <w:t>1,8</w:t>
            </w:r>
          </w:p>
        </w:tc>
      </w:tr>
      <w:tr w:rsidR="003A3061" w:rsidRPr="00BB11AF">
        <w:tblPrEx>
          <w:tblCellMar>
            <w:top w:w="0" w:type="dxa"/>
            <w:bottom w:w="0" w:type="dxa"/>
          </w:tblCellMar>
        </w:tblPrEx>
        <w:tc>
          <w:tcPr>
            <w:tcW w:w="1630" w:type="dxa"/>
            <w:shd w:val="clear" w:color="auto" w:fill="FFFFFF"/>
            <w:vAlign w:val="bottom"/>
          </w:tcPr>
          <w:p w:rsidR="003A3061" w:rsidRPr="00BB11AF" w:rsidRDefault="003A3061" w:rsidP="003A3061">
            <w:pPr>
              <w:ind w:left="90" w:right="125" w:firstLine="0"/>
              <w:jc w:val="both"/>
              <w:rPr>
                <w:sz w:val="24"/>
              </w:rPr>
            </w:pPr>
            <w:r w:rsidRPr="00BB11AF">
              <w:rPr>
                <w:rStyle w:val="Corpsdutexte275ptGras"/>
                <w:b w:val="0"/>
                <w:sz w:val="24"/>
                <w:lang w:val="fr-CA"/>
              </w:rPr>
              <w:t>2000-2001</w:t>
            </w:r>
          </w:p>
        </w:tc>
        <w:tc>
          <w:tcPr>
            <w:tcW w:w="1338" w:type="dxa"/>
            <w:shd w:val="clear" w:color="auto" w:fill="FFFFFF"/>
            <w:vAlign w:val="bottom"/>
          </w:tcPr>
          <w:p w:rsidR="003A3061" w:rsidRPr="00BB11AF" w:rsidRDefault="003A3061" w:rsidP="003A3061">
            <w:pPr>
              <w:ind w:left="90" w:right="125" w:firstLine="0"/>
              <w:jc w:val="center"/>
              <w:rPr>
                <w:sz w:val="24"/>
              </w:rPr>
            </w:pPr>
            <w:r w:rsidRPr="00BB11AF">
              <w:rPr>
                <w:sz w:val="24"/>
              </w:rPr>
              <w:t>4,3</w:t>
            </w:r>
          </w:p>
        </w:tc>
        <w:tc>
          <w:tcPr>
            <w:tcW w:w="1654" w:type="dxa"/>
            <w:shd w:val="clear" w:color="auto" w:fill="FFFFFF"/>
            <w:vAlign w:val="bottom"/>
          </w:tcPr>
          <w:p w:rsidR="003A3061" w:rsidRPr="00BB11AF" w:rsidRDefault="003A3061" w:rsidP="003A3061">
            <w:pPr>
              <w:ind w:left="90" w:right="125" w:firstLine="0"/>
              <w:jc w:val="center"/>
              <w:rPr>
                <w:sz w:val="24"/>
              </w:rPr>
            </w:pPr>
            <w:r w:rsidRPr="00BB11AF">
              <w:rPr>
                <w:rStyle w:val="Corpsdutexte275ptGras"/>
                <w:b w:val="0"/>
                <w:sz w:val="24"/>
                <w:lang w:val="fr-CA"/>
              </w:rPr>
              <w:t>2,6</w:t>
            </w:r>
          </w:p>
        </w:tc>
        <w:tc>
          <w:tcPr>
            <w:tcW w:w="1958" w:type="dxa"/>
            <w:shd w:val="clear" w:color="auto" w:fill="FFFFFF"/>
            <w:vAlign w:val="bottom"/>
          </w:tcPr>
          <w:p w:rsidR="003A3061" w:rsidRPr="00BB11AF" w:rsidRDefault="003A3061" w:rsidP="003A3061">
            <w:pPr>
              <w:ind w:left="90" w:right="125" w:firstLine="0"/>
              <w:jc w:val="center"/>
              <w:rPr>
                <w:sz w:val="24"/>
              </w:rPr>
            </w:pPr>
            <w:r w:rsidRPr="00BB11AF">
              <w:rPr>
                <w:sz w:val="24"/>
              </w:rPr>
              <w:t>2,7</w:t>
            </w:r>
          </w:p>
        </w:tc>
        <w:tc>
          <w:tcPr>
            <w:tcW w:w="1350" w:type="dxa"/>
            <w:shd w:val="clear" w:color="auto" w:fill="FFFFFF"/>
            <w:vAlign w:val="bottom"/>
          </w:tcPr>
          <w:p w:rsidR="003A3061" w:rsidRPr="00BB11AF" w:rsidRDefault="003A3061" w:rsidP="003A3061">
            <w:pPr>
              <w:ind w:left="90" w:right="125" w:firstLine="0"/>
              <w:jc w:val="center"/>
              <w:rPr>
                <w:sz w:val="24"/>
              </w:rPr>
            </w:pPr>
            <w:r w:rsidRPr="00BB11AF">
              <w:rPr>
                <w:rStyle w:val="Corpsdutexte275ptGras"/>
                <w:b w:val="0"/>
                <w:sz w:val="24"/>
                <w:lang w:val="fr-CA"/>
              </w:rPr>
              <w:t>1,8</w:t>
            </w:r>
          </w:p>
        </w:tc>
      </w:tr>
      <w:tr w:rsidR="003A3061" w:rsidRPr="00BB11AF">
        <w:tblPrEx>
          <w:tblCellMar>
            <w:top w:w="0" w:type="dxa"/>
            <w:bottom w:w="0" w:type="dxa"/>
          </w:tblCellMar>
        </w:tblPrEx>
        <w:tc>
          <w:tcPr>
            <w:tcW w:w="1630" w:type="dxa"/>
            <w:shd w:val="clear" w:color="auto" w:fill="FFFFFF"/>
            <w:vAlign w:val="bottom"/>
          </w:tcPr>
          <w:p w:rsidR="003A3061" w:rsidRPr="00BB11AF" w:rsidRDefault="003A3061" w:rsidP="003A3061">
            <w:pPr>
              <w:ind w:left="90" w:right="125" w:firstLine="0"/>
              <w:jc w:val="both"/>
              <w:rPr>
                <w:sz w:val="24"/>
              </w:rPr>
            </w:pPr>
            <w:r w:rsidRPr="00BB11AF">
              <w:rPr>
                <w:rStyle w:val="Corpsdutexte275ptGras"/>
                <w:b w:val="0"/>
                <w:sz w:val="24"/>
                <w:lang w:val="fr-CA"/>
              </w:rPr>
              <w:t>2002</w:t>
            </w:r>
          </w:p>
        </w:tc>
        <w:tc>
          <w:tcPr>
            <w:tcW w:w="1338" w:type="dxa"/>
            <w:shd w:val="clear" w:color="auto" w:fill="FFFFFF"/>
            <w:vAlign w:val="bottom"/>
          </w:tcPr>
          <w:p w:rsidR="003A3061" w:rsidRPr="00BB11AF" w:rsidRDefault="003A3061" w:rsidP="003A3061">
            <w:pPr>
              <w:ind w:left="90" w:right="125" w:firstLine="0"/>
              <w:jc w:val="center"/>
              <w:rPr>
                <w:sz w:val="24"/>
              </w:rPr>
            </w:pPr>
            <w:r w:rsidRPr="00BB11AF">
              <w:rPr>
                <w:rStyle w:val="Corpsdutexte27ptGras"/>
                <w:rFonts w:ascii="Times New Roman" w:hAnsi="Times New Roman"/>
                <w:b w:val="0"/>
                <w:sz w:val="24"/>
                <w:lang w:val="fr-CA"/>
              </w:rPr>
              <w:t>3,4</w:t>
            </w:r>
          </w:p>
        </w:tc>
        <w:tc>
          <w:tcPr>
            <w:tcW w:w="1654" w:type="dxa"/>
            <w:shd w:val="clear" w:color="auto" w:fill="FFFFFF"/>
            <w:vAlign w:val="bottom"/>
          </w:tcPr>
          <w:p w:rsidR="003A3061" w:rsidRPr="00BB11AF" w:rsidRDefault="003A3061" w:rsidP="003A3061">
            <w:pPr>
              <w:ind w:left="90" w:right="125" w:firstLine="0"/>
              <w:jc w:val="center"/>
              <w:rPr>
                <w:sz w:val="24"/>
              </w:rPr>
            </w:pPr>
            <w:r w:rsidRPr="00BB11AF">
              <w:rPr>
                <w:sz w:val="24"/>
              </w:rPr>
              <w:t>2,4</w:t>
            </w:r>
          </w:p>
        </w:tc>
        <w:tc>
          <w:tcPr>
            <w:tcW w:w="1958" w:type="dxa"/>
            <w:shd w:val="clear" w:color="auto" w:fill="FFFFFF"/>
            <w:vAlign w:val="bottom"/>
          </w:tcPr>
          <w:p w:rsidR="003A3061" w:rsidRPr="00BB11AF" w:rsidRDefault="003A3061" w:rsidP="003A3061">
            <w:pPr>
              <w:ind w:left="90" w:right="125" w:firstLine="0"/>
              <w:jc w:val="center"/>
              <w:rPr>
                <w:sz w:val="24"/>
              </w:rPr>
            </w:pPr>
            <w:r w:rsidRPr="00BB11AF">
              <w:rPr>
                <w:rStyle w:val="Corpsdutexte27ptGras"/>
                <w:rFonts w:ascii="Times New Roman" w:hAnsi="Times New Roman"/>
                <w:b w:val="0"/>
                <w:sz w:val="24"/>
                <w:lang w:val="fr-CA"/>
              </w:rPr>
              <w:t>3,0</w:t>
            </w:r>
          </w:p>
        </w:tc>
        <w:tc>
          <w:tcPr>
            <w:tcW w:w="1350" w:type="dxa"/>
            <w:shd w:val="clear" w:color="auto" w:fill="FFFFFF"/>
            <w:vAlign w:val="bottom"/>
          </w:tcPr>
          <w:p w:rsidR="003A3061" w:rsidRPr="00BB11AF" w:rsidRDefault="003A3061" w:rsidP="003A3061">
            <w:pPr>
              <w:ind w:left="90" w:right="125" w:firstLine="0"/>
              <w:jc w:val="center"/>
              <w:rPr>
                <w:sz w:val="24"/>
              </w:rPr>
            </w:pPr>
            <w:r w:rsidRPr="00BB11AF">
              <w:rPr>
                <w:rStyle w:val="Corpsdutexte275ptGras"/>
                <w:b w:val="0"/>
                <w:sz w:val="24"/>
                <w:lang w:val="fr-CA"/>
              </w:rPr>
              <w:t>1,8</w:t>
            </w:r>
          </w:p>
        </w:tc>
      </w:tr>
      <w:tr w:rsidR="003A3061" w:rsidRPr="00BB11AF">
        <w:tblPrEx>
          <w:tblCellMar>
            <w:top w:w="0" w:type="dxa"/>
            <w:bottom w:w="0" w:type="dxa"/>
          </w:tblCellMar>
        </w:tblPrEx>
        <w:tc>
          <w:tcPr>
            <w:tcW w:w="1630" w:type="dxa"/>
            <w:shd w:val="clear" w:color="auto" w:fill="FFFFFF"/>
            <w:vAlign w:val="bottom"/>
          </w:tcPr>
          <w:p w:rsidR="003A3061" w:rsidRPr="00BB11AF" w:rsidRDefault="003A3061" w:rsidP="003A3061">
            <w:pPr>
              <w:ind w:left="90" w:right="125" w:firstLine="0"/>
              <w:jc w:val="both"/>
              <w:rPr>
                <w:sz w:val="24"/>
              </w:rPr>
            </w:pPr>
            <w:r w:rsidRPr="00BB11AF">
              <w:rPr>
                <w:rStyle w:val="Corpsdutexte275ptGras"/>
                <w:b w:val="0"/>
                <w:sz w:val="24"/>
                <w:lang w:val="fr-CA"/>
              </w:rPr>
              <w:t>2003</w:t>
            </w:r>
          </w:p>
        </w:tc>
        <w:tc>
          <w:tcPr>
            <w:tcW w:w="1338" w:type="dxa"/>
            <w:shd w:val="clear" w:color="auto" w:fill="FFFFFF"/>
            <w:vAlign w:val="bottom"/>
          </w:tcPr>
          <w:p w:rsidR="003A3061" w:rsidRPr="00BB11AF" w:rsidRDefault="003A3061" w:rsidP="003A3061">
            <w:pPr>
              <w:ind w:left="90" w:right="125" w:firstLine="0"/>
              <w:jc w:val="center"/>
              <w:rPr>
                <w:sz w:val="24"/>
              </w:rPr>
            </w:pPr>
            <w:r w:rsidRPr="00BB11AF">
              <w:rPr>
                <w:sz w:val="24"/>
              </w:rPr>
              <w:t>3,8</w:t>
            </w:r>
          </w:p>
        </w:tc>
        <w:tc>
          <w:tcPr>
            <w:tcW w:w="1654" w:type="dxa"/>
            <w:shd w:val="clear" w:color="auto" w:fill="FFFFFF"/>
            <w:vAlign w:val="bottom"/>
          </w:tcPr>
          <w:p w:rsidR="003A3061" w:rsidRPr="00BB11AF" w:rsidRDefault="003A3061" w:rsidP="003A3061">
            <w:pPr>
              <w:ind w:left="90" w:right="125" w:firstLine="0"/>
              <w:jc w:val="center"/>
              <w:rPr>
                <w:sz w:val="24"/>
              </w:rPr>
            </w:pPr>
            <w:r w:rsidRPr="00BB11AF">
              <w:rPr>
                <w:sz w:val="24"/>
              </w:rPr>
              <w:t>3,2</w:t>
            </w:r>
          </w:p>
        </w:tc>
        <w:tc>
          <w:tcPr>
            <w:tcW w:w="1958" w:type="dxa"/>
            <w:shd w:val="clear" w:color="auto" w:fill="FFFFFF"/>
            <w:vAlign w:val="bottom"/>
          </w:tcPr>
          <w:p w:rsidR="003A3061" w:rsidRPr="00BB11AF" w:rsidRDefault="003A3061" w:rsidP="003A3061">
            <w:pPr>
              <w:ind w:left="90" w:right="125" w:firstLine="0"/>
              <w:jc w:val="center"/>
              <w:rPr>
                <w:sz w:val="24"/>
              </w:rPr>
            </w:pPr>
            <w:r w:rsidRPr="00BB11AF">
              <w:rPr>
                <w:sz w:val="24"/>
              </w:rPr>
              <w:t>3</w:t>
            </w:r>
            <w:r w:rsidRPr="00BB11AF">
              <w:rPr>
                <w:rStyle w:val="Corpsdutexte275ptGras"/>
                <w:b w:val="0"/>
                <w:sz w:val="24"/>
                <w:lang w:val="fr-CA"/>
              </w:rPr>
              <w:t>,o</w:t>
            </w:r>
          </w:p>
        </w:tc>
        <w:tc>
          <w:tcPr>
            <w:tcW w:w="1350" w:type="dxa"/>
            <w:shd w:val="clear" w:color="auto" w:fill="FFFFFF"/>
            <w:vAlign w:val="bottom"/>
          </w:tcPr>
          <w:p w:rsidR="003A3061" w:rsidRPr="00BB11AF" w:rsidRDefault="003A3061" w:rsidP="003A3061">
            <w:pPr>
              <w:ind w:left="90" w:right="125" w:firstLine="0"/>
              <w:jc w:val="center"/>
              <w:rPr>
                <w:sz w:val="24"/>
              </w:rPr>
            </w:pPr>
            <w:r w:rsidRPr="00BB11AF">
              <w:rPr>
                <w:rStyle w:val="Corpsdutexte275ptGras"/>
                <w:b w:val="0"/>
                <w:sz w:val="24"/>
                <w:lang w:val="fr-CA"/>
              </w:rPr>
              <w:t>2,2</w:t>
            </w:r>
          </w:p>
        </w:tc>
      </w:tr>
      <w:tr w:rsidR="003A3061" w:rsidRPr="00BB11AF">
        <w:tblPrEx>
          <w:tblCellMar>
            <w:top w:w="0" w:type="dxa"/>
            <w:bottom w:w="0" w:type="dxa"/>
          </w:tblCellMar>
        </w:tblPrEx>
        <w:tc>
          <w:tcPr>
            <w:tcW w:w="1630" w:type="dxa"/>
            <w:shd w:val="clear" w:color="auto" w:fill="FFFFFF"/>
            <w:vAlign w:val="bottom"/>
          </w:tcPr>
          <w:p w:rsidR="003A3061" w:rsidRPr="00BB11AF" w:rsidRDefault="003A3061" w:rsidP="003A3061">
            <w:pPr>
              <w:ind w:left="90" w:right="125" w:firstLine="0"/>
              <w:jc w:val="both"/>
              <w:rPr>
                <w:sz w:val="24"/>
              </w:rPr>
            </w:pPr>
            <w:r w:rsidRPr="00BB11AF">
              <w:rPr>
                <w:rStyle w:val="Corpsdutexte275ptGras"/>
                <w:b w:val="0"/>
                <w:sz w:val="24"/>
                <w:lang w:val="fr-CA"/>
              </w:rPr>
              <w:t>2004</w:t>
            </w:r>
          </w:p>
        </w:tc>
        <w:tc>
          <w:tcPr>
            <w:tcW w:w="1338" w:type="dxa"/>
            <w:shd w:val="clear" w:color="auto" w:fill="FFFFFF"/>
            <w:vAlign w:val="bottom"/>
          </w:tcPr>
          <w:p w:rsidR="003A3061" w:rsidRPr="00BB11AF" w:rsidRDefault="003A3061" w:rsidP="003A3061">
            <w:pPr>
              <w:ind w:left="90" w:right="125" w:firstLine="0"/>
              <w:jc w:val="center"/>
              <w:rPr>
                <w:sz w:val="24"/>
              </w:rPr>
            </w:pPr>
            <w:r w:rsidRPr="00BB11AF">
              <w:rPr>
                <w:rStyle w:val="Corpsdutexte27ptGras"/>
                <w:rFonts w:ascii="Times New Roman" w:hAnsi="Times New Roman"/>
                <w:b w:val="0"/>
                <w:sz w:val="24"/>
                <w:lang w:val="fr-CA"/>
              </w:rPr>
              <w:t>5,5</w:t>
            </w:r>
          </w:p>
        </w:tc>
        <w:tc>
          <w:tcPr>
            <w:tcW w:w="1654" w:type="dxa"/>
            <w:shd w:val="clear" w:color="auto" w:fill="FFFFFF"/>
            <w:vAlign w:val="bottom"/>
          </w:tcPr>
          <w:p w:rsidR="003A3061" w:rsidRPr="00BB11AF" w:rsidRDefault="003A3061" w:rsidP="003A3061">
            <w:pPr>
              <w:ind w:left="90" w:right="125" w:firstLine="0"/>
              <w:jc w:val="center"/>
              <w:rPr>
                <w:sz w:val="24"/>
              </w:rPr>
            </w:pPr>
            <w:r w:rsidRPr="00BB11AF">
              <w:rPr>
                <w:rStyle w:val="Corpsdutexte27ptGras"/>
                <w:rFonts w:ascii="Times New Roman" w:hAnsi="Times New Roman"/>
                <w:b w:val="0"/>
                <w:sz w:val="24"/>
                <w:lang w:val="fr-CA"/>
              </w:rPr>
              <w:t>4,°</w:t>
            </w:r>
          </w:p>
        </w:tc>
        <w:tc>
          <w:tcPr>
            <w:tcW w:w="1958" w:type="dxa"/>
            <w:shd w:val="clear" w:color="auto" w:fill="FFFFFF"/>
            <w:vAlign w:val="bottom"/>
          </w:tcPr>
          <w:p w:rsidR="003A3061" w:rsidRPr="00BB11AF" w:rsidRDefault="003A3061" w:rsidP="003A3061">
            <w:pPr>
              <w:ind w:left="90" w:right="125" w:firstLine="0"/>
              <w:jc w:val="center"/>
              <w:rPr>
                <w:sz w:val="24"/>
              </w:rPr>
            </w:pPr>
            <w:r w:rsidRPr="00BB11AF">
              <w:rPr>
                <w:rStyle w:val="Corpsdutexte27ptGras"/>
                <w:rFonts w:ascii="Times New Roman" w:hAnsi="Times New Roman"/>
                <w:b w:val="0"/>
                <w:sz w:val="24"/>
                <w:lang w:val="fr-CA"/>
              </w:rPr>
              <w:t>3,o</w:t>
            </w:r>
          </w:p>
        </w:tc>
        <w:tc>
          <w:tcPr>
            <w:tcW w:w="1350" w:type="dxa"/>
            <w:shd w:val="clear" w:color="auto" w:fill="FFFFFF"/>
            <w:vAlign w:val="bottom"/>
          </w:tcPr>
          <w:p w:rsidR="003A3061" w:rsidRPr="00BB11AF" w:rsidRDefault="003A3061" w:rsidP="003A3061">
            <w:pPr>
              <w:ind w:left="90" w:right="125" w:firstLine="0"/>
              <w:jc w:val="center"/>
              <w:rPr>
                <w:sz w:val="24"/>
              </w:rPr>
            </w:pPr>
            <w:r w:rsidRPr="00BB11AF">
              <w:rPr>
                <w:sz w:val="24"/>
              </w:rPr>
              <w:t>2,8</w:t>
            </w:r>
          </w:p>
        </w:tc>
      </w:tr>
      <w:tr w:rsidR="003A3061" w:rsidRPr="00BB11AF">
        <w:tblPrEx>
          <w:tblCellMar>
            <w:top w:w="0" w:type="dxa"/>
            <w:bottom w:w="0" w:type="dxa"/>
          </w:tblCellMar>
        </w:tblPrEx>
        <w:tc>
          <w:tcPr>
            <w:tcW w:w="1630" w:type="dxa"/>
            <w:shd w:val="clear" w:color="auto" w:fill="FFFFFF"/>
            <w:vAlign w:val="bottom"/>
          </w:tcPr>
          <w:p w:rsidR="003A3061" w:rsidRPr="00BB11AF" w:rsidRDefault="003A3061" w:rsidP="003A3061">
            <w:pPr>
              <w:ind w:left="90" w:right="125" w:firstLine="0"/>
              <w:jc w:val="both"/>
              <w:rPr>
                <w:sz w:val="24"/>
              </w:rPr>
            </w:pPr>
            <w:r w:rsidRPr="00BB11AF">
              <w:rPr>
                <w:rStyle w:val="Corpsdutexte275ptGras"/>
                <w:b w:val="0"/>
                <w:sz w:val="24"/>
                <w:lang w:val="fr-CA"/>
              </w:rPr>
              <w:t>2005</w:t>
            </w:r>
          </w:p>
        </w:tc>
        <w:tc>
          <w:tcPr>
            <w:tcW w:w="1338" w:type="dxa"/>
            <w:shd w:val="clear" w:color="auto" w:fill="FFFFFF"/>
            <w:vAlign w:val="bottom"/>
          </w:tcPr>
          <w:p w:rsidR="003A3061" w:rsidRPr="00BB11AF" w:rsidRDefault="003A3061" w:rsidP="003A3061">
            <w:pPr>
              <w:ind w:left="90" w:right="125" w:firstLine="0"/>
              <w:jc w:val="center"/>
              <w:rPr>
                <w:sz w:val="24"/>
              </w:rPr>
            </w:pPr>
            <w:r w:rsidRPr="00BB11AF">
              <w:rPr>
                <w:sz w:val="24"/>
              </w:rPr>
              <w:t>6,4</w:t>
            </w:r>
          </w:p>
        </w:tc>
        <w:tc>
          <w:tcPr>
            <w:tcW w:w="1654" w:type="dxa"/>
            <w:shd w:val="clear" w:color="auto" w:fill="FFFFFF"/>
            <w:vAlign w:val="bottom"/>
          </w:tcPr>
          <w:p w:rsidR="003A3061" w:rsidRPr="00BB11AF" w:rsidRDefault="003A3061" w:rsidP="003A3061">
            <w:pPr>
              <w:ind w:left="90" w:right="125" w:firstLine="0"/>
              <w:jc w:val="center"/>
              <w:rPr>
                <w:sz w:val="24"/>
              </w:rPr>
            </w:pPr>
            <w:r w:rsidRPr="00BB11AF">
              <w:rPr>
                <w:sz w:val="24"/>
              </w:rPr>
              <w:t>5,3</w:t>
            </w:r>
          </w:p>
        </w:tc>
        <w:tc>
          <w:tcPr>
            <w:tcW w:w="1958" w:type="dxa"/>
            <w:shd w:val="clear" w:color="auto" w:fill="FFFFFF"/>
            <w:vAlign w:val="bottom"/>
          </w:tcPr>
          <w:p w:rsidR="003A3061" w:rsidRPr="00BB11AF" w:rsidRDefault="003A3061" w:rsidP="003A3061">
            <w:pPr>
              <w:ind w:left="90" w:right="125" w:firstLine="0"/>
              <w:jc w:val="center"/>
              <w:rPr>
                <w:sz w:val="24"/>
              </w:rPr>
            </w:pPr>
            <w:r w:rsidRPr="00BB11AF">
              <w:rPr>
                <w:sz w:val="24"/>
              </w:rPr>
              <w:t>4,3</w:t>
            </w:r>
          </w:p>
        </w:tc>
        <w:tc>
          <w:tcPr>
            <w:tcW w:w="1350" w:type="dxa"/>
            <w:shd w:val="clear" w:color="auto" w:fill="FFFFFF"/>
            <w:vAlign w:val="bottom"/>
          </w:tcPr>
          <w:p w:rsidR="003A3061" w:rsidRPr="00BB11AF" w:rsidRDefault="003A3061" w:rsidP="003A3061">
            <w:pPr>
              <w:ind w:left="90" w:right="125" w:firstLine="0"/>
              <w:jc w:val="center"/>
              <w:rPr>
                <w:sz w:val="24"/>
              </w:rPr>
            </w:pPr>
            <w:r w:rsidRPr="00BB11AF">
              <w:rPr>
                <w:sz w:val="24"/>
              </w:rPr>
              <w:t>3,4</w:t>
            </w:r>
          </w:p>
        </w:tc>
      </w:tr>
      <w:tr w:rsidR="003A3061" w:rsidRPr="00BB11AF">
        <w:tblPrEx>
          <w:tblCellMar>
            <w:top w:w="0" w:type="dxa"/>
            <w:bottom w:w="0" w:type="dxa"/>
          </w:tblCellMar>
        </w:tblPrEx>
        <w:tc>
          <w:tcPr>
            <w:tcW w:w="1630" w:type="dxa"/>
            <w:shd w:val="clear" w:color="auto" w:fill="FFFFFF"/>
            <w:vAlign w:val="bottom"/>
          </w:tcPr>
          <w:p w:rsidR="003A3061" w:rsidRPr="00BB11AF" w:rsidRDefault="003A3061" w:rsidP="003A3061">
            <w:pPr>
              <w:ind w:left="90" w:right="125" w:firstLine="0"/>
              <w:jc w:val="both"/>
              <w:rPr>
                <w:sz w:val="24"/>
              </w:rPr>
            </w:pPr>
            <w:r w:rsidRPr="00BB11AF">
              <w:rPr>
                <w:rStyle w:val="Corpsdutexte275ptGras"/>
                <w:b w:val="0"/>
                <w:sz w:val="24"/>
                <w:lang w:val="fr-CA"/>
              </w:rPr>
              <w:t>2006</w:t>
            </w:r>
          </w:p>
        </w:tc>
        <w:tc>
          <w:tcPr>
            <w:tcW w:w="1338" w:type="dxa"/>
            <w:shd w:val="clear" w:color="auto" w:fill="FFFFFF"/>
            <w:vAlign w:val="bottom"/>
          </w:tcPr>
          <w:p w:rsidR="003A3061" w:rsidRPr="00BB11AF" w:rsidRDefault="003A3061" w:rsidP="003A3061">
            <w:pPr>
              <w:ind w:left="90" w:right="125" w:firstLine="0"/>
              <w:jc w:val="center"/>
              <w:rPr>
                <w:sz w:val="24"/>
              </w:rPr>
            </w:pPr>
            <w:r w:rsidRPr="00BB11AF">
              <w:rPr>
                <w:rStyle w:val="Corpsdutexte27ptGras"/>
                <w:rFonts w:ascii="Times New Roman" w:hAnsi="Times New Roman"/>
                <w:b w:val="0"/>
                <w:sz w:val="24"/>
                <w:lang w:val="fr-CA"/>
              </w:rPr>
              <w:t>7,2</w:t>
            </w:r>
          </w:p>
        </w:tc>
        <w:tc>
          <w:tcPr>
            <w:tcW w:w="1654" w:type="dxa"/>
            <w:shd w:val="clear" w:color="auto" w:fill="FFFFFF"/>
            <w:vAlign w:val="bottom"/>
          </w:tcPr>
          <w:p w:rsidR="003A3061" w:rsidRPr="00BB11AF" w:rsidRDefault="003A3061" w:rsidP="003A3061">
            <w:pPr>
              <w:ind w:left="90" w:right="125" w:firstLine="0"/>
              <w:jc w:val="center"/>
              <w:rPr>
                <w:sz w:val="24"/>
              </w:rPr>
            </w:pPr>
            <w:r w:rsidRPr="00BB11AF">
              <w:rPr>
                <w:rStyle w:val="Corpsdutexte27ptGras"/>
                <w:rFonts w:ascii="Times New Roman" w:hAnsi="Times New Roman"/>
                <w:b w:val="0"/>
                <w:sz w:val="24"/>
                <w:lang w:val="fr-CA"/>
              </w:rPr>
              <w:t>7,5</w:t>
            </w:r>
          </w:p>
        </w:tc>
        <w:tc>
          <w:tcPr>
            <w:tcW w:w="1958" w:type="dxa"/>
            <w:shd w:val="clear" w:color="auto" w:fill="FFFFFF"/>
            <w:vAlign w:val="bottom"/>
          </w:tcPr>
          <w:p w:rsidR="003A3061" w:rsidRPr="00BB11AF" w:rsidRDefault="003A3061" w:rsidP="003A3061">
            <w:pPr>
              <w:ind w:left="90" w:right="125" w:firstLine="0"/>
              <w:jc w:val="center"/>
              <w:rPr>
                <w:sz w:val="24"/>
              </w:rPr>
            </w:pPr>
            <w:r w:rsidRPr="00BB11AF">
              <w:rPr>
                <w:rStyle w:val="Corpsdutexte27ptGras"/>
                <w:rFonts w:ascii="Times New Roman" w:hAnsi="Times New Roman"/>
                <w:b w:val="0"/>
                <w:sz w:val="24"/>
                <w:lang w:val="fr-CA"/>
              </w:rPr>
              <w:t>5,6</w:t>
            </w:r>
          </w:p>
        </w:tc>
        <w:tc>
          <w:tcPr>
            <w:tcW w:w="1350" w:type="dxa"/>
            <w:shd w:val="clear" w:color="auto" w:fill="FFFFFF"/>
            <w:vAlign w:val="bottom"/>
          </w:tcPr>
          <w:p w:rsidR="003A3061" w:rsidRPr="00BB11AF" w:rsidRDefault="003A3061" w:rsidP="003A3061">
            <w:pPr>
              <w:ind w:left="90" w:right="125" w:firstLine="0"/>
              <w:jc w:val="center"/>
              <w:rPr>
                <w:sz w:val="24"/>
              </w:rPr>
            </w:pPr>
            <w:r w:rsidRPr="00BB11AF">
              <w:rPr>
                <w:rStyle w:val="Corpsdutexte27ptGras"/>
                <w:rFonts w:ascii="Times New Roman" w:hAnsi="Times New Roman"/>
                <w:b w:val="0"/>
                <w:sz w:val="24"/>
                <w:lang w:val="fr-CA"/>
              </w:rPr>
              <w:t>3,6</w:t>
            </w:r>
          </w:p>
        </w:tc>
      </w:tr>
      <w:tr w:rsidR="003A3061" w:rsidRPr="00BB11AF">
        <w:tblPrEx>
          <w:tblCellMar>
            <w:top w:w="0" w:type="dxa"/>
            <w:bottom w:w="0" w:type="dxa"/>
          </w:tblCellMar>
        </w:tblPrEx>
        <w:tc>
          <w:tcPr>
            <w:tcW w:w="1630" w:type="dxa"/>
            <w:shd w:val="clear" w:color="auto" w:fill="FFFFFF"/>
            <w:vAlign w:val="bottom"/>
          </w:tcPr>
          <w:p w:rsidR="003A3061" w:rsidRPr="00BB11AF" w:rsidRDefault="003A3061" w:rsidP="003A3061">
            <w:pPr>
              <w:ind w:left="86" w:right="130" w:firstLine="0"/>
              <w:jc w:val="both"/>
              <w:rPr>
                <w:sz w:val="24"/>
              </w:rPr>
            </w:pPr>
            <w:r w:rsidRPr="00BB11AF">
              <w:rPr>
                <w:rStyle w:val="Corpsdutexte275ptGras"/>
                <w:b w:val="0"/>
                <w:sz w:val="24"/>
                <w:lang w:val="fr-CA"/>
              </w:rPr>
              <w:t>2007</w:t>
            </w:r>
          </w:p>
        </w:tc>
        <w:tc>
          <w:tcPr>
            <w:tcW w:w="1338" w:type="dxa"/>
            <w:shd w:val="clear" w:color="auto" w:fill="FFFFFF"/>
            <w:vAlign w:val="bottom"/>
          </w:tcPr>
          <w:p w:rsidR="003A3061" w:rsidRPr="00BB11AF" w:rsidRDefault="003A3061" w:rsidP="003A3061">
            <w:pPr>
              <w:ind w:left="86" w:right="130" w:firstLine="0"/>
              <w:jc w:val="center"/>
              <w:rPr>
                <w:sz w:val="24"/>
              </w:rPr>
            </w:pPr>
            <w:r w:rsidRPr="00BB11AF">
              <w:rPr>
                <w:rStyle w:val="Corpsdutexte275ptGras"/>
                <w:b w:val="0"/>
                <w:sz w:val="24"/>
                <w:lang w:val="fr-CA"/>
              </w:rPr>
              <w:t>8,2</w:t>
            </w:r>
          </w:p>
        </w:tc>
        <w:tc>
          <w:tcPr>
            <w:tcW w:w="1654" w:type="dxa"/>
            <w:shd w:val="clear" w:color="auto" w:fill="FFFFFF"/>
            <w:vAlign w:val="bottom"/>
          </w:tcPr>
          <w:p w:rsidR="003A3061" w:rsidRPr="00BB11AF" w:rsidRDefault="003A3061" w:rsidP="003A3061">
            <w:pPr>
              <w:ind w:left="86" w:right="130" w:firstLine="0"/>
              <w:jc w:val="center"/>
              <w:rPr>
                <w:sz w:val="24"/>
              </w:rPr>
            </w:pPr>
            <w:r w:rsidRPr="00BB11AF">
              <w:rPr>
                <w:rStyle w:val="Corpsdutexte275ptGras"/>
                <w:b w:val="0"/>
                <w:sz w:val="24"/>
                <w:lang w:val="fr-CA"/>
              </w:rPr>
              <w:t>10,2</w:t>
            </w:r>
          </w:p>
        </w:tc>
        <w:tc>
          <w:tcPr>
            <w:tcW w:w="1958" w:type="dxa"/>
            <w:shd w:val="clear" w:color="auto" w:fill="FFFFFF"/>
            <w:vAlign w:val="bottom"/>
          </w:tcPr>
          <w:p w:rsidR="003A3061" w:rsidRPr="00BB11AF" w:rsidRDefault="003A3061" w:rsidP="003A3061">
            <w:pPr>
              <w:ind w:left="86" w:right="130" w:firstLine="0"/>
              <w:jc w:val="center"/>
              <w:rPr>
                <w:sz w:val="24"/>
              </w:rPr>
            </w:pPr>
            <w:r w:rsidRPr="00BB11AF">
              <w:rPr>
                <w:sz w:val="24"/>
              </w:rPr>
              <w:t>6,3</w:t>
            </w:r>
          </w:p>
        </w:tc>
        <w:tc>
          <w:tcPr>
            <w:tcW w:w="1350" w:type="dxa"/>
            <w:shd w:val="clear" w:color="auto" w:fill="FFFFFF"/>
            <w:vAlign w:val="bottom"/>
          </w:tcPr>
          <w:p w:rsidR="003A3061" w:rsidRPr="00BB11AF" w:rsidRDefault="003A3061" w:rsidP="003A3061">
            <w:pPr>
              <w:ind w:left="86" w:right="130" w:firstLine="0"/>
              <w:jc w:val="center"/>
              <w:rPr>
                <w:sz w:val="24"/>
              </w:rPr>
            </w:pPr>
            <w:r w:rsidRPr="00BB11AF">
              <w:rPr>
                <w:sz w:val="24"/>
              </w:rPr>
              <w:t>4,2</w:t>
            </w:r>
          </w:p>
        </w:tc>
      </w:tr>
      <w:tr w:rsidR="003A3061" w:rsidRPr="00BB11AF">
        <w:tblPrEx>
          <w:tblCellMar>
            <w:top w:w="0" w:type="dxa"/>
            <w:bottom w:w="0" w:type="dxa"/>
          </w:tblCellMar>
        </w:tblPrEx>
        <w:tc>
          <w:tcPr>
            <w:tcW w:w="1630" w:type="dxa"/>
            <w:tcBorders>
              <w:bottom w:val="single" w:sz="12" w:space="0" w:color="auto"/>
            </w:tcBorders>
            <w:shd w:val="clear" w:color="auto" w:fill="FFFFFF"/>
            <w:vAlign w:val="bottom"/>
          </w:tcPr>
          <w:p w:rsidR="003A3061" w:rsidRPr="00BB11AF" w:rsidRDefault="003A3061" w:rsidP="003A3061">
            <w:pPr>
              <w:spacing w:after="120"/>
              <w:ind w:left="86" w:right="130" w:firstLine="0"/>
              <w:jc w:val="both"/>
              <w:rPr>
                <w:sz w:val="24"/>
              </w:rPr>
            </w:pPr>
            <w:r w:rsidRPr="00BB11AF">
              <w:rPr>
                <w:rStyle w:val="Corpsdutexte275ptGras"/>
                <w:b w:val="0"/>
                <w:sz w:val="24"/>
                <w:lang w:val="fr-CA"/>
              </w:rPr>
              <w:t>2008</w:t>
            </w:r>
          </w:p>
        </w:tc>
        <w:tc>
          <w:tcPr>
            <w:tcW w:w="1338" w:type="dxa"/>
            <w:tcBorders>
              <w:bottom w:val="single" w:sz="12" w:space="0" w:color="auto"/>
            </w:tcBorders>
            <w:shd w:val="clear" w:color="auto" w:fill="FFFFFF"/>
            <w:vAlign w:val="bottom"/>
          </w:tcPr>
          <w:p w:rsidR="003A3061" w:rsidRPr="00BB11AF" w:rsidRDefault="003A3061" w:rsidP="003A3061">
            <w:pPr>
              <w:spacing w:after="120"/>
              <w:ind w:left="86" w:right="130" w:firstLine="0"/>
              <w:jc w:val="center"/>
              <w:rPr>
                <w:sz w:val="24"/>
              </w:rPr>
            </w:pPr>
            <w:r w:rsidRPr="00BB11AF">
              <w:rPr>
                <w:rStyle w:val="Corpsdutexte275ptGras"/>
                <w:b w:val="0"/>
                <w:sz w:val="24"/>
                <w:lang w:val="fr-CA"/>
              </w:rPr>
              <w:t>10,8</w:t>
            </w:r>
          </w:p>
        </w:tc>
        <w:tc>
          <w:tcPr>
            <w:tcW w:w="1654" w:type="dxa"/>
            <w:tcBorders>
              <w:bottom w:val="single" w:sz="12" w:space="0" w:color="auto"/>
            </w:tcBorders>
            <w:shd w:val="clear" w:color="auto" w:fill="FFFFFF"/>
            <w:vAlign w:val="bottom"/>
          </w:tcPr>
          <w:p w:rsidR="003A3061" w:rsidRPr="00BB11AF" w:rsidRDefault="003A3061" w:rsidP="003A3061">
            <w:pPr>
              <w:spacing w:after="120"/>
              <w:ind w:left="86" w:right="130" w:firstLine="0"/>
              <w:jc w:val="center"/>
              <w:rPr>
                <w:sz w:val="24"/>
              </w:rPr>
            </w:pPr>
            <w:r w:rsidRPr="00BB11AF">
              <w:rPr>
                <w:rStyle w:val="Corpsdutexte275ptGras"/>
                <w:b w:val="0"/>
                <w:sz w:val="24"/>
                <w:lang w:val="fr-CA"/>
              </w:rPr>
              <w:t>10,1</w:t>
            </w:r>
          </w:p>
        </w:tc>
        <w:tc>
          <w:tcPr>
            <w:tcW w:w="1958" w:type="dxa"/>
            <w:tcBorders>
              <w:bottom w:val="single" w:sz="12" w:space="0" w:color="auto"/>
            </w:tcBorders>
            <w:shd w:val="clear" w:color="auto" w:fill="FFFFFF"/>
            <w:vAlign w:val="bottom"/>
          </w:tcPr>
          <w:p w:rsidR="003A3061" w:rsidRPr="00BB11AF" w:rsidRDefault="003A3061" w:rsidP="003A3061">
            <w:pPr>
              <w:spacing w:after="120"/>
              <w:ind w:left="86" w:right="130" w:firstLine="0"/>
              <w:jc w:val="center"/>
              <w:rPr>
                <w:sz w:val="24"/>
              </w:rPr>
            </w:pPr>
            <w:r w:rsidRPr="00BB11AF">
              <w:rPr>
                <w:rStyle w:val="Corpsdutexte27ptGras"/>
                <w:rFonts w:ascii="Times New Roman" w:hAnsi="Times New Roman"/>
                <w:b w:val="0"/>
                <w:sz w:val="24"/>
                <w:lang w:val="fr-CA"/>
              </w:rPr>
              <w:t>8,6</w:t>
            </w:r>
          </w:p>
        </w:tc>
        <w:tc>
          <w:tcPr>
            <w:tcW w:w="1350" w:type="dxa"/>
            <w:tcBorders>
              <w:bottom w:val="single" w:sz="12" w:space="0" w:color="auto"/>
            </w:tcBorders>
            <w:shd w:val="clear" w:color="auto" w:fill="FFFFFF"/>
            <w:vAlign w:val="bottom"/>
          </w:tcPr>
          <w:p w:rsidR="003A3061" w:rsidRPr="00BB11AF" w:rsidRDefault="003A3061" w:rsidP="003A3061">
            <w:pPr>
              <w:spacing w:after="120"/>
              <w:ind w:left="86" w:right="130" w:firstLine="0"/>
              <w:jc w:val="center"/>
              <w:rPr>
                <w:sz w:val="24"/>
              </w:rPr>
            </w:pPr>
            <w:r w:rsidRPr="00BB11AF">
              <w:rPr>
                <w:rStyle w:val="Corpsdutexte27ptGras"/>
                <w:rFonts w:ascii="Times New Roman" w:hAnsi="Times New Roman"/>
                <w:b w:val="0"/>
                <w:sz w:val="24"/>
                <w:lang w:val="fr-CA"/>
              </w:rPr>
              <w:t>5,2</w:t>
            </w:r>
          </w:p>
        </w:tc>
      </w:tr>
    </w:tbl>
    <w:p w:rsidR="003A3061" w:rsidRPr="00BB11AF" w:rsidRDefault="003A3061" w:rsidP="003A3061">
      <w:pPr>
        <w:spacing w:before="120" w:after="120"/>
        <w:jc w:val="both"/>
        <w:rPr>
          <w:sz w:val="24"/>
        </w:rPr>
      </w:pPr>
      <w:r w:rsidRPr="00BB11AF">
        <w:rPr>
          <w:sz w:val="24"/>
        </w:rPr>
        <w:t xml:space="preserve">Source : Rady </w:t>
      </w:r>
      <w:r w:rsidRPr="00BB11AF">
        <w:rPr>
          <w:rStyle w:val="LgendedutableauTimesNewRomanGras"/>
          <w:rFonts w:eastAsia="Arial"/>
          <w:b w:val="0"/>
          <w:sz w:val="24"/>
          <w:lang w:val="fr-CA"/>
        </w:rPr>
        <w:t>2010</w:t>
      </w:r>
      <w:r w:rsidRPr="00BB11AF">
        <w:rPr>
          <w:sz w:val="24"/>
        </w:rPr>
        <w:t> :</w:t>
      </w:r>
      <w:r w:rsidRPr="00BB11AF">
        <w:rPr>
          <w:rStyle w:val="LgendedutableauTimesNewRomanGras"/>
          <w:rFonts w:eastAsia="Arial"/>
          <w:b w:val="0"/>
          <w:sz w:val="24"/>
          <w:lang w:val="fr-CA"/>
        </w:rPr>
        <w:t>121</w:t>
      </w:r>
      <w:r w:rsidRPr="00BB11AF">
        <w:rPr>
          <w:sz w:val="24"/>
        </w:rPr>
        <w:t>,</w:t>
      </w:r>
      <w:r w:rsidRPr="00BB11AF">
        <w:rPr>
          <w:rStyle w:val="LgendedutableauTimesNewRomanGras"/>
          <w:rFonts w:eastAsia="Arial"/>
          <w:b w:val="0"/>
          <w:sz w:val="24"/>
          <w:lang w:val="fr-CA"/>
        </w:rPr>
        <w:t>127</w:t>
      </w:r>
      <w:r w:rsidRPr="00BB11AF">
        <w:rPr>
          <w:sz w:val="24"/>
        </w:rPr>
        <w:t>.</w:t>
      </w:r>
    </w:p>
    <w:p w:rsidR="003A3061" w:rsidRDefault="003A3061" w:rsidP="003A3061">
      <w:pPr>
        <w:spacing w:before="120" w:after="120"/>
        <w:jc w:val="both"/>
        <w:rPr>
          <w:szCs w:val="2"/>
        </w:rPr>
      </w:pPr>
    </w:p>
    <w:p w:rsidR="003A3061" w:rsidRPr="00BB11AF" w:rsidRDefault="003A3061" w:rsidP="003A3061">
      <w:pPr>
        <w:spacing w:before="120" w:after="120"/>
        <w:jc w:val="both"/>
      </w:pPr>
      <w:r w:rsidRPr="00BB11AF">
        <w:t>Il faut aussi noter que la fiabilité des statistiques officielles peut être mise en doute, si bien que, même les résultats globaux soulèvent le scepticisme (Gana-Oueslati et Moisseron 2010 : 28-32 ; Al-Shawarby 2008). Malheureusement, l'observateur n'en a point d'autres et doit se résigner à les employer, tout en faisant preuve de prudence envers les chimères de l'exactitude scientif</w:t>
      </w:r>
      <w:r w:rsidRPr="00BB11AF">
        <w:t>i</w:t>
      </w:r>
      <w:r w:rsidRPr="00BB11AF">
        <w:t>que. Même sans cette mise en [53] garde, les données officielles indiquant de belles performa</w:t>
      </w:r>
      <w:r w:rsidRPr="00BB11AF">
        <w:t>n</w:t>
      </w:r>
      <w:r w:rsidRPr="00BB11AF">
        <w:t>ces sur un plan global sont relativisées par des zones d'ombre et des réal</w:t>
      </w:r>
      <w:r w:rsidRPr="00BB11AF">
        <w:t>i</w:t>
      </w:r>
      <w:r w:rsidRPr="00BB11AF">
        <w:t>tés moins reluisantes.</w:t>
      </w:r>
    </w:p>
    <w:p w:rsidR="003A3061" w:rsidRPr="00BB11AF" w:rsidRDefault="003A3061" w:rsidP="003A3061">
      <w:pPr>
        <w:spacing w:before="120" w:after="120"/>
        <w:jc w:val="both"/>
      </w:pPr>
      <w:r w:rsidRPr="00BB11AF">
        <w:t>L'une des caractéristiques des économies rentières est le sacrifice de l'agriculture, même lorsque celle-ci est productive</w:t>
      </w:r>
      <w:r>
        <w:t> </w:t>
      </w:r>
      <w:r>
        <w:rPr>
          <w:rStyle w:val="Appelnotedebasdep"/>
        </w:rPr>
        <w:footnoteReference w:id="37"/>
      </w:r>
      <w:r w:rsidRPr="00BB11AF">
        <w:t>. Sur le ma</w:t>
      </w:r>
      <w:r w:rsidRPr="00BB11AF">
        <w:t>r</w:t>
      </w:r>
      <w:r w:rsidRPr="00BB11AF">
        <w:t>ché mondial, le secteur alimentaire a connu un boul</w:t>
      </w:r>
      <w:r w:rsidRPr="00BB11AF">
        <w:t>e</w:t>
      </w:r>
      <w:r w:rsidRPr="00BB11AF">
        <w:t>versement majeur depuis 1945 (Kenawy 2010 :56). Avant la Seconde Guerre mondiale, c'est le monde colonial qui nourri</w:t>
      </w:r>
      <w:r w:rsidRPr="00BB11AF">
        <w:t>s</w:t>
      </w:r>
      <w:r w:rsidRPr="00BB11AF">
        <w:t>sait les métropoles. Après 1945, l'agrobusiness du Nord-aidé par un puissant dispositif protectionniste et des subventions des États-augmente sa productivité et déverse sur les marchés extérieurs des quantités impressionnantes de produits agricoles à des prix (artificiellement) bas. L'agriculture du Sud est, par conséquent, mise à mal. Le produit importé est moins cher que le pr</w:t>
      </w:r>
      <w:r w:rsidRPr="00BB11AF">
        <w:t>o</w:t>
      </w:r>
      <w:r w:rsidRPr="00BB11AF">
        <w:t>duit local et les frontières des pays du Sud ont été ouvertes selon les prescriptions libre-échangistes qui vont à l'encontre des projets de d</w:t>
      </w:r>
      <w:r w:rsidRPr="00BB11AF">
        <w:t>é</w:t>
      </w:r>
      <w:r w:rsidRPr="00BB11AF">
        <w:t>veloppement autocentré et non dépendant du marché mondial. L'orientation du commerce international est inversée, si bien que, d</w:t>
      </w:r>
      <w:r w:rsidRPr="00BB11AF">
        <w:t>e</w:t>
      </w:r>
      <w:r w:rsidRPr="00BB11AF">
        <w:t>puis près d'un demi-siècle, le Nord industriel est un exportateur net de produits alimentaires vers le Sud agricole.</w:t>
      </w:r>
    </w:p>
    <w:p w:rsidR="003A3061" w:rsidRPr="00BB11AF" w:rsidRDefault="003A3061" w:rsidP="003A3061">
      <w:pPr>
        <w:spacing w:before="120" w:after="120"/>
        <w:jc w:val="both"/>
      </w:pPr>
      <w:r w:rsidRPr="00BB11AF">
        <w:t>Disposant de terres fertilisées par le Nil, grenier du monde ancien, l'Égypte est en mesure d'assurer ses besoins alimentaires jusqu'aux années 1960. Elle délaisse son agriculture lorsqu'elle s'engage dans l'</w:t>
      </w:r>
      <w:r w:rsidRPr="00BB11AF">
        <w:rPr>
          <w:i/>
        </w:rPr>
        <w:t>infitah</w:t>
      </w:r>
      <w:r w:rsidRPr="00BB11AF">
        <w:t xml:space="preserve"> et l'intégration dans le marché mondial à partir des années 1970. Incapable désormais de nourrir sa pop</w:t>
      </w:r>
      <w:r w:rsidRPr="00BB11AF">
        <w:t>u</w:t>
      </w:r>
      <w:r w:rsidRPr="00BB11AF">
        <w:t>lation, l'Égypte devient importatrice de produits agricoles, en particulier du blé américain. Les deux tiers de son alimentation sont achetés à l'étranger (Marei 2009 :84). Elle est un import</w:t>
      </w:r>
      <w:r w:rsidRPr="00BB11AF">
        <w:t>a</w:t>
      </w:r>
      <w:r w:rsidRPr="00BB11AF">
        <w:t>teur net de produits alimentaires et l'un des plus demandeurs au monde. Elle se classe deuxième importateur mondial de céréales, quatrième d'huiles végétales et cinquième de maïs (Aboul</w:t>
      </w:r>
      <w:r w:rsidRPr="00BB11AF">
        <w:t>e</w:t>
      </w:r>
      <w:r w:rsidRPr="00BB11AF">
        <w:t>nein et al. 2010 : 4). Cette dépendance alimentaire n'est pas amortie par une capacité d'exportation de produits finis à valeur ajoutée et sa contrepartie consiste en des revenus rentiers sujets aux fluctuations et à l'instabilité.</w:t>
      </w:r>
    </w:p>
    <w:p w:rsidR="003A3061" w:rsidRPr="00BB11AF" w:rsidRDefault="003A3061" w:rsidP="003A3061">
      <w:pPr>
        <w:spacing w:before="120" w:after="120"/>
        <w:jc w:val="both"/>
      </w:pPr>
      <w:r w:rsidRPr="00BB11AF">
        <w:t>Si la montée des cours des matières premières après 2002 a été b</w:t>
      </w:r>
      <w:r w:rsidRPr="00BB11AF">
        <w:t>é</w:t>
      </w:r>
      <w:r w:rsidRPr="00BB11AF">
        <w:t>néfique à l'Égypte en ce qu'elle est exportatrice d'hydr</w:t>
      </w:r>
      <w:r w:rsidRPr="00BB11AF">
        <w:t>o</w:t>
      </w:r>
      <w:r w:rsidRPr="00BB11AF">
        <w:t>carbures, elle l'a néanmoins pénalisée sur le plan alimentaire, là où elle est un gros importateur. Flottante depuis 2003, la livre égyptienne se dévalorise, majorant encore plus le coût des i</w:t>
      </w:r>
      <w:r w:rsidRPr="00BB11AF">
        <w:t>m</w:t>
      </w:r>
      <w:r w:rsidRPr="00BB11AF">
        <w:t>portations. De 2,4% en 2001-2002, le taux de l'inflation se situe à 4,2% en 2006, 11% en 2007, à 14,4% pendant le premier trimestre de 2008, à 22% en juillet 2008 et à 25,6% en août 2008 (Helmy 2008 : 12 ; Rady 2010 :126 ; Radwan 2009 : 8). Le coût de la vie est un baromètre critique dans une société où les trois quarts de la population doivent consacrer la moitié de leurs rev</w:t>
      </w:r>
      <w:r w:rsidRPr="00BB11AF">
        <w:t>e</w:t>
      </w:r>
      <w:r w:rsidRPr="00BB11AF">
        <w:t>nus à combler leurs besoins alimentaires, et où 40% de celle-ci n'a pas un revenu quotidien de 2$ par jour, soit le seuil de pauvreté établi par l'ONU (Maher 2011 : 36 ; Korotayev et Zi</w:t>
      </w:r>
      <w:r w:rsidRPr="00BB11AF">
        <w:t>n</w:t>
      </w:r>
      <w:r w:rsidRPr="00BB11AF">
        <w:t xml:space="preserve">kina 2011 :147). Entre 2004 et 2008, au-delà </w:t>
      </w:r>
      <w:r>
        <w:t xml:space="preserve"> </w:t>
      </w:r>
      <w:r w:rsidRPr="00BB11AF">
        <w:t>[54] de 1,7 million de travailleurs participent à plus de 1900 grèves et mouvements de protestation (Solidarity Center 2010 : 14).</w:t>
      </w:r>
    </w:p>
    <w:p w:rsidR="003A3061" w:rsidRPr="00BB11AF" w:rsidRDefault="003A3061" w:rsidP="003A3061">
      <w:pPr>
        <w:spacing w:before="120" w:after="120"/>
        <w:jc w:val="both"/>
      </w:pPr>
      <w:r w:rsidRPr="00BB11AF">
        <w:t>En 2007-2008, les prix des produits comestibles, énergét</w:t>
      </w:r>
      <w:r w:rsidRPr="00BB11AF">
        <w:t>i</w:t>
      </w:r>
      <w:r w:rsidRPr="00BB11AF">
        <w:t>ques et de première nécessité montent en flèche. Menacés dans leurs moyens d'existence, les 25 000 ouvriers de la Misr Spi</w:t>
      </w:r>
      <w:r w:rsidRPr="00BB11AF">
        <w:t>n</w:t>
      </w:r>
      <w:r w:rsidRPr="00BB11AF">
        <w:t>ning and Weaving Co. -la plus grande entreprise industrielle du pays, située à Mahalla-al-Kubra, ville du textile- déclenchent une grève en décembre 2006 et une autre, en septembre 2007, à laquelle se joignent les travailleurs d'autres industries. Le 6 avril 2008, un grand mouvement de contest</w:t>
      </w:r>
      <w:r w:rsidRPr="00BB11AF">
        <w:t>a</w:t>
      </w:r>
      <w:r w:rsidRPr="00BB11AF">
        <w:t>tion ouvrière se répand dans la société, attirant l'appui d'une jeunesse de plus en plus férue de réseaux sociaux. L'expérience sera célébrée et l'entra</w:t>
      </w:r>
      <w:r w:rsidRPr="00BB11AF">
        <w:t>î</w:t>
      </w:r>
      <w:r w:rsidRPr="00BB11AF">
        <w:t>nement mis à contribution lors du soulèvement de janvier 2011. Dans les grandes villes, des émeutes « pour le pain » éclatent en avril 2008. Aux grèves et aux émeutes, les autorités y répondent par une hausse des subventions et des salaires, financée par des majorations sur les taxes à la consommation.</w:t>
      </w:r>
    </w:p>
    <w:p w:rsidR="003A3061" w:rsidRPr="00BB11AF" w:rsidRDefault="003A3061" w:rsidP="003A3061">
      <w:pPr>
        <w:spacing w:before="120" w:after="120"/>
        <w:jc w:val="both"/>
      </w:pPr>
      <w:r w:rsidRPr="00BB11AF">
        <w:t>Par ailleurs, l'ouverture et l'intégration au marché mondial ne r</w:t>
      </w:r>
      <w:r w:rsidRPr="00BB11AF">
        <w:t>é</w:t>
      </w:r>
      <w:r w:rsidRPr="00BB11AF">
        <w:t>duisent pas le chômage. L'une des caractéristiques du monde du tr</w:t>
      </w:r>
      <w:r w:rsidRPr="00BB11AF">
        <w:t>a</w:t>
      </w:r>
      <w:r w:rsidRPr="00BB11AF">
        <w:t>vail égyptien est le différentiel entre le chômage masculin et le ch</w:t>
      </w:r>
      <w:r w:rsidRPr="00BB11AF">
        <w:t>ô</w:t>
      </w:r>
      <w:r w:rsidRPr="00BB11AF">
        <w:t>mage féminin, ce dernier étant beaucoup plus élevé. Pour la période de 1980 à 2009, la moyenne annuelle du premier est de 5,8%, alors que celle du second est de 20,1%. Les fe</w:t>
      </w:r>
      <w:r w:rsidRPr="00BB11AF">
        <w:t>m</w:t>
      </w:r>
      <w:r w:rsidRPr="00BB11AF">
        <w:t>mes ne constituent que 22% de la main-d'œuvre (African Dev</w:t>
      </w:r>
      <w:r w:rsidRPr="00BB11AF">
        <w:t>e</w:t>
      </w:r>
      <w:r w:rsidRPr="00BB11AF">
        <w:t>lopment Bank 2009a : 3). À tous ces chiffres officiels sur le chômage complet et déclaré doivent être ajo</w:t>
      </w:r>
      <w:r w:rsidRPr="00BB11AF">
        <w:t>u</w:t>
      </w:r>
      <w:r w:rsidRPr="00BB11AF">
        <w:t>tés le sous-emploi, l'activité précaire, le travail informel, le labeur non salarié dans le cadre familial ou le voisinage, etc.</w:t>
      </w:r>
    </w:p>
    <w:p w:rsidR="003A3061" w:rsidRPr="00BB11AF" w:rsidRDefault="003A3061" w:rsidP="003A3061">
      <w:pPr>
        <w:spacing w:before="120" w:after="120"/>
        <w:jc w:val="both"/>
      </w:pPr>
      <w:r w:rsidRPr="00BB11AF">
        <w:t>[55]</w:t>
      </w:r>
    </w:p>
    <w:p w:rsidR="003A3061" w:rsidRPr="00BB11AF" w:rsidRDefault="003A3061" w:rsidP="003A3061">
      <w:pPr>
        <w:spacing w:before="120" w:after="120"/>
        <w:jc w:val="both"/>
      </w:pPr>
    </w:p>
    <w:p w:rsidR="003A3061" w:rsidRPr="00BB11AF" w:rsidRDefault="003A3061" w:rsidP="003A3061">
      <w:pPr>
        <w:spacing w:before="120" w:after="120"/>
        <w:ind w:firstLine="0"/>
        <w:jc w:val="center"/>
        <w:rPr>
          <w:b/>
          <w:bCs/>
          <w:sz w:val="24"/>
          <w:szCs w:val="24"/>
        </w:rPr>
      </w:pPr>
      <w:r w:rsidRPr="00BB11AF">
        <w:rPr>
          <w:b/>
          <w:bCs/>
          <w:sz w:val="24"/>
          <w:szCs w:val="24"/>
        </w:rPr>
        <w:t>Tableau 5.</w:t>
      </w:r>
      <w:r w:rsidRPr="00BB11AF">
        <w:rPr>
          <w:b/>
          <w:bCs/>
          <w:sz w:val="24"/>
          <w:szCs w:val="24"/>
        </w:rPr>
        <w:br/>
        <w:t xml:space="preserve">Taux de chômage selon le sexe </w:t>
      </w:r>
      <w:r w:rsidRPr="00BB11AF">
        <w:rPr>
          <w:rStyle w:val="Lgendedutableau245ptNonGrasItalique"/>
          <w:rFonts w:ascii="Times New Roman" w:hAnsi="Times New Roman"/>
          <w:b/>
          <w:bCs/>
          <w:i w:val="0"/>
          <w:sz w:val="24"/>
          <w:szCs w:val="24"/>
          <w:lang w:val="fr-CA"/>
        </w:rPr>
        <w:t>(%)</w:t>
      </w:r>
    </w:p>
    <w:tbl>
      <w:tblPr>
        <w:tblOverlap w:val="never"/>
        <w:tblW w:w="0" w:type="auto"/>
        <w:tblInd w:w="1360" w:type="dxa"/>
        <w:tblLayout w:type="fixed"/>
        <w:tblCellMar>
          <w:left w:w="10" w:type="dxa"/>
          <w:right w:w="10" w:type="dxa"/>
        </w:tblCellMar>
        <w:tblLook w:val="04A0" w:firstRow="1" w:lastRow="0" w:firstColumn="1" w:lastColumn="0" w:noHBand="0" w:noVBand="1"/>
      </w:tblPr>
      <w:tblGrid>
        <w:gridCol w:w="1800"/>
        <w:gridCol w:w="1710"/>
        <w:gridCol w:w="1890"/>
      </w:tblGrid>
      <w:tr w:rsidR="003A3061" w:rsidRPr="00BB11AF">
        <w:tblPrEx>
          <w:tblCellMar>
            <w:top w:w="0" w:type="dxa"/>
            <w:bottom w:w="0" w:type="dxa"/>
          </w:tblCellMar>
        </w:tblPrEx>
        <w:tc>
          <w:tcPr>
            <w:tcW w:w="1800" w:type="dxa"/>
            <w:tcBorders>
              <w:top w:val="single" w:sz="12" w:space="0" w:color="auto"/>
              <w:bottom w:val="single" w:sz="12" w:space="0" w:color="auto"/>
            </w:tcBorders>
            <w:shd w:val="clear" w:color="auto" w:fill="EAF1DD"/>
          </w:tcPr>
          <w:p w:rsidR="003A3061" w:rsidRPr="00BB11AF" w:rsidRDefault="003A3061" w:rsidP="003A3061">
            <w:pPr>
              <w:spacing w:before="120" w:after="120"/>
              <w:ind w:left="101" w:right="101" w:firstLine="0"/>
              <w:jc w:val="both"/>
              <w:rPr>
                <w:sz w:val="24"/>
              </w:rPr>
            </w:pPr>
            <w:r w:rsidRPr="00BB11AF">
              <w:rPr>
                <w:rStyle w:val="Corpsdutexte275ptGras"/>
                <w:b w:val="0"/>
                <w:sz w:val="24"/>
                <w:lang w:val="fr-CA"/>
              </w:rPr>
              <w:t>Année</w:t>
            </w:r>
          </w:p>
        </w:tc>
        <w:tc>
          <w:tcPr>
            <w:tcW w:w="1710" w:type="dxa"/>
            <w:tcBorders>
              <w:top w:val="single" w:sz="12" w:space="0" w:color="auto"/>
              <w:bottom w:val="single" w:sz="12" w:space="0" w:color="auto"/>
            </w:tcBorders>
            <w:shd w:val="clear" w:color="auto" w:fill="EAF1DD"/>
          </w:tcPr>
          <w:p w:rsidR="003A3061" w:rsidRPr="00BB11AF" w:rsidRDefault="003A3061" w:rsidP="003A3061">
            <w:pPr>
              <w:spacing w:before="120" w:after="120"/>
              <w:ind w:left="101" w:right="101" w:firstLine="0"/>
              <w:jc w:val="center"/>
              <w:rPr>
                <w:sz w:val="24"/>
              </w:rPr>
            </w:pPr>
            <w:r w:rsidRPr="00BB11AF">
              <w:rPr>
                <w:rStyle w:val="Corpsdutexte275ptGras"/>
                <w:b w:val="0"/>
                <w:sz w:val="24"/>
                <w:lang w:val="fr-CA"/>
              </w:rPr>
              <w:t>Ho</w:t>
            </w:r>
            <w:r w:rsidRPr="00BB11AF">
              <w:rPr>
                <w:rStyle w:val="Corpsdutexte275ptGras"/>
                <w:b w:val="0"/>
                <w:sz w:val="24"/>
                <w:lang w:val="fr-CA"/>
              </w:rPr>
              <w:t>m</w:t>
            </w:r>
            <w:r w:rsidRPr="00BB11AF">
              <w:rPr>
                <w:rStyle w:val="Corpsdutexte275ptGras"/>
                <w:b w:val="0"/>
                <w:sz w:val="24"/>
                <w:lang w:val="fr-CA"/>
              </w:rPr>
              <w:t>mes</w:t>
            </w:r>
          </w:p>
        </w:tc>
        <w:tc>
          <w:tcPr>
            <w:tcW w:w="1890" w:type="dxa"/>
            <w:tcBorders>
              <w:top w:val="single" w:sz="12" w:space="0" w:color="auto"/>
              <w:bottom w:val="single" w:sz="12" w:space="0" w:color="auto"/>
            </w:tcBorders>
            <w:shd w:val="clear" w:color="auto" w:fill="EAF1DD"/>
          </w:tcPr>
          <w:p w:rsidR="003A3061" w:rsidRPr="00BB11AF" w:rsidRDefault="003A3061" w:rsidP="003A3061">
            <w:pPr>
              <w:spacing w:before="120" w:after="120"/>
              <w:ind w:left="101" w:right="101" w:firstLine="0"/>
              <w:jc w:val="center"/>
              <w:rPr>
                <w:sz w:val="24"/>
              </w:rPr>
            </w:pPr>
            <w:r w:rsidRPr="00BB11AF">
              <w:rPr>
                <w:rStyle w:val="Corpsdutexte275ptGras"/>
                <w:b w:val="0"/>
                <w:sz w:val="24"/>
                <w:lang w:val="fr-CA"/>
              </w:rPr>
              <w:t>Femmes</w:t>
            </w:r>
          </w:p>
        </w:tc>
      </w:tr>
      <w:tr w:rsidR="003A3061" w:rsidRPr="00BB11AF">
        <w:tblPrEx>
          <w:tblCellMar>
            <w:top w:w="0" w:type="dxa"/>
            <w:bottom w:w="0" w:type="dxa"/>
          </w:tblCellMar>
        </w:tblPrEx>
        <w:tc>
          <w:tcPr>
            <w:tcW w:w="1800" w:type="dxa"/>
            <w:tcBorders>
              <w:top w:val="single" w:sz="12" w:space="0" w:color="auto"/>
            </w:tcBorders>
            <w:shd w:val="clear" w:color="auto" w:fill="FFFFFF"/>
          </w:tcPr>
          <w:p w:rsidR="003A3061" w:rsidRPr="00BB11AF" w:rsidRDefault="003A3061" w:rsidP="003A3061">
            <w:pPr>
              <w:spacing w:before="120"/>
              <w:ind w:left="101" w:right="101" w:firstLine="0"/>
              <w:jc w:val="center"/>
              <w:rPr>
                <w:sz w:val="24"/>
              </w:rPr>
            </w:pPr>
            <w:r w:rsidRPr="00BB11AF">
              <w:rPr>
                <w:rStyle w:val="Corpsdutexte275ptGras"/>
                <w:b w:val="0"/>
                <w:sz w:val="24"/>
                <w:lang w:val="fr-CA"/>
              </w:rPr>
              <w:t>1980</w:t>
            </w:r>
          </w:p>
        </w:tc>
        <w:tc>
          <w:tcPr>
            <w:tcW w:w="1710" w:type="dxa"/>
            <w:tcBorders>
              <w:top w:val="single" w:sz="12" w:space="0" w:color="auto"/>
            </w:tcBorders>
            <w:shd w:val="clear" w:color="auto" w:fill="FFFFFF"/>
          </w:tcPr>
          <w:p w:rsidR="003A3061" w:rsidRPr="00BB11AF" w:rsidRDefault="003A3061" w:rsidP="003A3061">
            <w:pPr>
              <w:spacing w:before="120"/>
              <w:ind w:left="101" w:right="101" w:firstLine="0"/>
              <w:jc w:val="center"/>
              <w:rPr>
                <w:sz w:val="24"/>
              </w:rPr>
            </w:pPr>
            <w:r w:rsidRPr="00BB11AF">
              <w:rPr>
                <w:sz w:val="24"/>
              </w:rPr>
              <w:t>3,9</w:t>
            </w:r>
          </w:p>
        </w:tc>
        <w:tc>
          <w:tcPr>
            <w:tcW w:w="1890" w:type="dxa"/>
            <w:tcBorders>
              <w:top w:val="single" w:sz="12" w:space="0" w:color="auto"/>
            </w:tcBorders>
            <w:shd w:val="clear" w:color="auto" w:fill="FFFFFF"/>
          </w:tcPr>
          <w:p w:rsidR="003A3061" w:rsidRPr="00BB11AF" w:rsidRDefault="003A3061" w:rsidP="003A3061">
            <w:pPr>
              <w:spacing w:before="120"/>
              <w:ind w:left="101" w:right="101" w:firstLine="0"/>
              <w:jc w:val="center"/>
              <w:rPr>
                <w:sz w:val="24"/>
              </w:rPr>
            </w:pPr>
            <w:r w:rsidRPr="00BB11AF">
              <w:rPr>
                <w:rStyle w:val="Corpsdutexte275ptGras"/>
                <w:b w:val="0"/>
                <w:sz w:val="24"/>
                <w:lang w:val="fr-CA"/>
              </w:rPr>
              <w:t>19,2</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1981</w:t>
            </w:r>
          </w:p>
        </w:tc>
        <w:tc>
          <w:tcPr>
            <w:tcW w:w="1710" w:type="dxa"/>
            <w:shd w:val="clear" w:color="auto" w:fill="FFFFFF"/>
          </w:tcPr>
          <w:p w:rsidR="003A3061" w:rsidRPr="00BB11AF" w:rsidRDefault="003A3061" w:rsidP="003A3061">
            <w:pPr>
              <w:ind w:left="102" w:right="101" w:firstLine="0"/>
              <w:jc w:val="center"/>
              <w:rPr>
                <w:sz w:val="24"/>
              </w:rPr>
            </w:pPr>
            <w:r w:rsidRPr="00BB11AF">
              <w:rPr>
                <w:sz w:val="24"/>
              </w:rPr>
              <w:t>4,1</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18,8</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1982</w:t>
            </w:r>
          </w:p>
        </w:tc>
        <w:tc>
          <w:tcPr>
            <w:tcW w:w="1710" w:type="dxa"/>
            <w:shd w:val="clear" w:color="auto" w:fill="FFFFFF"/>
          </w:tcPr>
          <w:p w:rsidR="003A3061" w:rsidRPr="00BB11AF" w:rsidRDefault="003A3061" w:rsidP="003A3061">
            <w:pPr>
              <w:ind w:left="102" w:right="101" w:firstLine="0"/>
              <w:jc w:val="center"/>
              <w:rPr>
                <w:sz w:val="24"/>
              </w:rPr>
            </w:pPr>
            <w:r w:rsidRPr="00BB11AF">
              <w:rPr>
                <w:sz w:val="24"/>
              </w:rPr>
              <w:t>4,1</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20,5</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1983</w:t>
            </w:r>
          </w:p>
        </w:tc>
        <w:tc>
          <w:tcPr>
            <w:tcW w:w="1710" w:type="dxa"/>
            <w:shd w:val="clear" w:color="auto" w:fill="FFFFFF"/>
          </w:tcPr>
          <w:p w:rsidR="003A3061" w:rsidRPr="00BB11AF" w:rsidRDefault="003A3061" w:rsidP="003A3061">
            <w:pPr>
              <w:ind w:left="102" w:right="101" w:firstLine="0"/>
              <w:jc w:val="center"/>
              <w:rPr>
                <w:sz w:val="24"/>
              </w:rPr>
            </w:pPr>
            <w:r w:rsidRPr="00BB11AF">
              <w:rPr>
                <w:sz w:val="24"/>
              </w:rPr>
              <w:t>5,7</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10,6</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1984</w:t>
            </w:r>
          </w:p>
        </w:tc>
        <w:tc>
          <w:tcPr>
            <w:tcW w:w="1710" w:type="dxa"/>
            <w:shd w:val="clear" w:color="auto" w:fill="FFFFFF"/>
          </w:tcPr>
          <w:p w:rsidR="003A3061" w:rsidRPr="00BB11AF" w:rsidRDefault="003A3061" w:rsidP="003A3061">
            <w:pPr>
              <w:ind w:left="102" w:right="101" w:firstLine="0"/>
              <w:jc w:val="center"/>
              <w:rPr>
                <w:sz w:val="24"/>
              </w:rPr>
            </w:pPr>
            <w:r w:rsidRPr="00BB11AF">
              <w:rPr>
                <w:sz w:val="24"/>
              </w:rPr>
              <w:t>4,8</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11</w:t>
            </w:r>
            <w:r w:rsidRPr="00BB11AF">
              <w:rPr>
                <w:sz w:val="24"/>
              </w:rPr>
              <w:t>,4</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1989</w:t>
            </w:r>
          </w:p>
        </w:tc>
        <w:tc>
          <w:tcPr>
            <w:tcW w:w="1710" w:type="dxa"/>
            <w:shd w:val="clear" w:color="auto" w:fill="FFFFFF"/>
          </w:tcPr>
          <w:p w:rsidR="003A3061" w:rsidRPr="00BB11AF" w:rsidRDefault="003A3061" w:rsidP="003A3061">
            <w:pPr>
              <w:ind w:left="102" w:right="101" w:firstLine="0"/>
              <w:jc w:val="center"/>
              <w:rPr>
                <w:sz w:val="24"/>
              </w:rPr>
            </w:pPr>
            <w:r w:rsidRPr="00BB11AF">
              <w:rPr>
                <w:sz w:val="24"/>
              </w:rPr>
              <w:t>5,4</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10,7</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1990</w:t>
            </w:r>
          </w:p>
        </w:tc>
        <w:tc>
          <w:tcPr>
            <w:tcW w:w="1710" w:type="dxa"/>
            <w:shd w:val="clear" w:color="auto" w:fill="FFFFFF"/>
          </w:tcPr>
          <w:p w:rsidR="003A3061" w:rsidRPr="00BB11AF" w:rsidRDefault="003A3061" w:rsidP="003A3061">
            <w:pPr>
              <w:ind w:left="102" w:right="101" w:firstLine="0"/>
              <w:jc w:val="center"/>
              <w:rPr>
                <w:sz w:val="24"/>
              </w:rPr>
            </w:pPr>
            <w:r w:rsidRPr="00BB11AF">
              <w:rPr>
                <w:sz w:val="24"/>
              </w:rPr>
              <w:t>5,1</w:t>
            </w:r>
          </w:p>
        </w:tc>
        <w:tc>
          <w:tcPr>
            <w:tcW w:w="1890" w:type="dxa"/>
            <w:shd w:val="clear" w:color="auto" w:fill="FFFFFF"/>
          </w:tcPr>
          <w:p w:rsidR="003A3061" w:rsidRPr="00BB11AF" w:rsidRDefault="003A3061" w:rsidP="003A3061">
            <w:pPr>
              <w:ind w:left="102" w:right="101" w:firstLine="0"/>
              <w:jc w:val="center"/>
              <w:rPr>
                <w:sz w:val="24"/>
              </w:rPr>
            </w:pPr>
            <w:r w:rsidRPr="00BB11AF">
              <w:rPr>
                <w:sz w:val="24"/>
              </w:rPr>
              <w:t>17,9</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1991</w:t>
            </w:r>
          </w:p>
        </w:tc>
        <w:tc>
          <w:tcPr>
            <w:tcW w:w="1710" w:type="dxa"/>
            <w:shd w:val="clear" w:color="auto" w:fill="FFFFFF"/>
          </w:tcPr>
          <w:p w:rsidR="003A3061" w:rsidRPr="00BB11AF" w:rsidRDefault="003A3061" w:rsidP="003A3061">
            <w:pPr>
              <w:ind w:left="102" w:right="101" w:firstLine="0"/>
              <w:jc w:val="center"/>
              <w:rPr>
                <w:sz w:val="24"/>
              </w:rPr>
            </w:pPr>
            <w:r w:rsidRPr="00BB11AF">
              <w:rPr>
                <w:sz w:val="24"/>
              </w:rPr>
              <w:t>5,9</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21,3</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1992</w:t>
            </w:r>
          </w:p>
        </w:tc>
        <w:tc>
          <w:tcPr>
            <w:tcW w:w="171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6,4</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17,0</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sz w:val="24"/>
              </w:rPr>
              <w:t>1993</w:t>
            </w:r>
          </w:p>
        </w:tc>
        <w:tc>
          <w:tcPr>
            <w:tcW w:w="171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7,5</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22,3</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1994</w:t>
            </w:r>
          </w:p>
        </w:tc>
        <w:tc>
          <w:tcPr>
            <w:tcW w:w="1710" w:type="dxa"/>
            <w:shd w:val="clear" w:color="auto" w:fill="FFFFFF"/>
          </w:tcPr>
          <w:p w:rsidR="003A3061" w:rsidRPr="00BB11AF" w:rsidRDefault="003A3061" w:rsidP="003A3061">
            <w:pPr>
              <w:ind w:left="102" w:right="101" w:firstLine="0"/>
              <w:jc w:val="center"/>
              <w:rPr>
                <w:sz w:val="24"/>
              </w:rPr>
            </w:pPr>
            <w:r w:rsidRPr="00BB11AF">
              <w:rPr>
                <w:sz w:val="24"/>
              </w:rPr>
              <w:t>7,4</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22,8</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1995</w:t>
            </w:r>
          </w:p>
        </w:tc>
        <w:tc>
          <w:tcPr>
            <w:tcW w:w="171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7,6</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24,1</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1996</w:t>
            </w:r>
          </w:p>
        </w:tc>
        <w:tc>
          <w:tcPr>
            <w:tcW w:w="171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6,9</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20,4</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sz w:val="24"/>
              </w:rPr>
              <w:t>1997</w:t>
            </w:r>
          </w:p>
        </w:tc>
        <w:tc>
          <w:tcPr>
            <w:tcW w:w="171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5,2</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19,8</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1998</w:t>
            </w:r>
          </w:p>
        </w:tc>
        <w:tc>
          <w:tcPr>
            <w:tcW w:w="171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5,1</w:t>
            </w:r>
          </w:p>
        </w:tc>
        <w:tc>
          <w:tcPr>
            <w:tcW w:w="1890" w:type="dxa"/>
            <w:shd w:val="clear" w:color="auto" w:fill="FFFFFF"/>
          </w:tcPr>
          <w:p w:rsidR="003A3061" w:rsidRPr="00BB11AF" w:rsidRDefault="003A3061" w:rsidP="003A3061">
            <w:pPr>
              <w:ind w:left="102" w:right="101" w:firstLine="0"/>
              <w:jc w:val="center"/>
              <w:rPr>
                <w:sz w:val="24"/>
              </w:rPr>
            </w:pPr>
            <w:r w:rsidRPr="00BB11AF">
              <w:rPr>
                <w:sz w:val="24"/>
              </w:rPr>
              <w:t>19,9</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1999</w:t>
            </w:r>
          </w:p>
        </w:tc>
        <w:tc>
          <w:tcPr>
            <w:tcW w:w="171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5,1</w:t>
            </w:r>
          </w:p>
        </w:tc>
        <w:tc>
          <w:tcPr>
            <w:tcW w:w="1890" w:type="dxa"/>
            <w:shd w:val="clear" w:color="auto" w:fill="FFFFFF"/>
          </w:tcPr>
          <w:p w:rsidR="003A3061" w:rsidRPr="00BB11AF" w:rsidRDefault="003A3061" w:rsidP="003A3061">
            <w:pPr>
              <w:ind w:left="102" w:right="101" w:firstLine="0"/>
              <w:jc w:val="center"/>
              <w:rPr>
                <w:sz w:val="24"/>
              </w:rPr>
            </w:pPr>
            <w:r w:rsidRPr="00BB11AF">
              <w:rPr>
                <w:sz w:val="24"/>
              </w:rPr>
              <w:t>19,4</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2000</w:t>
            </w:r>
          </w:p>
        </w:tc>
        <w:tc>
          <w:tcPr>
            <w:tcW w:w="171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5,1</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22,7</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2001</w:t>
            </w:r>
          </w:p>
        </w:tc>
        <w:tc>
          <w:tcPr>
            <w:tcW w:w="171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5,8</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22,2</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2002</w:t>
            </w:r>
          </w:p>
        </w:tc>
        <w:tc>
          <w:tcPr>
            <w:tcW w:w="171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6,3</w:t>
            </w:r>
          </w:p>
        </w:tc>
        <w:tc>
          <w:tcPr>
            <w:tcW w:w="1890" w:type="dxa"/>
            <w:shd w:val="clear" w:color="auto" w:fill="FFFFFF"/>
          </w:tcPr>
          <w:p w:rsidR="003A3061" w:rsidRPr="00BB11AF" w:rsidRDefault="003A3061" w:rsidP="003A3061">
            <w:pPr>
              <w:ind w:left="102" w:right="101" w:firstLine="0"/>
              <w:jc w:val="center"/>
              <w:rPr>
                <w:sz w:val="24"/>
              </w:rPr>
            </w:pPr>
            <w:r w:rsidRPr="00BB11AF">
              <w:rPr>
                <w:sz w:val="24"/>
              </w:rPr>
              <w:t>23,9</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2003</w:t>
            </w:r>
          </w:p>
        </w:tc>
        <w:tc>
          <w:tcPr>
            <w:tcW w:w="171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6,5</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24,2</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2004</w:t>
            </w:r>
          </w:p>
        </w:tc>
        <w:tc>
          <w:tcPr>
            <w:tcW w:w="171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6,8</w:t>
            </w:r>
          </w:p>
        </w:tc>
        <w:tc>
          <w:tcPr>
            <w:tcW w:w="1890" w:type="dxa"/>
            <w:shd w:val="clear" w:color="auto" w:fill="FFFFFF"/>
          </w:tcPr>
          <w:p w:rsidR="003A3061" w:rsidRPr="00BB11AF" w:rsidRDefault="003A3061" w:rsidP="003A3061">
            <w:pPr>
              <w:ind w:left="102" w:right="101" w:firstLine="0"/>
              <w:jc w:val="center"/>
              <w:rPr>
                <w:sz w:val="24"/>
              </w:rPr>
            </w:pPr>
            <w:r w:rsidRPr="00BB11AF">
              <w:rPr>
                <w:sz w:val="24"/>
              </w:rPr>
              <w:t>24,4</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2005</w:t>
            </w:r>
          </w:p>
        </w:tc>
        <w:tc>
          <w:tcPr>
            <w:tcW w:w="1710" w:type="dxa"/>
            <w:shd w:val="clear" w:color="auto" w:fill="FFFFFF"/>
          </w:tcPr>
          <w:p w:rsidR="003A3061" w:rsidRPr="00BB11AF" w:rsidRDefault="003A3061" w:rsidP="003A3061">
            <w:pPr>
              <w:ind w:left="102" w:right="101" w:firstLine="0"/>
              <w:jc w:val="center"/>
              <w:rPr>
                <w:sz w:val="24"/>
              </w:rPr>
            </w:pPr>
            <w:r w:rsidRPr="00BB11AF">
              <w:rPr>
                <w:sz w:val="24"/>
              </w:rPr>
              <w:t>7,1</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25,1</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2006</w:t>
            </w:r>
          </w:p>
        </w:tc>
        <w:tc>
          <w:tcPr>
            <w:tcW w:w="171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6,8</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24,0</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2007</w:t>
            </w:r>
          </w:p>
        </w:tc>
        <w:tc>
          <w:tcPr>
            <w:tcW w:w="1710" w:type="dxa"/>
            <w:shd w:val="clear" w:color="auto" w:fill="FFFFFF"/>
          </w:tcPr>
          <w:p w:rsidR="003A3061" w:rsidRPr="00BB11AF" w:rsidRDefault="003A3061" w:rsidP="003A3061">
            <w:pPr>
              <w:ind w:left="102" w:right="101" w:firstLine="0"/>
              <w:jc w:val="center"/>
              <w:rPr>
                <w:sz w:val="24"/>
              </w:rPr>
            </w:pPr>
            <w:r w:rsidRPr="00BB11AF">
              <w:rPr>
                <w:sz w:val="24"/>
              </w:rPr>
              <w:t>5,9</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18,7</w:t>
            </w:r>
          </w:p>
        </w:tc>
      </w:tr>
      <w:tr w:rsidR="003A3061" w:rsidRPr="00BB11AF">
        <w:tblPrEx>
          <w:tblCellMar>
            <w:top w:w="0" w:type="dxa"/>
            <w:bottom w:w="0" w:type="dxa"/>
          </w:tblCellMar>
        </w:tblPrEx>
        <w:tc>
          <w:tcPr>
            <w:tcW w:w="180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2008</w:t>
            </w:r>
          </w:p>
        </w:tc>
        <w:tc>
          <w:tcPr>
            <w:tcW w:w="1710" w:type="dxa"/>
            <w:shd w:val="clear" w:color="auto" w:fill="FFFFFF"/>
          </w:tcPr>
          <w:p w:rsidR="003A3061" w:rsidRPr="00BB11AF" w:rsidRDefault="003A3061" w:rsidP="003A3061">
            <w:pPr>
              <w:ind w:left="102" w:right="101" w:firstLine="0"/>
              <w:jc w:val="center"/>
              <w:rPr>
                <w:sz w:val="24"/>
              </w:rPr>
            </w:pPr>
            <w:r w:rsidRPr="00BB11AF">
              <w:rPr>
                <w:sz w:val="24"/>
              </w:rPr>
              <w:t>5,9</w:t>
            </w:r>
          </w:p>
        </w:tc>
        <w:tc>
          <w:tcPr>
            <w:tcW w:w="1890" w:type="dxa"/>
            <w:shd w:val="clear" w:color="auto" w:fill="FFFFFF"/>
          </w:tcPr>
          <w:p w:rsidR="003A3061" w:rsidRPr="00BB11AF" w:rsidRDefault="003A3061" w:rsidP="003A3061">
            <w:pPr>
              <w:ind w:left="102" w:right="101" w:firstLine="0"/>
              <w:jc w:val="center"/>
              <w:rPr>
                <w:sz w:val="24"/>
              </w:rPr>
            </w:pPr>
            <w:r w:rsidRPr="00BB11AF">
              <w:rPr>
                <w:rStyle w:val="Corpsdutexte275ptGras"/>
                <w:b w:val="0"/>
                <w:sz w:val="24"/>
                <w:lang w:val="fr-CA"/>
              </w:rPr>
              <w:t>19,2</w:t>
            </w:r>
          </w:p>
        </w:tc>
      </w:tr>
      <w:tr w:rsidR="003A3061" w:rsidRPr="00BB11AF">
        <w:tblPrEx>
          <w:tblCellMar>
            <w:top w:w="0" w:type="dxa"/>
            <w:bottom w:w="0" w:type="dxa"/>
          </w:tblCellMar>
        </w:tblPrEx>
        <w:tc>
          <w:tcPr>
            <w:tcW w:w="1800" w:type="dxa"/>
            <w:tcBorders>
              <w:bottom w:val="single" w:sz="12" w:space="0" w:color="auto"/>
            </w:tcBorders>
            <w:shd w:val="clear" w:color="auto" w:fill="FFFFFF"/>
          </w:tcPr>
          <w:p w:rsidR="003A3061" w:rsidRPr="00BB11AF" w:rsidRDefault="003A3061" w:rsidP="003A3061">
            <w:pPr>
              <w:spacing w:after="120"/>
              <w:ind w:left="101" w:right="101" w:firstLine="0"/>
              <w:jc w:val="center"/>
              <w:rPr>
                <w:sz w:val="24"/>
              </w:rPr>
            </w:pPr>
            <w:r w:rsidRPr="00BB11AF">
              <w:rPr>
                <w:rStyle w:val="Corpsdutexte275ptGras"/>
                <w:b w:val="0"/>
                <w:sz w:val="24"/>
                <w:lang w:val="fr-CA"/>
              </w:rPr>
              <w:t>2009</w:t>
            </w:r>
          </w:p>
        </w:tc>
        <w:tc>
          <w:tcPr>
            <w:tcW w:w="1710" w:type="dxa"/>
            <w:tcBorders>
              <w:bottom w:val="single" w:sz="12" w:space="0" w:color="auto"/>
            </w:tcBorders>
            <w:shd w:val="clear" w:color="auto" w:fill="FFFFFF"/>
          </w:tcPr>
          <w:p w:rsidR="003A3061" w:rsidRPr="00BB11AF" w:rsidRDefault="003A3061" w:rsidP="003A3061">
            <w:pPr>
              <w:spacing w:after="120"/>
              <w:ind w:left="101" w:right="101" w:firstLine="0"/>
              <w:jc w:val="center"/>
              <w:rPr>
                <w:sz w:val="24"/>
              </w:rPr>
            </w:pPr>
            <w:r w:rsidRPr="00BB11AF">
              <w:rPr>
                <w:sz w:val="24"/>
              </w:rPr>
              <w:t>5,2</w:t>
            </w:r>
          </w:p>
        </w:tc>
        <w:tc>
          <w:tcPr>
            <w:tcW w:w="1890" w:type="dxa"/>
            <w:tcBorders>
              <w:bottom w:val="single" w:sz="12" w:space="0" w:color="auto"/>
            </w:tcBorders>
            <w:shd w:val="clear" w:color="auto" w:fill="FFFFFF"/>
          </w:tcPr>
          <w:p w:rsidR="003A3061" w:rsidRPr="00BB11AF" w:rsidRDefault="003A3061" w:rsidP="003A3061">
            <w:pPr>
              <w:spacing w:after="120"/>
              <w:ind w:left="101" w:right="101" w:firstLine="0"/>
              <w:jc w:val="center"/>
              <w:rPr>
                <w:sz w:val="24"/>
              </w:rPr>
            </w:pPr>
            <w:r w:rsidRPr="00BB11AF">
              <w:rPr>
                <w:rStyle w:val="Corpsdutexte275ptGras"/>
                <w:b w:val="0"/>
                <w:sz w:val="24"/>
                <w:lang w:val="fr-CA"/>
              </w:rPr>
              <w:t>22,9</w:t>
            </w:r>
          </w:p>
        </w:tc>
      </w:tr>
    </w:tbl>
    <w:p w:rsidR="003A3061" w:rsidRPr="00BB11AF" w:rsidRDefault="003A3061" w:rsidP="003A3061">
      <w:pPr>
        <w:spacing w:before="120" w:after="120"/>
        <w:jc w:val="both"/>
        <w:rPr>
          <w:sz w:val="24"/>
        </w:rPr>
      </w:pPr>
      <w:r w:rsidRPr="00BB11AF">
        <w:rPr>
          <w:sz w:val="24"/>
        </w:rPr>
        <w:t xml:space="preserve">Source : Perspective monde, </w:t>
      </w:r>
      <w:hyperlink r:id="rId29" w:history="1">
        <w:r w:rsidRPr="00BB11AF">
          <w:rPr>
            <w:rStyle w:val="Lienhypertexte"/>
            <w:sz w:val="24"/>
            <w:lang w:bidi="en-US"/>
          </w:rPr>
          <w:t>http ://perspective.usherbrooke.ca/</w:t>
        </w:r>
      </w:hyperlink>
    </w:p>
    <w:p w:rsidR="003A3061" w:rsidRPr="00BB11AF" w:rsidRDefault="003A3061" w:rsidP="003A3061">
      <w:pPr>
        <w:spacing w:before="120" w:after="120"/>
        <w:jc w:val="both"/>
        <w:rPr>
          <w:szCs w:val="2"/>
        </w:rPr>
      </w:pPr>
    </w:p>
    <w:p w:rsidR="003A3061" w:rsidRPr="00BB11AF" w:rsidRDefault="003A3061" w:rsidP="003A3061">
      <w:pPr>
        <w:spacing w:before="120" w:after="120"/>
        <w:jc w:val="both"/>
      </w:pPr>
      <w:r w:rsidRPr="00BB11AF">
        <w:t>La croissance macro-économique des années 2004 à 2008, ass</w:t>
      </w:r>
      <w:r w:rsidRPr="00BB11AF">
        <w:t>o</w:t>
      </w:r>
      <w:r w:rsidRPr="00BB11AF">
        <w:t>ciée au néolibéralisme et à la mondialisation, était portée à la fois par une conjoncture internationale expansive et l'entrée de flux grandi</w:t>
      </w:r>
      <w:r w:rsidRPr="00BB11AF">
        <w:t>s</w:t>
      </w:r>
      <w:r w:rsidRPr="00BB11AF">
        <w:t>sants de capitaux étrangers. Cependant elle recouvre des réalités diff</w:t>
      </w:r>
      <w:r w:rsidRPr="00BB11AF">
        <w:t>é</w:t>
      </w:r>
      <w:r w:rsidRPr="00BB11AF">
        <w:t>renciées. La croissance a bénéficié aux détenteurs d'actifs et de pr</w:t>
      </w:r>
      <w:r w:rsidRPr="00BB11AF">
        <w:t>o</w:t>
      </w:r>
      <w:r w:rsidRPr="00BB11AF">
        <w:t>priétés, e</w:t>
      </w:r>
      <w:r w:rsidRPr="00BB11AF">
        <w:t>n</w:t>
      </w:r>
      <w:r w:rsidRPr="00BB11AF">
        <w:t>tretenant, entre autres, un boom spéculatif sur les marchés immob</w:t>
      </w:r>
      <w:r w:rsidRPr="00BB11AF">
        <w:t>i</w:t>
      </w:r>
      <w:r w:rsidRPr="00BB11AF">
        <w:t>liers, alimenté par des promoteurs des pays du Golfe. De cette croi</w:t>
      </w:r>
      <w:r w:rsidRPr="00BB11AF">
        <w:t>s</w:t>
      </w:r>
      <w:r w:rsidRPr="00BB11AF">
        <w:t>sance, les couches populaires et moyennes n'ont vu que l'envers, c'est-à-dire l'inflation et la hausse du coût de la vie. L'IDE s'orientant principal</w:t>
      </w:r>
      <w:r w:rsidRPr="00BB11AF">
        <w:t>e</w:t>
      </w:r>
      <w:r w:rsidRPr="00BB11AF">
        <w:t>ment vers les secteurs immobilier et pétrolier, plus capital-intensive [56] que labour-intensive, il contribue peu à l'emploi. Ma</w:t>
      </w:r>
      <w:r w:rsidRPr="00BB11AF">
        <w:t>l</w:t>
      </w:r>
      <w:r w:rsidRPr="00BB11AF">
        <w:t>gré la croi</w:t>
      </w:r>
      <w:r w:rsidRPr="00BB11AF">
        <w:t>s</w:t>
      </w:r>
      <w:r w:rsidRPr="00BB11AF">
        <w:t>sance du PIB, ni le chômage ni la pauvreté n'ont connu d'atténuation équiv</w:t>
      </w:r>
      <w:r w:rsidRPr="00BB11AF">
        <w:t>a</w:t>
      </w:r>
      <w:r w:rsidRPr="00BB11AF">
        <w:t>lente.</w:t>
      </w:r>
    </w:p>
    <w:p w:rsidR="003A3061" w:rsidRPr="00BB11AF" w:rsidRDefault="003A3061" w:rsidP="003A3061">
      <w:pPr>
        <w:spacing w:before="120" w:after="120"/>
        <w:jc w:val="both"/>
      </w:pPr>
      <w:r w:rsidRPr="00BB11AF">
        <w:t>Synonyme d'impossibilité de subvenir aux besoins alimenta</w:t>
      </w:r>
      <w:r w:rsidRPr="00BB11AF">
        <w:t>i</w:t>
      </w:r>
      <w:r w:rsidRPr="00BB11AF">
        <w:t>res et non alimentaires de base, la pauvreté augmente de 1981 et 1995 sur le plan des revenus, quoique des progrès soient enr</w:t>
      </w:r>
      <w:r w:rsidRPr="00BB11AF">
        <w:t>e</w:t>
      </w:r>
      <w:r w:rsidRPr="00BB11AF">
        <w:t>gistrés sur des plans non monétaires-espérance de vie à la naissance, mortalité et malnutr</w:t>
      </w:r>
      <w:r w:rsidRPr="00BB11AF">
        <w:t>i</w:t>
      </w:r>
      <w:r w:rsidRPr="00BB11AF">
        <w:t>tion infantiles, alphabétisation des femmes (World Bank 2002 :8, 10, 17 ; Programme des Nations Unies pour le développement 1990). Vingt-huit millions d'Égyptiens, soit 41% de la population, sont pa</w:t>
      </w:r>
      <w:r w:rsidRPr="00BB11AF">
        <w:t>u</w:t>
      </w:r>
      <w:r w:rsidRPr="00BB11AF">
        <w:t>vres en 2005, une fa</w:t>
      </w:r>
      <w:r w:rsidRPr="00BB11AF">
        <w:t>i</w:t>
      </w:r>
      <w:r w:rsidRPr="00BB11AF">
        <w:t>ble amélioration par rapport au 43% de 2000. Cependant, la pauvreté absolue (ou dénuement) augmente de 17% à 20% de 2000 à 2005 (Alissa 2007 :13). Selon les indicateurs du dév</w:t>
      </w:r>
      <w:r w:rsidRPr="00BB11AF">
        <w:t>e</w:t>
      </w:r>
      <w:r w:rsidRPr="00BB11AF">
        <w:t>loppement humain, la pauvreté recule légèrement sur les 15 ans qui s'étendent de 1995 à 2010.</w:t>
      </w:r>
    </w:p>
    <w:p w:rsidR="003A3061" w:rsidRPr="00BB11AF" w:rsidRDefault="003A3061" w:rsidP="003A3061">
      <w:pPr>
        <w:spacing w:before="120" w:after="120"/>
        <w:jc w:val="both"/>
      </w:pPr>
    </w:p>
    <w:p w:rsidR="003A3061" w:rsidRPr="00BB11AF" w:rsidRDefault="003A3061" w:rsidP="003A3061">
      <w:pPr>
        <w:spacing w:before="120" w:after="120"/>
        <w:ind w:firstLine="0"/>
        <w:jc w:val="center"/>
        <w:rPr>
          <w:b/>
          <w:bCs/>
          <w:sz w:val="24"/>
          <w:szCs w:val="24"/>
        </w:rPr>
      </w:pPr>
      <w:r w:rsidRPr="00BB11AF">
        <w:rPr>
          <w:b/>
          <w:bCs/>
          <w:sz w:val="24"/>
          <w:szCs w:val="24"/>
        </w:rPr>
        <w:t>Tableau 6</w:t>
      </w:r>
      <w:r w:rsidRPr="00BB11AF">
        <w:rPr>
          <w:b/>
          <w:bCs/>
          <w:sz w:val="24"/>
          <w:szCs w:val="24"/>
        </w:rPr>
        <w:br/>
        <w:t>Évolution des indices de développement humain</w:t>
      </w:r>
    </w:p>
    <w:tbl>
      <w:tblPr>
        <w:tblOverlap w:val="never"/>
        <w:tblW w:w="0" w:type="auto"/>
        <w:tblLayout w:type="fixed"/>
        <w:tblCellMar>
          <w:left w:w="10" w:type="dxa"/>
          <w:right w:w="10" w:type="dxa"/>
        </w:tblCellMar>
        <w:tblLook w:val="04A0" w:firstRow="1" w:lastRow="0" w:firstColumn="1" w:lastColumn="0" w:noHBand="0" w:noVBand="1"/>
      </w:tblPr>
      <w:tblGrid>
        <w:gridCol w:w="4420"/>
        <w:gridCol w:w="1440"/>
        <w:gridCol w:w="2070"/>
      </w:tblGrid>
      <w:tr w:rsidR="003A3061" w:rsidRPr="00BB11AF">
        <w:tblPrEx>
          <w:tblCellMar>
            <w:top w:w="0" w:type="dxa"/>
            <w:bottom w:w="0" w:type="dxa"/>
          </w:tblCellMar>
        </w:tblPrEx>
        <w:tc>
          <w:tcPr>
            <w:tcW w:w="4420" w:type="dxa"/>
            <w:tcBorders>
              <w:top w:val="single" w:sz="12" w:space="0" w:color="auto"/>
              <w:bottom w:val="single" w:sz="12" w:space="0" w:color="auto"/>
            </w:tcBorders>
            <w:shd w:val="clear" w:color="auto" w:fill="EAF1DD"/>
          </w:tcPr>
          <w:p w:rsidR="003A3061" w:rsidRPr="00BB11AF" w:rsidRDefault="003A3061" w:rsidP="003A3061">
            <w:pPr>
              <w:spacing w:before="120" w:after="120"/>
              <w:ind w:left="86" w:right="86" w:firstLine="0"/>
              <w:jc w:val="both"/>
              <w:rPr>
                <w:sz w:val="24"/>
                <w:szCs w:val="10"/>
              </w:rPr>
            </w:pPr>
          </w:p>
        </w:tc>
        <w:tc>
          <w:tcPr>
            <w:tcW w:w="1440" w:type="dxa"/>
            <w:tcBorders>
              <w:top w:val="single" w:sz="12" w:space="0" w:color="auto"/>
              <w:bottom w:val="single" w:sz="12" w:space="0" w:color="auto"/>
            </w:tcBorders>
            <w:shd w:val="clear" w:color="auto" w:fill="EAF1DD"/>
            <w:vAlign w:val="center"/>
          </w:tcPr>
          <w:p w:rsidR="003A3061" w:rsidRPr="00BB11AF" w:rsidRDefault="003A3061" w:rsidP="003A3061">
            <w:pPr>
              <w:spacing w:before="120" w:after="120"/>
              <w:ind w:left="86" w:right="86" w:firstLine="0"/>
              <w:jc w:val="center"/>
              <w:rPr>
                <w:sz w:val="24"/>
              </w:rPr>
            </w:pPr>
            <w:r w:rsidRPr="00BB11AF">
              <w:rPr>
                <w:rStyle w:val="Corpsdutexte27ptGras"/>
                <w:rFonts w:ascii="Times New Roman" w:hAnsi="Times New Roman"/>
                <w:b w:val="0"/>
                <w:sz w:val="24"/>
                <w:lang w:val="fr-CA"/>
              </w:rPr>
              <w:t>1995</w:t>
            </w:r>
          </w:p>
        </w:tc>
        <w:tc>
          <w:tcPr>
            <w:tcW w:w="2070" w:type="dxa"/>
            <w:tcBorders>
              <w:top w:val="single" w:sz="12" w:space="0" w:color="auto"/>
              <w:bottom w:val="single" w:sz="12" w:space="0" w:color="auto"/>
            </w:tcBorders>
            <w:shd w:val="clear" w:color="auto" w:fill="EAF1DD"/>
            <w:vAlign w:val="center"/>
          </w:tcPr>
          <w:p w:rsidR="003A3061" w:rsidRPr="00BB11AF" w:rsidRDefault="003A3061" w:rsidP="003A3061">
            <w:pPr>
              <w:spacing w:before="120" w:after="120"/>
              <w:ind w:left="86" w:right="86" w:firstLine="0"/>
              <w:jc w:val="center"/>
              <w:rPr>
                <w:sz w:val="24"/>
              </w:rPr>
            </w:pPr>
            <w:r w:rsidRPr="00BB11AF">
              <w:rPr>
                <w:rStyle w:val="Corpsdutexte27ptGras"/>
                <w:rFonts w:ascii="Times New Roman" w:hAnsi="Times New Roman"/>
                <w:b w:val="0"/>
                <w:sz w:val="24"/>
                <w:lang w:val="fr-CA"/>
              </w:rPr>
              <w:t>2010</w:t>
            </w:r>
          </w:p>
        </w:tc>
      </w:tr>
      <w:tr w:rsidR="003A3061" w:rsidRPr="00BB11AF">
        <w:tblPrEx>
          <w:tblCellMar>
            <w:top w:w="0" w:type="dxa"/>
            <w:bottom w:w="0" w:type="dxa"/>
          </w:tblCellMar>
        </w:tblPrEx>
        <w:tc>
          <w:tcPr>
            <w:tcW w:w="4420" w:type="dxa"/>
            <w:tcBorders>
              <w:top w:val="single" w:sz="12" w:space="0" w:color="auto"/>
            </w:tcBorders>
            <w:shd w:val="clear" w:color="auto" w:fill="FFFFFF"/>
          </w:tcPr>
          <w:p w:rsidR="003A3061" w:rsidRPr="00BB11AF" w:rsidRDefault="003A3061" w:rsidP="003A3061">
            <w:pPr>
              <w:spacing w:before="120" w:after="120"/>
              <w:ind w:left="86" w:right="86" w:firstLine="0"/>
              <w:jc w:val="both"/>
              <w:rPr>
                <w:sz w:val="24"/>
              </w:rPr>
            </w:pPr>
            <w:r w:rsidRPr="00BB11AF">
              <w:rPr>
                <w:rStyle w:val="Corpsdutexte27ptGras"/>
                <w:rFonts w:ascii="Times New Roman" w:hAnsi="Times New Roman"/>
                <w:b w:val="0"/>
                <w:sz w:val="24"/>
                <w:lang w:val="fr-CA"/>
              </w:rPr>
              <w:t>Indice de développement h</w:t>
            </w:r>
            <w:r w:rsidRPr="00BB11AF">
              <w:rPr>
                <w:rStyle w:val="Corpsdutexte27ptGras"/>
                <w:rFonts w:ascii="Times New Roman" w:hAnsi="Times New Roman"/>
                <w:b w:val="0"/>
                <w:sz w:val="24"/>
                <w:lang w:val="fr-CA"/>
              </w:rPr>
              <w:t>u</w:t>
            </w:r>
            <w:r w:rsidRPr="00BB11AF">
              <w:rPr>
                <w:rStyle w:val="Corpsdutexte27ptGras"/>
                <w:rFonts w:ascii="Times New Roman" w:hAnsi="Times New Roman"/>
                <w:b w:val="0"/>
                <w:sz w:val="24"/>
                <w:lang w:val="fr-CA"/>
              </w:rPr>
              <w:t>main</w:t>
            </w:r>
          </w:p>
        </w:tc>
        <w:tc>
          <w:tcPr>
            <w:tcW w:w="1440" w:type="dxa"/>
            <w:tcBorders>
              <w:top w:val="single" w:sz="12" w:space="0" w:color="auto"/>
            </w:tcBorders>
            <w:shd w:val="clear" w:color="auto" w:fill="FFFFFF"/>
          </w:tcPr>
          <w:p w:rsidR="003A3061" w:rsidRPr="00BB11AF" w:rsidRDefault="003A3061" w:rsidP="003A3061">
            <w:pPr>
              <w:spacing w:before="120" w:after="120"/>
              <w:ind w:left="86" w:right="86" w:firstLine="0"/>
              <w:jc w:val="center"/>
              <w:rPr>
                <w:sz w:val="24"/>
              </w:rPr>
            </w:pPr>
            <w:r w:rsidRPr="00BB11AF">
              <w:rPr>
                <w:rStyle w:val="Corpsdutexte27ptGras"/>
                <w:rFonts w:ascii="Times New Roman" w:hAnsi="Times New Roman"/>
                <w:b w:val="0"/>
                <w:sz w:val="24"/>
                <w:lang w:val="fr-CA"/>
              </w:rPr>
              <w:t>0,524</w:t>
            </w:r>
          </w:p>
        </w:tc>
        <w:tc>
          <w:tcPr>
            <w:tcW w:w="2070" w:type="dxa"/>
            <w:tcBorders>
              <w:top w:val="single" w:sz="12" w:space="0" w:color="auto"/>
            </w:tcBorders>
            <w:shd w:val="clear" w:color="auto" w:fill="FFFFFF"/>
          </w:tcPr>
          <w:p w:rsidR="003A3061" w:rsidRPr="00BB11AF" w:rsidRDefault="003A3061" w:rsidP="003A3061">
            <w:pPr>
              <w:spacing w:before="120" w:after="120"/>
              <w:ind w:left="86" w:right="86" w:firstLine="0"/>
              <w:jc w:val="center"/>
              <w:rPr>
                <w:sz w:val="24"/>
              </w:rPr>
            </w:pPr>
            <w:r w:rsidRPr="00BB11AF">
              <w:rPr>
                <w:sz w:val="24"/>
              </w:rPr>
              <w:t>0,731</w:t>
            </w:r>
          </w:p>
        </w:tc>
      </w:tr>
      <w:tr w:rsidR="003A3061" w:rsidRPr="00BB11AF">
        <w:tblPrEx>
          <w:tblCellMar>
            <w:top w:w="0" w:type="dxa"/>
            <w:bottom w:w="0" w:type="dxa"/>
          </w:tblCellMar>
        </w:tblPrEx>
        <w:tc>
          <w:tcPr>
            <w:tcW w:w="4420" w:type="dxa"/>
            <w:shd w:val="clear" w:color="auto" w:fill="FFFFFF"/>
          </w:tcPr>
          <w:p w:rsidR="003A3061" w:rsidRPr="00BB11AF" w:rsidRDefault="003A3061" w:rsidP="003A3061">
            <w:pPr>
              <w:spacing w:before="120" w:after="120"/>
              <w:ind w:left="86" w:right="86" w:firstLine="0"/>
              <w:jc w:val="both"/>
              <w:rPr>
                <w:sz w:val="24"/>
              </w:rPr>
            </w:pPr>
            <w:r w:rsidRPr="00BB11AF">
              <w:rPr>
                <w:rStyle w:val="Corpsdutexte275ptGras"/>
                <w:b w:val="0"/>
                <w:sz w:val="24"/>
                <w:lang w:val="fr-CA"/>
              </w:rPr>
              <w:t>Indice de revenu</w:t>
            </w:r>
          </w:p>
        </w:tc>
        <w:tc>
          <w:tcPr>
            <w:tcW w:w="1440" w:type="dxa"/>
            <w:shd w:val="clear" w:color="auto" w:fill="FFFFFF"/>
          </w:tcPr>
          <w:p w:rsidR="003A3061" w:rsidRPr="00BB11AF" w:rsidRDefault="003A3061" w:rsidP="003A3061">
            <w:pPr>
              <w:spacing w:before="120" w:after="120"/>
              <w:ind w:left="86" w:right="86" w:firstLine="0"/>
              <w:jc w:val="center"/>
              <w:rPr>
                <w:sz w:val="24"/>
              </w:rPr>
            </w:pPr>
            <w:r w:rsidRPr="00BB11AF">
              <w:rPr>
                <w:sz w:val="24"/>
              </w:rPr>
              <w:t>0,357</w:t>
            </w:r>
          </w:p>
        </w:tc>
        <w:tc>
          <w:tcPr>
            <w:tcW w:w="2070" w:type="dxa"/>
            <w:shd w:val="clear" w:color="auto" w:fill="FFFFFF"/>
          </w:tcPr>
          <w:p w:rsidR="003A3061" w:rsidRPr="00BB11AF" w:rsidRDefault="003A3061" w:rsidP="003A3061">
            <w:pPr>
              <w:spacing w:before="120" w:after="120"/>
              <w:ind w:left="86" w:right="86" w:firstLine="0"/>
              <w:jc w:val="center"/>
              <w:rPr>
                <w:sz w:val="24"/>
              </w:rPr>
            </w:pPr>
            <w:r w:rsidRPr="00BB11AF">
              <w:rPr>
                <w:rStyle w:val="Corpsdutexte275ptGras"/>
                <w:b w:val="0"/>
                <w:sz w:val="24"/>
                <w:lang w:val="fr-CA"/>
              </w:rPr>
              <w:t>0,727</w:t>
            </w:r>
          </w:p>
        </w:tc>
      </w:tr>
      <w:tr w:rsidR="003A3061" w:rsidRPr="00BB11AF">
        <w:tblPrEx>
          <w:tblCellMar>
            <w:top w:w="0" w:type="dxa"/>
            <w:bottom w:w="0" w:type="dxa"/>
          </w:tblCellMar>
        </w:tblPrEx>
        <w:tc>
          <w:tcPr>
            <w:tcW w:w="4420" w:type="dxa"/>
            <w:shd w:val="clear" w:color="auto" w:fill="FFFFFF"/>
          </w:tcPr>
          <w:p w:rsidR="003A3061" w:rsidRPr="00BB11AF" w:rsidRDefault="003A3061" w:rsidP="003A3061">
            <w:pPr>
              <w:spacing w:before="120" w:after="120"/>
              <w:ind w:left="86" w:right="86" w:firstLine="0"/>
              <w:jc w:val="both"/>
              <w:rPr>
                <w:sz w:val="24"/>
              </w:rPr>
            </w:pPr>
            <w:r w:rsidRPr="00BB11AF">
              <w:rPr>
                <w:rStyle w:val="Corpsdutexte27ptGras"/>
                <w:rFonts w:ascii="Times New Roman" w:hAnsi="Times New Roman"/>
                <w:b w:val="0"/>
                <w:sz w:val="24"/>
                <w:lang w:val="fr-CA"/>
              </w:rPr>
              <w:t>Indice de scolarisation</w:t>
            </w:r>
          </w:p>
        </w:tc>
        <w:tc>
          <w:tcPr>
            <w:tcW w:w="1440" w:type="dxa"/>
            <w:shd w:val="clear" w:color="auto" w:fill="FFFFFF"/>
          </w:tcPr>
          <w:p w:rsidR="003A3061" w:rsidRPr="00BB11AF" w:rsidRDefault="003A3061" w:rsidP="003A3061">
            <w:pPr>
              <w:spacing w:before="120" w:after="120"/>
              <w:ind w:left="86" w:right="86" w:firstLine="0"/>
              <w:jc w:val="center"/>
              <w:rPr>
                <w:sz w:val="24"/>
              </w:rPr>
            </w:pPr>
            <w:r w:rsidRPr="00BB11AF">
              <w:rPr>
                <w:rStyle w:val="Corpsdutexte27ptGras"/>
                <w:rFonts w:ascii="Times New Roman" w:hAnsi="Times New Roman"/>
                <w:b w:val="0"/>
                <w:sz w:val="24"/>
                <w:lang w:val="fr-CA"/>
              </w:rPr>
              <w:t>0,544</w:t>
            </w:r>
          </w:p>
        </w:tc>
        <w:tc>
          <w:tcPr>
            <w:tcW w:w="2070" w:type="dxa"/>
            <w:shd w:val="clear" w:color="auto" w:fill="FFFFFF"/>
          </w:tcPr>
          <w:p w:rsidR="003A3061" w:rsidRPr="00BB11AF" w:rsidRDefault="003A3061" w:rsidP="003A3061">
            <w:pPr>
              <w:spacing w:before="120" w:after="120"/>
              <w:ind w:left="86" w:right="86" w:firstLine="0"/>
              <w:jc w:val="center"/>
              <w:rPr>
                <w:sz w:val="24"/>
              </w:rPr>
            </w:pPr>
            <w:r w:rsidRPr="00BB11AF">
              <w:rPr>
                <w:sz w:val="24"/>
              </w:rPr>
              <w:t>0,689</w:t>
            </w:r>
          </w:p>
        </w:tc>
      </w:tr>
      <w:tr w:rsidR="003A3061" w:rsidRPr="00BB11AF">
        <w:tblPrEx>
          <w:tblCellMar>
            <w:top w:w="0" w:type="dxa"/>
            <w:bottom w:w="0" w:type="dxa"/>
          </w:tblCellMar>
        </w:tblPrEx>
        <w:tc>
          <w:tcPr>
            <w:tcW w:w="4420" w:type="dxa"/>
            <w:tcBorders>
              <w:bottom w:val="single" w:sz="12" w:space="0" w:color="auto"/>
            </w:tcBorders>
            <w:shd w:val="clear" w:color="auto" w:fill="FFFFFF"/>
          </w:tcPr>
          <w:p w:rsidR="003A3061" w:rsidRPr="00BB11AF" w:rsidRDefault="003A3061" w:rsidP="003A3061">
            <w:pPr>
              <w:spacing w:before="120" w:after="120"/>
              <w:ind w:left="86" w:right="86" w:firstLine="0"/>
              <w:jc w:val="both"/>
              <w:rPr>
                <w:sz w:val="24"/>
              </w:rPr>
            </w:pPr>
            <w:r w:rsidRPr="00BB11AF">
              <w:rPr>
                <w:rStyle w:val="Corpsdutexte275ptGras"/>
                <w:b w:val="0"/>
                <w:sz w:val="24"/>
                <w:lang w:val="fr-CA"/>
              </w:rPr>
              <w:t>Indice d'espérance de vie</w:t>
            </w:r>
          </w:p>
        </w:tc>
        <w:tc>
          <w:tcPr>
            <w:tcW w:w="1440" w:type="dxa"/>
            <w:tcBorders>
              <w:bottom w:val="single" w:sz="12" w:space="0" w:color="auto"/>
            </w:tcBorders>
            <w:shd w:val="clear" w:color="auto" w:fill="FFFFFF"/>
          </w:tcPr>
          <w:p w:rsidR="003A3061" w:rsidRPr="00BB11AF" w:rsidRDefault="003A3061" w:rsidP="003A3061">
            <w:pPr>
              <w:spacing w:before="120" w:after="120"/>
              <w:ind w:left="86" w:right="86" w:firstLine="0"/>
              <w:jc w:val="center"/>
              <w:rPr>
                <w:sz w:val="24"/>
              </w:rPr>
            </w:pPr>
            <w:r w:rsidRPr="00BB11AF">
              <w:rPr>
                <w:rStyle w:val="Corpsdutexte275ptGras"/>
                <w:b w:val="0"/>
                <w:sz w:val="24"/>
                <w:lang w:val="fr-CA"/>
              </w:rPr>
              <w:t>0,672</w:t>
            </w:r>
          </w:p>
        </w:tc>
        <w:tc>
          <w:tcPr>
            <w:tcW w:w="2070" w:type="dxa"/>
            <w:tcBorders>
              <w:bottom w:val="single" w:sz="12" w:space="0" w:color="auto"/>
            </w:tcBorders>
            <w:shd w:val="clear" w:color="auto" w:fill="FFFFFF"/>
          </w:tcPr>
          <w:p w:rsidR="003A3061" w:rsidRPr="00BB11AF" w:rsidRDefault="003A3061" w:rsidP="003A3061">
            <w:pPr>
              <w:spacing w:before="120" w:after="120"/>
              <w:ind w:left="86" w:right="86" w:firstLine="0"/>
              <w:jc w:val="center"/>
              <w:rPr>
                <w:sz w:val="24"/>
              </w:rPr>
            </w:pPr>
            <w:r w:rsidRPr="00BB11AF">
              <w:rPr>
                <w:rStyle w:val="Corpsdutexte275ptGras"/>
                <w:b w:val="0"/>
                <w:sz w:val="24"/>
                <w:lang w:val="fr-CA"/>
              </w:rPr>
              <w:t>0,778</w:t>
            </w:r>
          </w:p>
        </w:tc>
      </w:tr>
    </w:tbl>
    <w:p w:rsidR="003A3061" w:rsidRPr="00BB11AF" w:rsidRDefault="003A3061" w:rsidP="003A3061">
      <w:pPr>
        <w:spacing w:before="120" w:after="120"/>
        <w:jc w:val="both"/>
        <w:rPr>
          <w:sz w:val="24"/>
        </w:rPr>
      </w:pPr>
      <w:r w:rsidRPr="00BB11AF">
        <w:rPr>
          <w:sz w:val="24"/>
        </w:rPr>
        <w:t>Source : Programme des Nations Unies pour le développ</w:t>
      </w:r>
      <w:r w:rsidRPr="00BB11AF">
        <w:rPr>
          <w:sz w:val="24"/>
        </w:rPr>
        <w:t>e</w:t>
      </w:r>
      <w:r w:rsidRPr="00BB11AF">
        <w:rPr>
          <w:sz w:val="24"/>
        </w:rPr>
        <w:t xml:space="preserve">ment et </w:t>
      </w:r>
      <w:r w:rsidRPr="00BB11AF">
        <w:rPr>
          <w:rStyle w:val="LgendedutableauItalique"/>
          <w:rFonts w:ascii="Times New Roman" w:hAnsi="Times New Roman"/>
          <w:sz w:val="24"/>
          <w:lang w:val="fr-CA"/>
        </w:rPr>
        <w:t>al.</w:t>
      </w:r>
      <w:r w:rsidRPr="00BB11AF">
        <w:rPr>
          <w:sz w:val="24"/>
        </w:rPr>
        <w:t xml:space="preserve"> </w:t>
      </w:r>
      <w:r w:rsidRPr="00BB11AF">
        <w:rPr>
          <w:rStyle w:val="LgendedutableauTimesNewRomanGras"/>
          <w:rFonts w:eastAsia="Arial"/>
          <w:b w:val="0"/>
          <w:sz w:val="24"/>
          <w:lang w:val="fr-CA"/>
        </w:rPr>
        <w:t>2010</w:t>
      </w:r>
      <w:r w:rsidRPr="00BB11AF">
        <w:rPr>
          <w:sz w:val="24"/>
        </w:rPr>
        <w:t> :</w:t>
      </w:r>
      <w:r w:rsidRPr="00BB11AF">
        <w:rPr>
          <w:rStyle w:val="LgendedutableauTimesNewRomanGras"/>
          <w:rFonts w:eastAsia="Arial"/>
          <w:b w:val="0"/>
          <w:sz w:val="24"/>
          <w:lang w:val="fr-CA"/>
        </w:rPr>
        <w:t>20</w:t>
      </w:r>
      <w:r w:rsidRPr="00BB11AF">
        <w:rPr>
          <w:sz w:val="24"/>
        </w:rPr>
        <w:t>.</w:t>
      </w:r>
    </w:p>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jc w:val="both"/>
      </w:pPr>
      <w:r w:rsidRPr="00BB11AF">
        <w:t>En résumé, les effets induits de la croissance du PIB vont moins du haut vers le bas que l'inverse. Les années apparemment fastes qui pr</w:t>
      </w:r>
      <w:r w:rsidRPr="00BB11AF">
        <w:t>é</w:t>
      </w:r>
      <w:r w:rsidRPr="00BB11AF">
        <w:t>cèdent la crise économique mondiale et le soulèvement de janvier 2011 auront enrichi une minorité et appauvri la majorité, approfondi</w:t>
      </w:r>
      <w:r w:rsidRPr="00BB11AF">
        <w:t>s</w:t>
      </w:r>
      <w:r w:rsidRPr="00BB11AF">
        <w:t>sant les clivages sociaux. Le tissu social est plus fragile qu'il ne l'était avant 2004, date de l'engagement à fond et sans réserve dans la mo</w:t>
      </w:r>
      <w:r w:rsidRPr="00BB11AF">
        <w:t>n</w:t>
      </w:r>
      <w:r w:rsidRPr="00BB11AF">
        <w:t>dialisation.</w:t>
      </w:r>
    </w:p>
    <w:p w:rsidR="003A3061" w:rsidRPr="00BB11AF" w:rsidRDefault="003A3061" w:rsidP="003A3061">
      <w:pPr>
        <w:spacing w:before="120" w:after="120"/>
        <w:jc w:val="both"/>
      </w:pPr>
    </w:p>
    <w:p w:rsidR="003A3061" w:rsidRPr="00BB11AF" w:rsidRDefault="003A3061" w:rsidP="003A3061">
      <w:pPr>
        <w:pStyle w:val="planche"/>
      </w:pPr>
      <w:r w:rsidRPr="00BB11AF">
        <w:t>Séquelles de la crise économique de 2008</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Corrélée avec l'économie mondiale depuis son intégration dans le marché mondial, l'économie égyptienne subit les contr</w:t>
      </w:r>
      <w:r w:rsidRPr="00BB11AF">
        <w:t>e</w:t>
      </w:r>
      <w:r w:rsidRPr="00BB11AF">
        <w:t>coups de la crise économique qui se déclare chez ses partenaires en 2008. Le m</w:t>
      </w:r>
      <w:r w:rsidRPr="00BB11AF">
        <w:t>é</w:t>
      </w:r>
      <w:r w:rsidRPr="00BB11AF">
        <w:t xml:space="preserve">canisme de diffusion de la crise n'est toutefois pas le même. Aux États-Unis et en Europe, le point de départ est la crise des </w:t>
      </w:r>
      <w:r w:rsidRPr="00BB11AF">
        <w:rPr>
          <w:i/>
        </w:rPr>
        <w:t>subprimes</w:t>
      </w:r>
      <w:r w:rsidRPr="00BB11AF">
        <w:t xml:space="preserve"> et la contamination du système financier par la prolifération des créances toxiques et de leurs dérivés. Du domaine financier, le mal se répand à l'économie réelle, plombée d'abord par l'assèchement du cr</w:t>
      </w:r>
      <w:r w:rsidRPr="00BB11AF">
        <w:t>é</w:t>
      </w:r>
      <w:r w:rsidRPr="00BB11AF">
        <w:t>dit interbancaire, puis par la compression des actifs, la perte [57] de confiance, la baisse de la consommation et les licenciements. De f</w:t>
      </w:r>
      <w:r w:rsidRPr="00BB11AF">
        <w:t>i</w:t>
      </w:r>
      <w:r w:rsidRPr="00BB11AF">
        <w:t>nancière, la débâcle devient économique.</w:t>
      </w:r>
    </w:p>
    <w:p w:rsidR="003A3061" w:rsidRPr="00BB11AF" w:rsidRDefault="003A3061" w:rsidP="003A3061">
      <w:pPr>
        <w:spacing w:before="120" w:after="120"/>
        <w:jc w:val="both"/>
      </w:pPr>
      <w:r w:rsidRPr="00BB11AF">
        <w:t>En Égypte, les banques locales sont peu intégrées au marché fina</w:t>
      </w:r>
      <w:r w:rsidRPr="00BB11AF">
        <w:t>n</w:t>
      </w:r>
      <w:r w:rsidRPr="00BB11AF">
        <w:t xml:space="preserve">cier mondial ou détentrices de </w:t>
      </w:r>
      <w:r w:rsidRPr="00BB11AF">
        <w:rPr>
          <w:i/>
        </w:rPr>
        <w:t>subprimes</w:t>
      </w:r>
      <w:r w:rsidRPr="00BB11AF">
        <w:t>, tandis que les banques mu</w:t>
      </w:r>
      <w:r w:rsidRPr="00BB11AF">
        <w:t>l</w:t>
      </w:r>
      <w:r w:rsidRPr="00BB11AF">
        <w:t>tinationales n'ont qu'un engagement limité dans l'économie informe</w:t>
      </w:r>
      <w:r w:rsidRPr="00BB11AF">
        <w:t>l</w:t>
      </w:r>
      <w:r w:rsidRPr="00BB11AF">
        <w:t>le-où règne le règlement comptant. Il n'y a donc pas de crise financi</w:t>
      </w:r>
      <w:r w:rsidRPr="00BB11AF">
        <w:t>è</w:t>
      </w:r>
      <w:r w:rsidRPr="00BB11AF">
        <w:t>re en Égypte. La crise est purement économique et elle n'est pas d'or</w:t>
      </w:r>
      <w:r w:rsidRPr="00BB11AF">
        <w:t>i</w:t>
      </w:r>
      <w:r w:rsidRPr="00BB11AF">
        <w:t>gine égyptienne. Il s'agit d'un choc externe et d'une crise induite. En effet, l'Égypte est touchée non par le biais des finances, mais parce que l'économie de ses partenaires étrangers est au ralenti. Mondial</w:t>
      </w:r>
      <w:r w:rsidRPr="00BB11AF">
        <w:t>i</w:t>
      </w:r>
      <w:r w:rsidRPr="00BB11AF">
        <w:t>sée, l'économie égyptienne est étroitement liée aux économies amér</w:t>
      </w:r>
      <w:r w:rsidRPr="00BB11AF">
        <w:t>i</w:t>
      </w:r>
      <w:r w:rsidRPr="00BB11AF">
        <w:t>caines et européennes dont elle partage désormais le sort. Elle subit de plein fouet la baisse de l'investissement extérieur, des exportations non énergétiques, du nombre de touristes, de la demande étrangère pour ses hydrocarbures, des montants des remises à la fois de ses tr</w:t>
      </w:r>
      <w:r w:rsidRPr="00BB11AF">
        <w:t>a</w:t>
      </w:r>
      <w:r w:rsidRPr="00BB11AF">
        <w:t>vai</w:t>
      </w:r>
      <w:r w:rsidRPr="00BB11AF">
        <w:t>l</w:t>
      </w:r>
      <w:r w:rsidRPr="00BB11AF">
        <w:t>leurs actifs dans des pays étrangers plongés dans une profonde réce</w:t>
      </w:r>
      <w:r w:rsidRPr="00BB11AF">
        <w:t>s</w:t>
      </w:r>
      <w:r w:rsidRPr="00BB11AF">
        <w:t>sion et des passages de navires par le canal de Suez. Plusieurs de ces éléments sont justement les re</w:t>
      </w:r>
      <w:r w:rsidRPr="00BB11AF">
        <w:t>n</w:t>
      </w:r>
      <w:r w:rsidRPr="00BB11AF">
        <w:t>tes ou activités qui ont connu un essor remarqué durant les années antérieures à la crise et qui ont été les moteurs de la croi</w:t>
      </w:r>
      <w:r w:rsidRPr="00BB11AF">
        <w:t>s</w:t>
      </w:r>
      <w:r w:rsidRPr="00BB11AF">
        <w:t>sance du PIB. Selon la terminologie du FMI, ce sont là les c</w:t>
      </w:r>
      <w:r w:rsidRPr="00BB11AF">
        <w:t>a</w:t>
      </w:r>
      <w:r w:rsidRPr="00BB11AF">
        <w:t>naux de transmission de la crise vers l'Égypte.</w:t>
      </w:r>
    </w:p>
    <w:p w:rsidR="003A3061" w:rsidRPr="00BB11AF" w:rsidRDefault="003A3061" w:rsidP="003A3061">
      <w:pPr>
        <w:spacing w:before="120" w:after="120"/>
        <w:jc w:val="both"/>
      </w:pPr>
      <w:r w:rsidRPr="00BB11AF">
        <w:t>Indice sensible à la conjoncture dans les pays investisseurs, l'IDE net en Égypte se comprime de 13,2 milliards de $US en 2007 et 2008 à 8,1 milliards de $US en 2008 et 2009, soit un recul de 38,7% (Ce</w:t>
      </w:r>
      <w:r w:rsidRPr="00BB11AF">
        <w:t>n</w:t>
      </w:r>
      <w:r w:rsidRPr="00BB11AF">
        <w:t>tral Bank of Egypt 2009b :115 ; Blominvest Bank 2010 : 28). En 2009 et 2010, il se situe à 6,76 milliards de $ US (Ministry of Finance 2010 : 96). Une telle chute prend toute son importance du fait que l'IDE r</w:t>
      </w:r>
      <w:r w:rsidRPr="00BB11AF">
        <w:t>e</w:t>
      </w:r>
      <w:r w:rsidRPr="00BB11AF">
        <w:t>présente pas moins de 42% de la formation brute de capital fixe en 2007 (Saget et Yao 2011 :6). De 2008 à 2009, la croissance de l'inve</w:t>
      </w:r>
      <w:r w:rsidRPr="00BB11AF">
        <w:t>s</w:t>
      </w:r>
      <w:r w:rsidRPr="00BB11AF">
        <w:t>tissement total recule de 15,4% à 1,7% (Central Bank of Egypt 20093 :3). Il est intéressant de noter que la part du secteur pétrolier comme de</w:t>
      </w:r>
      <w:r w:rsidRPr="00BB11AF">
        <w:t>s</w:t>
      </w:r>
      <w:r w:rsidRPr="00BB11AF">
        <w:t>tination d'IDE, en baisse de 2005 à 2008, augmente après l'av</w:t>
      </w:r>
      <w:r w:rsidRPr="00BB11AF">
        <w:t>è</w:t>
      </w:r>
      <w:r w:rsidRPr="00BB11AF">
        <w:t>nement de la crise, car les capitaux se détournent du secteur non pétrolier, plus éprouvé par la conjoncture.</w:t>
      </w:r>
    </w:p>
    <w:p w:rsidR="003A3061" w:rsidRPr="00BB11AF" w:rsidRDefault="003A3061" w:rsidP="003A3061">
      <w:pPr>
        <w:spacing w:before="120" w:after="120"/>
        <w:jc w:val="both"/>
      </w:pPr>
    </w:p>
    <w:p w:rsidR="003A3061" w:rsidRPr="00BB11AF" w:rsidRDefault="003A3061" w:rsidP="003A3061">
      <w:pPr>
        <w:spacing w:before="120" w:after="120"/>
        <w:ind w:firstLine="0"/>
        <w:jc w:val="center"/>
        <w:rPr>
          <w:b/>
          <w:bCs/>
          <w:sz w:val="24"/>
          <w:szCs w:val="24"/>
        </w:rPr>
      </w:pPr>
      <w:r w:rsidRPr="00BB11AF">
        <w:rPr>
          <w:b/>
          <w:bCs/>
          <w:sz w:val="24"/>
          <w:szCs w:val="24"/>
        </w:rPr>
        <w:t>Tableau 7.</w:t>
      </w:r>
      <w:r w:rsidRPr="00BB11AF">
        <w:rPr>
          <w:b/>
          <w:bCs/>
          <w:sz w:val="24"/>
          <w:szCs w:val="24"/>
        </w:rPr>
        <w:br/>
        <w:t>Part du secteur pétrolier dans l'IDE net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72"/>
        <w:gridCol w:w="2314"/>
      </w:tblGrid>
      <w:tr w:rsidR="003A3061" w:rsidRPr="00BB11AF">
        <w:tblPrEx>
          <w:tblCellMar>
            <w:top w:w="0" w:type="dxa"/>
            <w:bottom w:w="0" w:type="dxa"/>
          </w:tblCellMar>
        </w:tblPrEx>
        <w:trPr>
          <w:jc w:val="center"/>
        </w:trPr>
        <w:tc>
          <w:tcPr>
            <w:tcW w:w="1872" w:type="dxa"/>
            <w:tcBorders>
              <w:top w:val="single" w:sz="12" w:space="0" w:color="auto"/>
              <w:bottom w:val="single" w:sz="12" w:space="0" w:color="auto"/>
            </w:tcBorders>
            <w:shd w:val="clear" w:color="auto" w:fill="EAF1DD"/>
            <w:vAlign w:val="bottom"/>
          </w:tcPr>
          <w:p w:rsidR="003A3061" w:rsidRPr="00BB11AF" w:rsidRDefault="003A3061" w:rsidP="003A3061">
            <w:pPr>
              <w:spacing w:before="120" w:after="120"/>
              <w:ind w:left="101" w:right="130" w:firstLine="0"/>
              <w:jc w:val="both"/>
              <w:rPr>
                <w:sz w:val="24"/>
              </w:rPr>
            </w:pPr>
            <w:r w:rsidRPr="00BB11AF">
              <w:rPr>
                <w:rStyle w:val="Corpsdutexte275ptGras"/>
                <w:b w:val="0"/>
                <w:sz w:val="24"/>
                <w:lang w:val="fr-CA"/>
              </w:rPr>
              <w:t>Année</w:t>
            </w:r>
          </w:p>
        </w:tc>
        <w:tc>
          <w:tcPr>
            <w:tcW w:w="2314" w:type="dxa"/>
            <w:tcBorders>
              <w:top w:val="single" w:sz="12" w:space="0" w:color="auto"/>
              <w:bottom w:val="single" w:sz="12" w:space="0" w:color="auto"/>
            </w:tcBorders>
            <w:shd w:val="clear" w:color="auto" w:fill="EAF1DD"/>
            <w:vAlign w:val="bottom"/>
          </w:tcPr>
          <w:p w:rsidR="003A3061" w:rsidRPr="00BB11AF" w:rsidRDefault="003A3061" w:rsidP="003A3061">
            <w:pPr>
              <w:spacing w:before="120" w:after="120"/>
              <w:ind w:left="101" w:right="130" w:firstLine="0"/>
              <w:jc w:val="center"/>
              <w:rPr>
                <w:sz w:val="24"/>
              </w:rPr>
            </w:pPr>
            <w:r w:rsidRPr="00BB11AF">
              <w:rPr>
                <w:rStyle w:val="Corpsdutexte275ptGras"/>
                <w:b w:val="0"/>
                <w:sz w:val="24"/>
                <w:lang w:val="fr-CA"/>
              </w:rPr>
              <w:t>% du p</w:t>
            </w:r>
            <w:r w:rsidRPr="00BB11AF">
              <w:rPr>
                <w:rStyle w:val="Corpsdutexte275ptGras"/>
                <w:b w:val="0"/>
                <w:sz w:val="24"/>
                <w:lang w:val="fr-CA"/>
              </w:rPr>
              <w:t>é</w:t>
            </w:r>
            <w:r w:rsidRPr="00BB11AF">
              <w:rPr>
                <w:rStyle w:val="Corpsdutexte275ptGras"/>
                <w:b w:val="0"/>
                <w:sz w:val="24"/>
                <w:lang w:val="fr-CA"/>
              </w:rPr>
              <w:t>trole</w:t>
            </w:r>
          </w:p>
        </w:tc>
      </w:tr>
      <w:tr w:rsidR="003A3061" w:rsidRPr="00BB11AF">
        <w:tblPrEx>
          <w:tblCellMar>
            <w:top w:w="0" w:type="dxa"/>
            <w:bottom w:w="0" w:type="dxa"/>
          </w:tblCellMar>
        </w:tblPrEx>
        <w:trPr>
          <w:jc w:val="center"/>
        </w:trPr>
        <w:tc>
          <w:tcPr>
            <w:tcW w:w="1872" w:type="dxa"/>
            <w:tcBorders>
              <w:top w:val="single" w:sz="12" w:space="0" w:color="auto"/>
            </w:tcBorders>
            <w:shd w:val="clear" w:color="auto" w:fill="FFFFFF"/>
            <w:vAlign w:val="center"/>
          </w:tcPr>
          <w:p w:rsidR="003A3061" w:rsidRPr="00BB11AF" w:rsidRDefault="003A3061" w:rsidP="003A3061">
            <w:pPr>
              <w:spacing w:before="120" w:after="120"/>
              <w:ind w:left="101" w:right="130" w:firstLine="0"/>
              <w:jc w:val="both"/>
              <w:rPr>
                <w:sz w:val="24"/>
              </w:rPr>
            </w:pPr>
            <w:r w:rsidRPr="00BB11AF">
              <w:rPr>
                <w:rStyle w:val="Corpsdutexte275ptGras"/>
                <w:b w:val="0"/>
                <w:sz w:val="24"/>
                <w:lang w:val="fr-CA"/>
              </w:rPr>
              <w:t>2004-2005</w:t>
            </w:r>
          </w:p>
        </w:tc>
        <w:tc>
          <w:tcPr>
            <w:tcW w:w="2314" w:type="dxa"/>
            <w:tcBorders>
              <w:top w:val="single" w:sz="12" w:space="0" w:color="auto"/>
            </w:tcBorders>
            <w:shd w:val="clear" w:color="auto" w:fill="FFFFFF"/>
            <w:vAlign w:val="center"/>
          </w:tcPr>
          <w:p w:rsidR="003A3061" w:rsidRPr="00BB11AF" w:rsidRDefault="003A3061" w:rsidP="003A3061">
            <w:pPr>
              <w:spacing w:before="120" w:after="120"/>
              <w:ind w:left="101" w:right="130" w:firstLine="0"/>
              <w:jc w:val="center"/>
              <w:rPr>
                <w:sz w:val="24"/>
              </w:rPr>
            </w:pPr>
            <w:r w:rsidRPr="00BB11AF">
              <w:rPr>
                <w:rStyle w:val="Corpsdutexte275ptGras"/>
                <w:b w:val="0"/>
                <w:sz w:val="24"/>
                <w:lang w:val="fr-CA"/>
              </w:rPr>
              <w:t>65,11</w:t>
            </w:r>
          </w:p>
        </w:tc>
      </w:tr>
      <w:tr w:rsidR="003A3061" w:rsidRPr="00BB11AF">
        <w:tblPrEx>
          <w:tblCellMar>
            <w:top w:w="0" w:type="dxa"/>
            <w:bottom w:w="0" w:type="dxa"/>
          </w:tblCellMar>
        </w:tblPrEx>
        <w:trPr>
          <w:jc w:val="center"/>
        </w:trPr>
        <w:tc>
          <w:tcPr>
            <w:tcW w:w="1872" w:type="dxa"/>
            <w:shd w:val="clear" w:color="auto" w:fill="FFFFFF"/>
            <w:vAlign w:val="bottom"/>
          </w:tcPr>
          <w:p w:rsidR="003A3061" w:rsidRPr="00BB11AF" w:rsidRDefault="003A3061" w:rsidP="003A3061">
            <w:pPr>
              <w:spacing w:before="120" w:after="120"/>
              <w:ind w:left="101" w:right="130" w:firstLine="0"/>
              <w:jc w:val="both"/>
              <w:rPr>
                <w:sz w:val="24"/>
              </w:rPr>
            </w:pPr>
            <w:r w:rsidRPr="00BB11AF">
              <w:rPr>
                <w:rStyle w:val="Corpsdutexte275ptGras"/>
                <w:b w:val="0"/>
                <w:sz w:val="24"/>
                <w:lang w:val="fr-CA"/>
              </w:rPr>
              <w:t>2005-2006</w:t>
            </w:r>
          </w:p>
        </w:tc>
        <w:tc>
          <w:tcPr>
            <w:tcW w:w="2314" w:type="dxa"/>
            <w:shd w:val="clear" w:color="auto" w:fill="FFFFFF"/>
            <w:vAlign w:val="bottom"/>
          </w:tcPr>
          <w:p w:rsidR="003A3061" w:rsidRPr="00BB11AF" w:rsidRDefault="003A3061" w:rsidP="003A3061">
            <w:pPr>
              <w:spacing w:before="120" w:after="120"/>
              <w:ind w:left="101" w:right="130" w:firstLine="0"/>
              <w:jc w:val="center"/>
              <w:rPr>
                <w:sz w:val="24"/>
              </w:rPr>
            </w:pPr>
            <w:r w:rsidRPr="00BB11AF">
              <w:rPr>
                <w:sz w:val="24"/>
              </w:rPr>
              <w:t>29,98</w:t>
            </w:r>
          </w:p>
        </w:tc>
      </w:tr>
      <w:tr w:rsidR="003A3061" w:rsidRPr="00BB11AF">
        <w:tblPrEx>
          <w:tblCellMar>
            <w:top w:w="0" w:type="dxa"/>
            <w:bottom w:w="0" w:type="dxa"/>
          </w:tblCellMar>
        </w:tblPrEx>
        <w:trPr>
          <w:jc w:val="center"/>
        </w:trPr>
        <w:tc>
          <w:tcPr>
            <w:tcW w:w="1872" w:type="dxa"/>
            <w:shd w:val="clear" w:color="auto" w:fill="FFFFFF"/>
            <w:vAlign w:val="bottom"/>
          </w:tcPr>
          <w:p w:rsidR="003A3061" w:rsidRPr="00BB11AF" w:rsidRDefault="003A3061" w:rsidP="003A3061">
            <w:pPr>
              <w:spacing w:before="120" w:after="120"/>
              <w:ind w:left="101" w:right="130" w:firstLine="0"/>
              <w:jc w:val="both"/>
              <w:rPr>
                <w:sz w:val="24"/>
              </w:rPr>
            </w:pPr>
            <w:r w:rsidRPr="00BB11AF">
              <w:rPr>
                <w:rStyle w:val="Corpsdutexte275ptGras"/>
                <w:b w:val="0"/>
                <w:sz w:val="24"/>
                <w:lang w:val="fr-CA"/>
              </w:rPr>
              <w:t>2006-2007</w:t>
            </w:r>
          </w:p>
        </w:tc>
        <w:tc>
          <w:tcPr>
            <w:tcW w:w="2314" w:type="dxa"/>
            <w:shd w:val="clear" w:color="auto" w:fill="FFFFFF"/>
            <w:vAlign w:val="bottom"/>
          </w:tcPr>
          <w:p w:rsidR="003A3061" w:rsidRPr="00BB11AF" w:rsidRDefault="003A3061" w:rsidP="003A3061">
            <w:pPr>
              <w:spacing w:before="120" w:after="120"/>
              <w:ind w:left="101" w:right="130" w:firstLine="0"/>
              <w:jc w:val="center"/>
              <w:rPr>
                <w:sz w:val="24"/>
              </w:rPr>
            </w:pPr>
            <w:r w:rsidRPr="00BB11AF">
              <w:rPr>
                <w:rStyle w:val="Corpsdutexte275ptGras"/>
                <w:b w:val="0"/>
                <w:sz w:val="24"/>
                <w:lang w:val="fr-CA"/>
              </w:rPr>
              <w:t>27,28</w:t>
            </w:r>
          </w:p>
        </w:tc>
      </w:tr>
      <w:tr w:rsidR="003A3061" w:rsidRPr="00BB11AF">
        <w:tblPrEx>
          <w:tblCellMar>
            <w:top w:w="0" w:type="dxa"/>
            <w:bottom w:w="0" w:type="dxa"/>
          </w:tblCellMar>
        </w:tblPrEx>
        <w:trPr>
          <w:jc w:val="center"/>
        </w:trPr>
        <w:tc>
          <w:tcPr>
            <w:tcW w:w="1872" w:type="dxa"/>
            <w:shd w:val="clear" w:color="auto" w:fill="FFFFFF"/>
            <w:vAlign w:val="bottom"/>
          </w:tcPr>
          <w:p w:rsidR="003A3061" w:rsidRPr="00BB11AF" w:rsidRDefault="003A3061" w:rsidP="003A3061">
            <w:pPr>
              <w:spacing w:before="120" w:after="120"/>
              <w:ind w:left="101" w:right="130" w:firstLine="0"/>
              <w:jc w:val="both"/>
              <w:rPr>
                <w:sz w:val="24"/>
              </w:rPr>
            </w:pPr>
            <w:r w:rsidRPr="00BB11AF">
              <w:rPr>
                <w:rStyle w:val="Corpsdutexte275ptGras"/>
                <w:b w:val="0"/>
                <w:sz w:val="24"/>
                <w:lang w:val="fr-CA"/>
              </w:rPr>
              <w:t>2007-2008</w:t>
            </w:r>
          </w:p>
        </w:tc>
        <w:tc>
          <w:tcPr>
            <w:tcW w:w="2314" w:type="dxa"/>
            <w:shd w:val="clear" w:color="auto" w:fill="FFFFFF"/>
            <w:vAlign w:val="bottom"/>
          </w:tcPr>
          <w:p w:rsidR="003A3061" w:rsidRPr="00BB11AF" w:rsidRDefault="003A3061" w:rsidP="003A3061">
            <w:pPr>
              <w:spacing w:before="120" w:after="120"/>
              <w:ind w:left="101" w:right="130" w:firstLine="0"/>
              <w:jc w:val="center"/>
              <w:rPr>
                <w:sz w:val="24"/>
              </w:rPr>
            </w:pPr>
            <w:r w:rsidRPr="00BB11AF">
              <w:rPr>
                <w:sz w:val="24"/>
              </w:rPr>
              <w:t>3</w:t>
            </w:r>
            <w:r w:rsidRPr="00BB11AF">
              <w:rPr>
                <w:rStyle w:val="Corpsdutexte275ptGras"/>
                <w:b w:val="0"/>
                <w:sz w:val="24"/>
                <w:lang w:val="fr-CA"/>
              </w:rPr>
              <w:t>1</w:t>
            </w:r>
            <w:r w:rsidRPr="00BB11AF">
              <w:rPr>
                <w:sz w:val="24"/>
              </w:rPr>
              <w:t>,25</w:t>
            </w:r>
          </w:p>
        </w:tc>
      </w:tr>
      <w:tr w:rsidR="003A3061" w:rsidRPr="00BB11AF">
        <w:tblPrEx>
          <w:tblCellMar>
            <w:top w:w="0" w:type="dxa"/>
            <w:bottom w:w="0" w:type="dxa"/>
          </w:tblCellMar>
        </w:tblPrEx>
        <w:trPr>
          <w:jc w:val="center"/>
        </w:trPr>
        <w:tc>
          <w:tcPr>
            <w:tcW w:w="1872" w:type="dxa"/>
            <w:shd w:val="clear" w:color="auto" w:fill="FFFFFF"/>
            <w:vAlign w:val="bottom"/>
          </w:tcPr>
          <w:p w:rsidR="003A3061" w:rsidRPr="00BB11AF" w:rsidRDefault="003A3061" w:rsidP="003A3061">
            <w:pPr>
              <w:spacing w:before="120" w:after="120"/>
              <w:ind w:left="101" w:right="130" w:firstLine="0"/>
              <w:jc w:val="both"/>
              <w:rPr>
                <w:sz w:val="24"/>
              </w:rPr>
            </w:pPr>
            <w:r w:rsidRPr="00BB11AF">
              <w:rPr>
                <w:rStyle w:val="Corpsdutexte275ptGras"/>
                <w:b w:val="0"/>
                <w:sz w:val="24"/>
                <w:lang w:val="fr-CA"/>
              </w:rPr>
              <w:t>2008-2009</w:t>
            </w:r>
          </w:p>
        </w:tc>
        <w:tc>
          <w:tcPr>
            <w:tcW w:w="2314" w:type="dxa"/>
            <w:shd w:val="clear" w:color="auto" w:fill="FFFFFF"/>
            <w:vAlign w:val="bottom"/>
          </w:tcPr>
          <w:p w:rsidR="003A3061" w:rsidRPr="00BB11AF" w:rsidRDefault="003A3061" w:rsidP="003A3061">
            <w:pPr>
              <w:spacing w:before="120" w:after="120"/>
              <w:ind w:left="101" w:right="130" w:firstLine="0"/>
              <w:jc w:val="center"/>
              <w:rPr>
                <w:sz w:val="24"/>
              </w:rPr>
            </w:pPr>
            <w:r w:rsidRPr="00BB11AF">
              <w:rPr>
                <w:rStyle w:val="Corpsdutexte275ptGras"/>
                <w:b w:val="0"/>
                <w:sz w:val="24"/>
                <w:lang w:val="fr-CA"/>
              </w:rPr>
              <w:t>66,03</w:t>
            </w:r>
          </w:p>
        </w:tc>
      </w:tr>
      <w:tr w:rsidR="003A3061" w:rsidRPr="00BB11AF">
        <w:tblPrEx>
          <w:tblCellMar>
            <w:top w:w="0" w:type="dxa"/>
            <w:bottom w:w="0" w:type="dxa"/>
          </w:tblCellMar>
        </w:tblPrEx>
        <w:trPr>
          <w:jc w:val="center"/>
        </w:trPr>
        <w:tc>
          <w:tcPr>
            <w:tcW w:w="1872" w:type="dxa"/>
            <w:tcBorders>
              <w:bottom w:val="single" w:sz="12" w:space="0" w:color="auto"/>
            </w:tcBorders>
            <w:shd w:val="clear" w:color="auto" w:fill="FFFFFF"/>
            <w:vAlign w:val="center"/>
          </w:tcPr>
          <w:p w:rsidR="003A3061" w:rsidRPr="00BB11AF" w:rsidRDefault="003A3061" w:rsidP="003A3061">
            <w:pPr>
              <w:spacing w:before="120" w:after="120"/>
              <w:ind w:left="101" w:right="130" w:firstLine="0"/>
              <w:jc w:val="both"/>
              <w:rPr>
                <w:sz w:val="24"/>
              </w:rPr>
            </w:pPr>
            <w:r w:rsidRPr="00BB11AF">
              <w:rPr>
                <w:rStyle w:val="Corpsdutexte275ptGras"/>
                <w:b w:val="0"/>
                <w:sz w:val="24"/>
                <w:lang w:val="fr-CA"/>
              </w:rPr>
              <w:t>2009-2010</w:t>
            </w:r>
          </w:p>
        </w:tc>
        <w:tc>
          <w:tcPr>
            <w:tcW w:w="2314" w:type="dxa"/>
            <w:tcBorders>
              <w:bottom w:val="single" w:sz="12" w:space="0" w:color="auto"/>
            </w:tcBorders>
            <w:shd w:val="clear" w:color="auto" w:fill="FFFFFF"/>
            <w:vAlign w:val="center"/>
          </w:tcPr>
          <w:p w:rsidR="003A3061" w:rsidRPr="00BB11AF" w:rsidRDefault="003A3061" w:rsidP="003A3061">
            <w:pPr>
              <w:spacing w:before="120" w:after="120"/>
              <w:ind w:left="101" w:right="130" w:firstLine="0"/>
              <w:jc w:val="center"/>
              <w:rPr>
                <w:sz w:val="24"/>
              </w:rPr>
            </w:pPr>
            <w:r w:rsidRPr="00BB11AF">
              <w:rPr>
                <w:sz w:val="24"/>
              </w:rPr>
              <w:t>53</w:t>
            </w:r>
            <w:r w:rsidRPr="00BB11AF">
              <w:rPr>
                <w:rStyle w:val="Corpsdutexte275ptGras"/>
                <w:b w:val="0"/>
                <w:sz w:val="24"/>
                <w:lang w:val="fr-CA"/>
              </w:rPr>
              <w:t>,11</w:t>
            </w:r>
          </w:p>
        </w:tc>
      </w:tr>
    </w:tbl>
    <w:p w:rsidR="003A3061" w:rsidRPr="00BB11AF" w:rsidRDefault="003A3061" w:rsidP="003A3061">
      <w:pPr>
        <w:spacing w:before="120" w:after="120"/>
        <w:jc w:val="both"/>
        <w:rPr>
          <w:sz w:val="24"/>
        </w:rPr>
      </w:pPr>
      <w:r w:rsidRPr="00BB11AF">
        <w:rPr>
          <w:sz w:val="24"/>
        </w:rPr>
        <w:t xml:space="preserve">Source : Ministry of Finance </w:t>
      </w:r>
      <w:r w:rsidRPr="00BB11AF">
        <w:rPr>
          <w:rStyle w:val="LgendedutableauTimesNewRomanGras"/>
          <w:rFonts w:eastAsia="Arial"/>
          <w:b w:val="0"/>
          <w:sz w:val="24"/>
          <w:lang w:val="fr-CA"/>
        </w:rPr>
        <w:t>2010</w:t>
      </w:r>
      <w:r w:rsidRPr="00BB11AF">
        <w:rPr>
          <w:sz w:val="24"/>
        </w:rPr>
        <w:t xml:space="preserve"> : </w:t>
      </w:r>
      <w:r w:rsidRPr="00BB11AF">
        <w:rPr>
          <w:rStyle w:val="LgendedutableauTimesNewRomanGras"/>
          <w:rFonts w:eastAsia="Arial"/>
          <w:b w:val="0"/>
          <w:sz w:val="24"/>
          <w:lang w:val="fr-CA"/>
        </w:rPr>
        <w:t>96</w:t>
      </w:r>
      <w:r w:rsidRPr="00BB11AF">
        <w:rPr>
          <w:sz w:val="24"/>
        </w:rPr>
        <w:t>.</w:t>
      </w:r>
    </w:p>
    <w:p w:rsidR="003A3061" w:rsidRPr="00BB11AF" w:rsidRDefault="003A3061" w:rsidP="003A3061">
      <w:pPr>
        <w:spacing w:before="120" w:after="120"/>
        <w:jc w:val="both"/>
        <w:rPr>
          <w:szCs w:val="2"/>
        </w:rPr>
      </w:pPr>
      <w:r w:rsidRPr="00BB11AF">
        <w:br w:type="page"/>
        <w:t>[58]</w:t>
      </w:r>
    </w:p>
    <w:p w:rsidR="003A3061" w:rsidRPr="00BB11AF" w:rsidRDefault="003A3061" w:rsidP="003A3061">
      <w:pPr>
        <w:spacing w:before="120" w:after="120"/>
        <w:jc w:val="both"/>
      </w:pPr>
      <w:r w:rsidRPr="00BB11AF">
        <w:t>Entre 2007-2008 et 2009-2010, les exportations égyptiennes sont ralenties par l'affaiblissement des économies importatrices ; elles d</w:t>
      </w:r>
      <w:r w:rsidRPr="00BB11AF">
        <w:t>i</w:t>
      </w:r>
      <w:r w:rsidRPr="00BB11AF">
        <w:t>minuent de 30% en valeur (Center for Trade Union and Workers Se</w:t>
      </w:r>
      <w:r w:rsidRPr="00BB11AF">
        <w:t>r</w:t>
      </w:r>
      <w:r w:rsidRPr="00BB11AF">
        <w:t>vice 2009 : 4). Les destinations des produits égyptiens sont pour 34% l'Union européenne et pour 28% les États-Unis, c'est-à-dire les zones les plus éprouvées par la crise (Afr</w:t>
      </w:r>
      <w:r w:rsidRPr="00BB11AF">
        <w:t>i</w:t>
      </w:r>
      <w:r w:rsidRPr="00BB11AF">
        <w:t>can Development Bank 2009 : 29). Les exportations baissent de 14,3% en 2009, alors que les import</w:t>
      </w:r>
      <w:r w:rsidRPr="00BB11AF">
        <w:t>a</w:t>
      </w:r>
      <w:r w:rsidRPr="00BB11AF">
        <w:t>tions ne sont réduites que de 4,6%. Quant au déficit de la balance commerciale, il se creuse de 7,5% pour atteindre 25,1 milliards de $ US (Blominvest Bank 2010 :25). Le secteur man</w:t>
      </w:r>
      <w:r w:rsidRPr="00BB11AF">
        <w:t>u</w:t>
      </w:r>
      <w:r w:rsidRPr="00BB11AF">
        <w:t>facturier est frappé par la récession à l'étranger. Le coton et les textiles, troisièmes en i</w:t>
      </w:r>
      <w:r w:rsidRPr="00BB11AF">
        <w:t>m</w:t>
      </w:r>
      <w:r w:rsidRPr="00BB11AF">
        <w:t>portance parmi les exportations égyptiennes, r</w:t>
      </w:r>
      <w:r w:rsidRPr="00BB11AF">
        <w:t>e</w:t>
      </w:r>
      <w:r w:rsidRPr="00BB11AF">
        <w:t>présentent 26,4% de la production industrielle, 25% des ventes à l'étranger en 2008 et 30% de tous les emplois industriels. Les 1500 entreprises de textiles et d'habi</w:t>
      </w:r>
      <w:r w:rsidRPr="00BB11AF">
        <w:t>l</w:t>
      </w:r>
      <w:r w:rsidRPr="00BB11AF">
        <w:t>lement constituent un cinquième des firmes industrielles et sont le plus grand employeur du pays avec 400 000 travailleurs (El-Haddad 2010 : préface, 1). Non moins touchés sont les autres secteurs indu</w:t>
      </w:r>
      <w:r w:rsidRPr="00BB11AF">
        <w:t>s</w:t>
      </w:r>
      <w:r w:rsidRPr="00BB11AF">
        <w:t>triels exportateurs, tels les produits pharmaceutiques, l'agroalimentaire et les engrais.</w:t>
      </w:r>
    </w:p>
    <w:p w:rsidR="003A3061" w:rsidRPr="00BB11AF" w:rsidRDefault="003A3061" w:rsidP="003A3061">
      <w:pPr>
        <w:spacing w:before="120" w:after="120"/>
        <w:jc w:val="both"/>
      </w:pPr>
      <w:r w:rsidRPr="00BB11AF">
        <w:t>Le tourisme a connu des années fastes avant la crise de 2008. Pa</w:t>
      </w:r>
      <w:r w:rsidRPr="00BB11AF">
        <w:t>s</w:t>
      </w:r>
      <w:r w:rsidRPr="00BB11AF">
        <w:t>sant de 3,1 millions en 1995 à 11,1 millions en 2007, le nombre de visiteurs a plus que triplé en 13 ans et enregistré un taux moyen a</w:t>
      </w:r>
      <w:r w:rsidRPr="00BB11AF">
        <w:t>n</w:t>
      </w:r>
      <w:r w:rsidRPr="00BB11AF">
        <w:t>nuel de croissance de 12,3% (Badr et al. 2009 :6). Prennent ainsi le chemin de l'Égypte 12,8 millions de to</w:t>
      </w:r>
      <w:r w:rsidRPr="00BB11AF">
        <w:t>u</w:t>
      </w:r>
      <w:r w:rsidRPr="00BB11AF">
        <w:t>ristes en 2008 et 12,5 millions en 2009 (Zaytoun 2010 : 4 ; Alex Bank 2010 : 4). Le tourisme est une source majeure d'entrée de devises étrangères, rapportant 19,3% du total des recettes en devises étrang</w:t>
      </w:r>
      <w:r w:rsidRPr="00BB11AF">
        <w:t>è</w:t>
      </w:r>
      <w:r w:rsidRPr="00BB11AF">
        <w:t>res (Alex Bank 2010 :4).</w:t>
      </w:r>
    </w:p>
    <w:p w:rsidR="003A3061" w:rsidRPr="00BB11AF" w:rsidRDefault="003A3061" w:rsidP="003A3061">
      <w:pPr>
        <w:spacing w:before="120" w:after="120"/>
        <w:jc w:val="both"/>
      </w:pPr>
      <w:r w:rsidRPr="00BB11AF">
        <w:br w:type="page"/>
      </w:r>
    </w:p>
    <w:p w:rsidR="003A3061" w:rsidRPr="00BB11AF" w:rsidRDefault="003A3061" w:rsidP="003A3061">
      <w:pPr>
        <w:spacing w:before="120" w:after="120"/>
        <w:ind w:firstLine="0"/>
        <w:jc w:val="center"/>
        <w:rPr>
          <w:b/>
          <w:bCs/>
          <w:sz w:val="24"/>
          <w:szCs w:val="24"/>
        </w:rPr>
      </w:pPr>
      <w:r w:rsidRPr="00BB11AF">
        <w:rPr>
          <w:b/>
          <w:bCs/>
          <w:sz w:val="24"/>
          <w:szCs w:val="24"/>
        </w:rPr>
        <w:t>Tableau 8.</w:t>
      </w:r>
      <w:r w:rsidRPr="00BB11AF">
        <w:rPr>
          <w:b/>
          <w:bCs/>
          <w:sz w:val="24"/>
          <w:szCs w:val="24"/>
        </w:rPr>
        <w:br/>
        <w:t>Contribution du tourisme aux recettes en devises étra</w:t>
      </w:r>
      <w:r w:rsidRPr="00BB11AF">
        <w:rPr>
          <w:b/>
          <w:bCs/>
          <w:sz w:val="24"/>
          <w:szCs w:val="24"/>
        </w:rPr>
        <w:t>n</w:t>
      </w:r>
      <w:r w:rsidRPr="00BB11AF">
        <w:rPr>
          <w:b/>
          <w:bCs/>
          <w:sz w:val="24"/>
          <w:szCs w:val="24"/>
        </w:rPr>
        <w:t>gères</w:t>
      </w:r>
    </w:p>
    <w:tbl>
      <w:tblPr>
        <w:tblOverlap w:val="never"/>
        <w:tblW w:w="0" w:type="auto"/>
        <w:tblInd w:w="-1250" w:type="dxa"/>
        <w:tblLayout w:type="fixed"/>
        <w:tblCellMar>
          <w:left w:w="10" w:type="dxa"/>
          <w:right w:w="10" w:type="dxa"/>
        </w:tblCellMar>
        <w:tblLook w:val="04A0" w:firstRow="1" w:lastRow="0" w:firstColumn="1" w:lastColumn="0" w:noHBand="0" w:noVBand="1"/>
      </w:tblPr>
      <w:tblGrid>
        <w:gridCol w:w="4005"/>
        <w:gridCol w:w="862"/>
        <w:gridCol w:w="863"/>
        <w:gridCol w:w="862"/>
        <w:gridCol w:w="863"/>
        <w:gridCol w:w="862"/>
        <w:gridCol w:w="863"/>
      </w:tblGrid>
      <w:tr w:rsidR="003A3061" w:rsidRPr="00BB11AF">
        <w:tblPrEx>
          <w:tblCellMar>
            <w:top w:w="0" w:type="dxa"/>
            <w:bottom w:w="0" w:type="dxa"/>
          </w:tblCellMar>
        </w:tblPrEx>
        <w:tc>
          <w:tcPr>
            <w:tcW w:w="4005" w:type="dxa"/>
            <w:tcBorders>
              <w:top w:val="single" w:sz="12" w:space="0" w:color="auto"/>
              <w:bottom w:val="single" w:sz="12" w:space="0" w:color="auto"/>
            </w:tcBorders>
            <w:shd w:val="clear" w:color="auto" w:fill="EAF1DD"/>
          </w:tcPr>
          <w:p w:rsidR="003A3061" w:rsidRPr="00BB11AF" w:rsidRDefault="003A3061" w:rsidP="003A3061">
            <w:pPr>
              <w:spacing w:before="120" w:after="120"/>
              <w:ind w:left="80" w:firstLine="0"/>
              <w:jc w:val="both"/>
              <w:rPr>
                <w:sz w:val="24"/>
              </w:rPr>
            </w:pPr>
            <w:r w:rsidRPr="00BB11AF">
              <w:rPr>
                <w:rStyle w:val="Corpsdutexte275ptGras"/>
                <w:b w:val="0"/>
                <w:sz w:val="24"/>
                <w:lang w:val="fr-CA"/>
              </w:rPr>
              <w:t>Recettes</w:t>
            </w:r>
          </w:p>
        </w:tc>
        <w:tc>
          <w:tcPr>
            <w:tcW w:w="862" w:type="dxa"/>
            <w:tcBorders>
              <w:top w:val="single" w:sz="12" w:space="0" w:color="auto"/>
              <w:bottom w:val="single" w:sz="12" w:space="0" w:color="auto"/>
            </w:tcBorders>
            <w:shd w:val="clear" w:color="auto" w:fill="EAF1DD"/>
          </w:tcPr>
          <w:p w:rsidR="003A3061" w:rsidRPr="00BB11AF" w:rsidRDefault="003A3061" w:rsidP="003A3061">
            <w:pPr>
              <w:spacing w:before="120" w:after="120"/>
              <w:ind w:firstLine="0"/>
              <w:jc w:val="center"/>
              <w:rPr>
                <w:sz w:val="24"/>
              </w:rPr>
            </w:pPr>
            <w:r w:rsidRPr="00BB11AF">
              <w:rPr>
                <w:rStyle w:val="Corpsdutexte275ptGras"/>
                <w:b w:val="0"/>
                <w:sz w:val="24"/>
                <w:lang w:val="fr-CA"/>
              </w:rPr>
              <w:t>2003/4</w:t>
            </w:r>
          </w:p>
        </w:tc>
        <w:tc>
          <w:tcPr>
            <w:tcW w:w="863" w:type="dxa"/>
            <w:tcBorders>
              <w:top w:val="single" w:sz="12" w:space="0" w:color="auto"/>
              <w:bottom w:val="single" w:sz="12" w:space="0" w:color="auto"/>
            </w:tcBorders>
            <w:shd w:val="clear" w:color="auto" w:fill="EAF1DD"/>
          </w:tcPr>
          <w:p w:rsidR="003A3061" w:rsidRPr="00BB11AF" w:rsidRDefault="003A3061" w:rsidP="003A3061">
            <w:pPr>
              <w:spacing w:before="120" w:after="120"/>
              <w:ind w:firstLine="0"/>
              <w:jc w:val="center"/>
              <w:rPr>
                <w:sz w:val="24"/>
              </w:rPr>
            </w:pPr>
            <w:r w:rsidRPr="00BB11AF">
              <w:rPr>
                <w:rStyle w:val="Corpsdutexte275ptGras"/>
                <w:b w:val="0"/>
                <w:sz w:val="24"/>
                <w:lang w:val="fr-CA"/>
              </w:rPr>
              <w:t>2004/5</w:t>
            </w:r>
          </w:p>
        </w:tc>
        <w:tc>
          <w:tcPr>
            <w:tcW w:w="862" w:type="dxa"/>
            <w:tcBorders>
              <w:top w:val="single" w:sz="12" w:space="0" w:color="auto"/>
              <w:bottom w:val="single" w:sz="12" w:space="0" w:color="auto"/>
            </w:tcBorders>
            <w:shd w:val="clear" w:color="auto" w:fill="EAF1DD"/>
          </w:tcPr>
          <w:p w:rsidR="003A3061" w:rsidRPr="00BB11AF" w:rsidRDefault="003A3061" w:rsidP="003A3061">
            <w:pPr>
              <w:spacing w:before="120" w:after="120"/>
              <w:ind w:firstLine="0"/>
              <w:jc w:val="center"/>
              <w:rPr>
                <w:sz w:val="24"/>
              </w:rPr>
            </w:pPr>
            <w:r w:rsidRPr="00BB11AF">
              <w:rPr>
                <w:rStyle w:val="Corpsdutexte275ptGras"/>
                <w:b w:val="0"/>
                <w:sz w:val="24"/>
                <w:lang w:val="fr-CA"/>
              </w:rPr>
              <w:t>2005/6</w:t>
            </w:r>
          </w:p>
        </w:tc>
        <w:tc>
          <w:tcPr>
            <w:tcW w:w="863" w:type="dxa"/>
            <w:tcBorders>
              <w:top w:val="single" w:sz="12" w:space="0" w:color="auto"/>
              <w:bottom w:val="single" w:sz="12" w:space="0" w:color="auto"/>
            </w:tcBorders>
            <w:shd w:val="clear" w:color="auto" w:fill="EAF1DD"/>
          </w:tcPr>
          <w:p w:rsidR="003A3061" w:rsidRPr="00BB11AF" w:rsidRDefault="003A3061" w:rsidP="003A3061">
            <w:pPr>
              <w:spacing w:before="120" w:after="120"/>
              <w:ind w:firstLine="0"/>
              <w:jc w:val="center"/>
              <w:rPr>
                <w:sz w:val="24"/>
              </w:rPr>
            </w:pPr>
            <w:r w:rsidRPr="00BB11AF">
              <w:rPr>
                <w:rStyle w:val="Corpsdutexte275ptGras"/>
                <w:b w:val="0"/>
                <w:sz w:val="24"/>
                <w:lang w:val="fr-CA"/>
              </w:rPr>
              <w:t>2006/7</w:t>
            </w:r>
          </w:p>
        </w:tc>
        <w:tc>
          <w:tcPr>
            <w:tcW w:w="862" w:type="dxa"/>
            <w:tcBorders>
              <w:top w:val="single" w:sz="12" w:space="0" w:color="auto"/>
              <w:bottom w:val="single" w:sz="12" w:space="0" w:color="auto"/>
            </w:tcBorders>
            <w:shd w:val="clear" w:color="auto" w:fill="EAF1DD"/>
          </w:tcPr>
          <w:p w:rsidR="003A3061" w:rsidRPr="00BB11AF" w:rsidRDefault="003A3061" w:rsidP="003A3061">
            <w:pPr>
              <w:spacing w:before="120" w:after="120"/>
              <w:ind w:firstLine="0"/>
              <w:jc w:val="center"/>
              <w:rPr>
                <w:sz w:val="24"/>
              </w:rPr>
            </w:pPr>
            <w:r w:rsidRPr="00BB11AF">
              <w:rPr>
                <w:rStyle w:val="Corpsdutexte275ptGras"/>
                <w:b w:val="0"/>
                <w:sz w:val="24"/>
                <w:lang w:val="fr-CA"/>
              </w:rPr>
              <w:t>2007/8</w:t>
            </w:r>
          </w:p>
        </w:tc>
        <w:tc>
          <w:tcPr>
            <w:tcW w:w="863" w:type="dxa"/>
            <w:tcBorders>
              <w:top w:val="single" w:sz="12" w:space="0" w:color="auto"/>
              <w:bottom w:val="single" w:sz="12" w:space="0" w:color="auto"/>
            </w:tcBorders>
            <w:shd w:val="clear" w:color="auto" w:fill="EAF1DD"/>
          </w:tcPr>
          <w:p w:rsidR="003A3061" w:rsidRPr="00BB11AF" w:rsidRDefault="003A3061" w:rsidP="003A3061">
            <w:pPr>
              <w:spacing w:before="120" w:after="120"/>
              <w:ind w:firstLine="0"/>
              <w:jc w:val="center"/>
              <w:rPr>
                <w:sz w:val="24"/>
              </w:rPr>
            </w:pPr>
            <w:r w:rsidRPr="00BB11AF">
              <w:rPr>
                <w:rStyle w:val="Corpsdutexte275ptGras"/>
                <w:b w:val="0"/>
                <w:sz w:val="24"/>
                <w:lang w:val="fr-CA"/>
              </w:rPr>
              <w:t>2008/9</w:t>
            </w:r>
          </w:p>
        </w:tc>
      </w:tr>
      <w:tr w:rsidR="003A3061" w:rsidRPr="00BB11AF">
        <w:tblPrEx>
          <w:tblCellMar>
            <w:top w:w="0" w:type="dxa"/>
            <w:bottom w:w="0" w:type="dxa"/>
          </w:tblCellMar>
        </w:tblPrEx>
        <w:tc>
          <w:tcPr>
            <w:tcW w:w="4005" w:type="dxa"/>
            <w:tcBorders>
              <w:top w:val="single" w:sz="12" w:space="0" w:color="auto"/>
            </w:tcBorders>
            <w:shd w:val="clear" w:color="auto" w:fill="FFFFFF"/>
          </w:tcPr>
          <w:p w:rsidR="003A3061" w:rsidRPr="00BB11AF" w:rsidRDefault="003A3061" w:rsidP="003A3061">
            <w:pPr>
              <w:spacing w:before="120" w:after="120"/>
              <w:ind w:left="80" w:firstLine="0"/>
              <w:jc w:val="both"/>
              <w:rPr>
                <w:sz w:val="24"/>
              </w:rPr>
            </w:pPr>
            <w:r w:rsidRPr="00BB11AF">
              <w:rPr>
                <w:rStyle w:val="Corpsdutexte27ptGras"/>
                <w:rFonts w:ascii="Times New Roman" w:hAnsi="Times New Roman"/>
                <w:b w:val="0"/>
                <w:sz w:val="24"/>
                <w:lang w:val="fr-CA"/>
              </w:rPr>
              <w:t>Tourisme (mi</w:t>
            </w:r>
            <w:r w:rsidRPr="00BB11AF">
              <w:rPr>
                <w:rStyle w:val="Corpsdutexte27ptGras"/>
                <w:rFonts w:ascii="Times New Roman" w:hAnsi="Times New Roman"/>
                <w:b w:val="0"/>
                <w:sz w:val="24"/>
                <w:lang w:val="fr-CA"/>
              </w:rPr>
              <w:t>l</w:t>
            </w:r>
            <w:r w:rsidRPr="00BB11AF">
              <w:rPr>
                <w:rStyle w:val="Corpsdutexte27ptGras"/>
                <w:rFonts w:ascii="Times New Roman" w:hAnsi="Times New Roman"/>
                <w:b w:val="0"/>
                <w:sz w:val="24"/>
                <w:lang w:val="fr-CA"/>
              </w:rPr>
              <w:t>liards de * US)</w:t>
            </w:r>
          </w:p>
        </w:tc>
        <w:tc>
          <w:tcPr>
            <w:tcW w:w="862" w:type="dxa"/>
            <w:tcBorders>
              <w:top w:val="single" w:sz="12" w:space="0" w:color="auto"/>
            </w:tcBorders>
            <w:shd w:val="clear" w:color="auto" w:fill="FFFFFF"/>
          </w:tcPr>
          <w:p w:rsidR="003A3061" w:rsidRPr="00BB11AF" w:rsidRDefault="003A3061" w:rsidP="003A3061">
            <w:pPr>
              <w:tabs>
                <w:tab w:val="decimal" w:pos="485"/>
              </w:tabs>
              <w:spacing w:before="120" w:after="120"/>
              <w:ind w:firstLine="0"/>
              <w:rPr>
                <w:sz w:val="24"/>
              </w:rPr>
            </w:pPr>
            <w:r w:rsidRPr="00BB11AF">
              <w:rPr>
                <w:rStyle w:val="Corpsdutexte27ptGras"/>
                <w:rFonts w:ascii="Times New Roman" w:hAnsi="Times New Roman"/>
                <w:b w:val="0"/>
                <w:sz w:val="24"/>
                <w:lang w:val="fr-CA"/>
              </w:rPr>
              <w:t>5,5</w:t>
            </w:r>
          </w:p>
        </w:tc>
        <w:tc>
          <w:tcPr>
            <w:tcW w:w="863" w:type="dxa"/>
            <w:tcBorders>
              <w:top w:val="single" w:sz="12" w:space="0" w:color="auto"/>
            </w:tcBorders>
            <w:shd w:val="clear" w:color="auto" w:fill="FFFFFF"/>
          </w:tcPr>
          <w:p w:rsidR="003A3061" w:rsidRPr="00BB11AF" w:rsidRDefault="003A3061" w:rsidP="003A3061">
            <w:pPr>
              <w:tabs>
                <w:tab w:val="decimal" w:pos="485"/>
              </w:tabs>
              <w:spacing w:before="120" w:after="120"/>
              <w:ind w:firstLine="0"/>
              <w:rPr>
                <w:sz w:val="24"/>
              </w:rPr>
            </w:pPr>
            <w:r w:rsidRPr="00BB11AF">
              <w:rPr>
                <w:rStyle w:val="Corpsdutexte27ptGras"/>
                <w:rFonts w:ascii="Times New Roman" w:hAnsi="Times New Roman"/>
                <w:b w:val="0"/>
                <w:sz w:val="24"/>
                <w:lang w:val="fr-CA"/>
              </w:rPr>
              <w:t>6,4</w:t>
            </w:r>
          </w:p>
        </w:tc>
        <w:tc>
          <w:tcPr>
            <w:tcW w:w="862" w:type="dxa"/>
            <w:tcBorders>
              <w:top w:val="single" w:sz="12" w:space="0" w:color="auto"/>
            </w:tcBorders>
            <w:shd w:val="clear" w:color="auto" w:fill="FFFFFF"/>
          </w:tcPr>
          <w:p w:rsidR="003A3061" w:rsidRPr="00BB11AF" w:rsidRDefault="003A3061" w:rsidP="003A3061">
            <w:pPr>
              <w:tabs>
                <w:tab w:val="decimal" w:pos="485"/>
              </w:tabs>
              <w:spacing w:before="120" w:after="120"/>
              <w:ind w:firstLine="0"/>
              <w:rPr>
                <w:sz w:val="24"/>
              </w:rPr>
            </w:pPr>
            <w:r w:rsidRPr="00BB11AF">
              <w:rPr>
                <w:sz w:val="24"/>
              </w:rPr>
              <w:t>7,2</w:t>
            </w:r>
          </w:p>
        </w:tc>
        <w:tc>
          <w:tcPr>
            <w:tcW w:w="863" w:type="dxa"/>
            <w:tcBorders>
              <w:top w:val="single" w:sz="12" w:space="0" w:color="auto"/>
            </w:tcBorders>
            <w:shd w:val="clear" w:color="auto" w:fill="FFFFFF"/>
          </w:tcPr>
          <w:p w:rsidR="003A3061" w:rsidRPr="00BB11AF" w:rsidRDefault="003A3061" w:rsidP="003A3061">
            <w:pPr>
              <w:tabs>
                <w:tab w:val="decimal" w:pos="485"/>
              </w:tabs>
              <w:spacing w:before="120" w:after="120"/>
              <w:ind w:firstLine="0"/>
              <w:rPr>
                <w:sz w:val="24"/>
              </w:rPr>
            </w:pPr>
            <w:r w:rsidRPr="00BB11AF">
              <w:rPr>
                <w:rStyle w:val="Corpsdutexte275ptGras"/>
                <w:b w:val="0"/>
                <w:sz w:val="24"/>
                <w:lang w:val="fr-CA"/>
              </w:rPr>
              <w:t>8,2</w:t>
            </w:r>
          </w:p>
        </w:tc>
        <w:tc>
          <w:tcPr>
            <w:tcW w:w="862" w:type="dxa"/>
            <w:tcBorders>
              <w:top w:val="single" w:sz="12" w:space="0" w:color="auto"/>
            </w:tcBorders>
            <w:shd w:val="clear" w:color="auto" w:fill="FFFFFF"/>
          </w:tcPr>
          <w:p w:rsidR="003A3061" w:rsidRPr="00BB11AF" w:rsidRDefault="003A3061" w:rsidP="003A3061">
            <w:pPr>
              <w:tabs>
                <w:tab w:val="decimal" w:pos="485"/>
              </w:tabs>
              <w:spacing w:before="120" w:after="120"/>
              <w:ind w:firstLine="0"/>
              <w:rPr>
                <w:sz w:val="24"/>
              </w:rPr>
            </w:pPr>
            <w:r w:rsidRPr="00BB11AF">
              <w:rPr>
                <w:rStyle w:val="Corpsdutexte275ptGras"/>
                <w:b w:val="0"/>
                <w:sz w:val="24"/>
                <w:lang w:val="fr-CA"/>
              </w:rPr>
              <w:t>10,8</w:t>
            </w:r>
          </w:p>
        </w:tc>
        <w:tc>
          <w:tcPr>
            <w:tcW w:w="863" w:type="dxa"/>
            <w:tcBorders>
              <w:top w:val="single" w:sz="12" w:space="0" w:color="auto"/>
            </w:tcBorders>
            <w:shd w:val="clear" w:color="auto" w:fill="FFFFFF"/>
          </w:tcPr>
          <w:p w:rsidR="003A3061" w:rsidRPr="00BB11AF" w:rsidRDefault="003A3061" w:rsidP="003A3061">
            <w:pPr>
              <w:tabs>
                <w:tab w:val="decimal" w:pos="485"/>
              </w:tabs>
              <w:spacing w:before="120" w:after="120"/>
              <w:ind w:firstLine="0"/>
              <w:rPr>
                <w:sz w:val="24"/>
              </w:rPr>
            </w:pPr>
            <w:r w:rsidRPr="00BB11AF">
              <w:rPr>
                <w:sz w:val="24"/>
              </w:rPr>
              <w:t>10,5</w:t>
            </w:r>
          </w:p>
        </w:tc>
      </w:tr>
      <w:tr w:rsidR="003A3061" w:rsidRPr="00BB11AF">
        <w:tblPrEx>
          <w:tblCellMar>
            <w:top w:w="0" w:type="dxa"/>
            <w:bottom w:w="0" w:type="dxa"/>
          </w:tblCellMar>
        </w:tblPrEx>
        <w:tc>
          <w:tcPr>
            <w:tcW w:w="4005" w:type="dxa"/>
            <w:shd w:val="clear" w:color="auto" w:fill="FFFFFF"/>
          </w:tcPr>
          <w:p w:rsidR="003A3061" w:rsidRPr="00BB11AF" w:rsidRDefault="003A3061" w:rsidP="003A3061">
            <w:pPr>
              <w:spacing w:before="120" w:after="120"/>
              <w:ind w:left="80" w:firstLine="0"/>
              <w:jc w:val="both"/>
              <w:rPr>
                <w:sz w:val="24"/>
              </w:rPr>
            </w:pPr>
            <w:r w:rsidRPr="00BB11AF">
              <w:rPr>
                <w:rStyle w:val="Corpsdutexte275ptGras"/>
                <w:b w:val="0"/>
                <w:sz w:val="24"/>
                <w:lang w:val="fr-CA"/>
              </w:rPr>
              <w:t>Touri</w:t>
            </w:r>
            <w:r w:rsidRPr="00BB11AF">
              <w:rPr>
                <w:rStyle w:val="Corpsdutexte275ptGras"/>
                <w:b w:val="0"/>
                <w:sz w:val="24"/>
                <w:lang w:val="fr-CA"/>
              </w:rPr>
              <w:t>s</w:t>
            </w:r>
            <w:r w:rsidRPr="00BB11AF">
              <w:rPr>
                <w:rStyle w:val="Corpsdutexte275ptGras"/>
                <w:b w:val="0"/>
                <w:sz w:val="24"/>
                <w:lang w:val="fr-CA"/>
              </w:rPr>
              <w:t>me/Exportations (%)</w:t>
            </w:r>
          </w:p>
        </w:tc>
        <w:tc>
          <w:tcPr>
            <w:tcW w:w="862" w:type="dxa"/>
            <w:shd w:val="clear" w:color="auto" w:fill="FFFFFF"/>
          </w:tcPr>
          <w:p w:rsidR="003A3061" w:rsidRPr="00BB11AF" w:rsidRDefault="003A3061" w:rsidP="003A3061">
            <w:pPr>
              <w:tabs>
                <w:tab w:val="decimal" w:pos="485"/>
              </w:tabs>
              <w:spacing w:before="120" w:after="120"/>
              <w:ind w:firstLine="0"/>
              <w:rPr>
                <w:sz w:val="24"/>
              </w:rPr>
            </w:pPr>
            <w:r w:rsidRPr="00BB11AF">
              <w:rPr>
                <w:sz w:val="24"/>
              </w:rPr>
              <w:t>54,4</w:t>
            </w:r>
          </w:p>
        </w:tc>
        <w:tc>
          <w:tcPr>
            <w:tcW w:w="863" w:type="dxa"/>
            <w:shd w:val="clear" w:color="auto" w:fill="FFFFFF"/>
          </w:tcPr>
          <w:p w:rsidR="003A3061" w:rsidRPr="00BB11AF" w:rsidRDefault="003A3061" w:rsidP="003A3061">
            <w:pPr>
              <w:tabs>
                <w:tab w:val="decimal" w:pos="485"/>
              </w:tabs>
              <w:spacing w:before="120" w:after="120"/>
              <w:ind w:firstLine="0"/>
              <w:rPr>
                <w:sz w:val="24"/>
              </w:rPr>
            </w:pPr>
            <w:r w:rsidRPr="00BB11AF">
              <w:rPr>
                <w:sz w:val="24"/>
              </w:rPr>
              <w:t>46,5</w:t>
            </w:r>
          </w:p>
        </w:tc>
        <w:tc>
          <w:tcPr>
            <w:tcW w:w="862" w:type="dxa"/>
            <w:shd w:val="clear" w:color="auto" w:fill="FFFFFF"/>
          </w:tcPr>
          <w:p w:rsidR="003A3061" w:rsidRPr="00BB11AF" w:rsidRDefault="003A3061" w:rsidP="003A3061">
            <w:pPr>
              <w:tabs>
                <w:tab w:val="decimal" w:pos="485"/>
              </w:tabs>
              <w:spacing w:before="120" w:after="120"/>
              <w:ind w:firstLine="0"/>
              <w:rPr>
                <w:sz w:val="24"/>
              </w:rPr>
            </w:pPr>
            <w:r w:rsidRPr="00BB11AF">
              <w:rPr>
                <w:sz w:val="24"/>
              </w:rPr>
              <w:t>39,2</w:t>
            </w:r>
          </w:p>
        </w:tc>
        <w:tc>
          <w:tcPr>
            <w:tcW w:w="863" w:type="dxa"/>
            <w:shd w:val="clear" w:color="auto" w:fill="FFFFFF"/>
          </w:tcPr>
          <w:p w:rsidR="003A3061" w:rsidRPr="00BB11AF" w:rsidRDefault="003A3061" w:rsidP="003A3061">
            <w:pPr>
              <w:tabs>
                <w:tab w:val="decimal" w:pos="485"/>
              </w:tabs>
              <w:spacing w:before="120" w:after="120"/>
              <w:ind w:firstLine="0"/>
              <w:rPr>
                <w:sz w:val="24"/>
              </w:rPr>
            </w:pPr>
            <w:r w:rsidRPr="00BB11AF">
              <w:rPr>
                <w:sz w:val="24"/>
              </w:rPr>
              <w:t>37,2</w:t>
            </w:r>
          </w:p>
        </w:tc>
        <w:tc>
          <w:tcPr>
            <w:tcW w:w="862" w:type="dxa"/>
            <w:shd w:val="clear" w:color="auto" w:fill="FFFFFF"/>
          </w:tcPr>
          <w:p w:rsidR="003A3061" w:rsidRPr="00BB11AF" w:rsidRDefault="003A3061" w:rsidP="003A3061">
            <w:pPr>
              <w:tabs>
                <w:tab w:val="decimal" w:pos="485"/>
              </w:tabs>
              <w:spacing w:before="120" w:after="120"/>
              <w:ind w:firstLine="0"/>
              <w:rPr>
                <w:sz w:val="24"/>
              </w:rPr>
            </w:pPr>
            <w:r w:rsidRPr="00BB11AF">
              <w:rPr>
                <w:sz w:val="24"/>
              </w:rPr>
              <w:t>36,9</w:t>
            </w:r>
          </w:p>
        </w:tc>
        <w:tc>
          <w:tcPr>
            <w:tcW w:w="863" w:type="dxa"/>
            <w:shd w:val="clear" w:color="auto" w:fill="FFFFFF"/>
          </w:tcPr>
          <w:p w:rsidR="003A3061" w:rsidRPr="00BB11AF" w:rsidRDefault="003A3061" w:rsidP="003A3061">
            <w:pPr>
              <w:tabs>
                <w:tab w:val="decimal" w:pos="485"/>
              </w:tabs>
              <w:spacing w:before="120" w:after="120"/>
              <w:ind w:firstLine="0"/>
              <w:rPr>
                <w:sz w:val="24"/>
              </w:rPr>
            </w:pPr>
            <w:r w:rsidRPr="00BB11AF">
              <w:rPr>
                <w:rStyle w:val="Corpsdutexte2TimesNewRoman6pt"/>
                <w:rFonts w:eastAsia="Arial"/>
                <w:sz w:val="24"/>
                <w:lang w:val="fr-CA"/>
              </w:rPr>
              <w:t>41,7</w:t>
            </w:r>
          </w:p>
        </w:tc>
      </w:tr>
      <w:tr w:rsidR="003A3061" w:rsidRPr="00BB11AF">
        <w:tblPrEx>
          <w:tblCellMar>
            <w:top w:w="0" w:type="dxa"/>
            <w:bottom w:w="0" w:type="dxa"/>
          </w:tblCellMar>
        </w:tblPrEx>
        <w:tc>
          <w:tcPr>
            <w:tcW w:w="4005" w:type="dxa"/>
            <w:shd w:val="clear" w:color="auto" w:fill="FFFFFF"/>
          </w:tcPr>
          <w:p w:rsidR="003A3061" w:rsidRPr="00BB11AF" w:rsidRDefault="003A3061" w:rsidP="003A3061">
            <w:pPr>
              <w:spacing w:before="120" w:after="120"/>
              <w:ind w:left="80" w:firstLine="0"/>
              <w:jc w:val="both"/>
              <w:rPr>
                <w:sz w:val="24"/>
              </w:rPr>
            </w:pPr>
            <w:r w:rsidRPr="00BB11AF">
              <w:rPr>
                <w:rStyle w:val="Corpsdutexte27ptGras"/>
                <w:rFonts w:ascii="Times New Roman" w:hAnsi="Times New Roman"/>
                <w:b w:val="0"/>
                <w:sz w:val="24"/>
                <w:lang w:val="fr-CA"/>
              </w:rPr>
              <w:t>Tourisme/Exportations p</w:t>
            </w:r>
            <w:r w:rsidRPr="00BB11AF">
              <w:rPr>
                <w:rStyle w:val="Corpsdutexte27ptGras"/>
                <w:rFonts w:ascii="Times New Roman" w:hAnsi="Times New Roman"/>
                <w:b w:val="0"/>
                <w:sz w:val="24"/>
                <w:lang w:val="fr-CA"/>
              </w:rPr>
              <w:t>é</w:t>
            </w:r>
            <w:r w:rsidRPr="00BB11AF">
              <w:rPr>
                <w:rStyle w:val="Corpsdutexte27ptGras"/>
                <w:rFonts w:ascii="Times New Roman" w:hAnsi="Times New Roman"/>
                <w:b w:val="0"/>
                <w:sz w:val="24"/>
                <w:lang w:val="fr-CA"/>
              </w:rPr>
              <w:t>trole (%)</w:t>
            </w:r>
          </w:p>
        </w:tc>
        <w:tc>
          <w:tcPr>
            <w:tcW w:w="862" w:type="dxa"/>
            <w:shd w:val="clear" w:color="auto" w:fill="FFFFFF"/>
          </w:tcPr>
          <w:p w:rsidR="003A3061" w:rsidRPr="00BB11AF" w:rsidRDefault="003A3061" w:rsidP="003A3061">
            <w:pPr>
              <w:tabs>
                <w:tab w:val="decimal" w:pos="485"/>
              </w:tabs>
              <w:spacing w:before="120" w:after="120"/>
              <w:ind w:firstLine="0"/>
              <w:rPr>
                <w:sz w:val="24"/>
              </w:rPr>
            </w:pPr>
            <w:r w:rsidRPr="00BB11AF">
              <w:rPr>
                <w:rStyle w:val="Corpsdutexte275ptGras"/>
                <w:b w:val="0"/>
                <w:sz w:val="24"/>
                <w:lang w:val="fr-CA"/>
              </w:rPr>
              <w:t>140,0</w:t>
            </w:r>
          </w:p>
        </w:tc>
        <w:tc>
          <w:tcPr>
            <w:tcW w:w="863" w:type="dxa"/>
            <w:shd w:val="clear" w:color="auto" w:fill="FFFFFF"/>
          </w:tcPr>
          <w:p w:rsidR="003A3061" w:rsidRPr="00BB11AF" w:rsidRDefault="003A3061" w:rsidP="003A3061">
            <w:pPr>
              <w:tabs>
                <w:tab w:val="decimal" w:pos="485"/>
              </w:tabs>
              <w:spacing w:before="120" w:after="120"/>
              <w:ind w:firstLine="0"/>
              <w:rPr>
                <w:sz w:val="24"/>
              </w:rPr>
            </w:pPr>
            <w:r w:rsidRPr="00BB11AF">
              <w:rPr>
                <w:rStyle w:val="Corpsdutexte275ptGras"/>
                <w:b w:val="0"/>
                <w:sz w:val="24"/>
                <w:lang w:val="fr-CA"/>
              </w:rPr>
              <w:t>121,3</w:t>
            </w:r>
          </w:p>
        </w:tc>
        <w:tc>
          <w:tcPr>
            <w:tcW w:w="862" w:type="dxa"/>
            <w:shd w:val="clear" w:color="auto" w:fill="FFFFFF"/>
          </w:tcPr>
          <w:p w:rsidR="003A3061" w:rsidRPr="00BB11AF" w:rsidRDefault="003A3061" w:rsidP="003A3061">
            <w:pPr>
              <w:tabs>
                <w:tab w:val="decimal" w:pos="485"/>
              </w:tabs>
              <w:spacing w:before="120" w:after="120"/>
              <w:ind w:firstLine="0"/>
              <w:rPr>
                <w:sz w:val="24"/>
              </w:rPr>
            </w:pPr>
            <w:r w:rsidRPr="00BB11AF">
              <w:rPr>
                <w:rStyle w:val="Corpsdutexte275ptGras"/>
                <w:b w:val="0"/>
                <w:sz w:val="24"/>
                <w:lang w:val="fr-CA"/>
              </w:rPr>
              <w:t>70,8</w:t>
            </w:r>
          </w:p>
        </w:tc>
        <w:tc>
          <w:tcPr>
            <w:tcW w:w="863" w:type="dxa"/>
            <w:shd w:val="clear" w:color="auto" w:fill="FFFFFF"/>
          </w:tcPr>
          <w:p w:rsidR="003A3061" w:rsidRPr="00BB11AF" w:rsidRDefault="003A3061" w:rsidP="003A3061">
            <w:pPr>
              <w:tabs>
                <w:tab w:val="decimal" w:pos="485"/>
              </w:tabs>
              <w:spacing w:before="120" w:after="120"/>
              <w:ind w:firstLine="0"/>
              <w:rPr>
                <w:sz w:val="24"/>
              </w:rPr>
            </w:pPr>
            <w:r w:rsidRPr="00BB11AF">
              <w:rPr>
                <w:rStyle w:val="Corpsdutexte275ptGras"/>
                <w:b w:val="0"/>
                <w:sz w:val="24"/>
                <w:lang w:val="fr-CA"/>
              </w:rPr>
              <w:t>81,0</w:t>
            </w:r>
          </w:p>
        </w:tc>
        <w:tc>
          <w:tcPr>
            <w:tcW w:w="862" w:type="dxa"/>
            <w:shd w:val="clear" w:color="auto" w:fill="FFFFFF"/>
          </w:tcPr>
          <w:p w:rsidR="003A3061" w:rsidRPr="00BB11AF" w:rsidRDefault="003A3061" w:rsidP="003A3061">
            <w:pPr>
              <w:tabs>
                <w:tab w:val="decimal" w:pos="485"/>
              </w:tabs>
              <w:spacing w:before="120" w:after="120"/>
              <w:ind w:firstLine="0"/>
              <w:rPr>
                <w:sz w:val="24"/>
              </w:rPr>
            </w:pPr>
            <w:r w:rsidRPr="00BB11AF">
              <w:rPr>
                <w:sz w:val="24"/>
              </w:rPr>
              <w:t>74,8</w:t>
            </w:r>
          </w:p>
        </w:tc>
        <w:tc>
          <w:tcPr>
            <w:tcW w:w="863" w:type="dxa"/>
            <w:shd w:val="clear" w:color="auto" w:fill="FFFFFF"/>
          </w:tcPr>
          <w:p w:rsidR="003A3061" w:rsidRPr="00BB11AF" w:rsidRDefault="003A3061" w:rsidP="003A3061">
            <w:pPr>
              <w:tabs>
                <w:tab w:val="decimal" w:pos="485"/>
              </w:tabs>
              <w:spacing w:before="120" w:after="120"/>
              <w:ind w:firstLine="0"/>
              <w:rPr>
                <w:sz w:val="24"/>
              </w:rPr>
            </w:pPr>
            <w:r w:rsidRPr="00BB11AF">
              <w:rPr>
                <w:sz w:val="24"/>
              </w:rPr>
              <w:t>95,3</w:t>
            </w:r>
          </w:p>
        </w:tc>
      </w:tr>
      <w:tr w:rsidR="003A3061" w:rsidRPr="00BB11AF">
        <w:tblPrEx>
          <w:tblCellMar>
            <w:top w:w="0" w:type="dxa"/>
            <w:bottom w:w="0" w:type="dxa"/>
          </w:tblCellMar>
        </w:tblPrEx>
        <w:tc>
          <w:tcPr>
            <w:tcW w:w="4005" w:type="dxa"/>
            <w:tcBorders>
              <w:bottom w:val="single" w:sz="12" w:space="0" w:color="auto"/>
            </w:tcBorders>
            <w:shd w:val="clear" w:color="auto" w:fill="FFFFFF"/>
          </w:tcPr>
          <w:p w:rsidR="003A3061" w:rsidRPr="00BB11AF" w:rsidRDefault="003A3061" w:rsidP="003A3061">
            <w:pPr>
              <w:spacing w:before="120" w:after="120"/>
              <w:ind w:left="80" w:firstLine="0"/>
              <w:jc w:val="both"/>
              <w:rPr>
                <w:sz w:val="24"/>
              </w:rPr>
            </w:pPr>
            <w:r w:rsidRPr="00BB11AF">
              <w:rPr>
                <w:rStyle w:val="Corpsdutexte275ptGras"/>
                <w:b w:val="0"/>
                <w:sz w:val="24"/>
                <w:lang w:val="fr-CA"/>
              </w:rPr>
              <w:t>Tourisme/Droits c</w:t>
            </w:r>
            <w:r w:rsidRPr="00BB11AF">
              <w:rPr>
                <w:rStyle w:val="Corpsdutexte275ptGras"/>
                <w:b w:val="0"/>
                <w:sz w:val="24"/>
                <w:lang w:val="fr-CA"/>
              </w:rPr>
              <w:t>a</w:t>
            </w:r>
            <w:r w:rsidRPr="00BB11AF">
              <w:rPr>
                <w:rStyle w:val="Corpsdutexte275ptGras"/>
                <w:b w:val="0"/>
                <w:sz w:val="24"/>
                <w:lang w:val="fr-CA"/>
              </w:rPr>
              <w:t>nal de Suez (%)</w:t>
            </w:r>
          </w:p>
        </w:tc>
        <w:tc>
          <w:tcPr>
            <w:tcW w:w="862" w:type="dxa"/>
            <w:tcBorders>
              <w:bottom w:val="single" w:sz="12" w:space="0" w:color="auto"/>
            </w:tcBorders>
            <w:shd w:val="clear" w:color="auto" w:fill="FFFFFF"/>
          </w:tcPr>
          <w:p w:rsidR="003A3061" w:rsidRPr="00BB11AF" w:rsidRDefault="003A3061" w:rsidP="003A3061">
            <w:pPr>
              <w:tabs>
                <w:tab w:val="decimal" w:pos="485"/>
              </w:tabs>
              <w:spacing w:before="120" w:after="120"/>
              <w:ind w:firstLine="0"/>
              <w:rPr>
                <w:sz w:val="24"/>
              </w:rPr>
            </w:pPr>
            <w:r w:rsidRPr="00BB11AF">
              <w:rPr>
                <w:rStyle w:val="Corpsdutexte2TimesNewRoman6pt"/>
                <w:rFonts w:eastAsia="Arial"/>
                <w:sz w:val="24"/>
                <w:lang w:val="fr-CA"/>
              </w:rPr>
              <w:t>192,2</w:t>
            </w:r>
          </w:p>
        </w:tc>
        <w:tc>
          <w:tcPr>
            <w:tcW w:w="863" w:type="dxa"/>
            <w:tcBorders>
              <w:bottom w:val="single" w:sz="12" w:space="0" w:color="auto"/>
            </w:tcBorders>
            <w:shd w:val="clear" w:color="auto" w:fill="FFFFFF"/>
          </w:tcPr>
          <w:p w:rsidR="003A3061" w:rsidRPr="00BB11AF" w:rsidRDefault="003A3061" w:rsidP="003A3061">
            <w:pPr>
              <w:tabs>
                <w:tab w:val="decimal" w:pos="485"/>
              </w:tabs>
              <w:spacing w:before="120" w:after="120"/>
              <w:ind w:firstLine="0"/>
              <w:rPr>
                <w:sz w:val="24"/>
              </w:rPr>
            </w:pPr>
            <w:r w:rsidRPr="00BB11AF">
              <w:rPr>
                <w:sz w:val="24"/>
              </w:rPr>
              <w:t>194,4</w:t>
            </w:r>
          </w:p>
        </w:tc>
        <w:tc>
          <w:tcPr>
            <w:tcW w:w="862" w:type="dxa"/>
            <w:tcBorders>
              <w:bottom w:val="single" w:sz="12" w:space="0" w:color="auto"/>
            </w:tcBorders>
            <w:shd w:val="clear" w:color="auto" w:fill="FFFFFF"/>
          </w:tcPr>
          <w:p w:rsidR="003A3061" w:rsidRPr="00BB11AF" w:rsidRDefault="003A3061" w:rsidP="003A3061">
            <w:pPr>
              <w:tabs>
                <w:tab w:val="decimal" w:pos="485"/>
              </w:tabs>
              <w:spacing w:before="120" w:after="120"/>
              <w:ind w:firstLine="0"/>
              <w:rPr>
                <w:sz w:val="24"/>
              </w:rPr>
            </w:pPr>
            <w:r w:rsidRPr="00BB11AF">
              <w:rPr>
                <w:rStyle w:val="Corpsdutexte2TimesNewRoman6pt"/>
                <w:rFonts w:eastAsia="Arial"/>
                <w:sz w:val="24"/>
                <w:lang w:val="fr-CA"/>
              </w:rPr>
              <w:t>203,3</w:t>
            </w:r>
          </w:p>
        </w:tc>
        <w:tc>
          <w:tcPr>
            <w:tcW w:w="863" w:type="dxa"/>
            <w:tcBorders>
              <w:bottom w:val="single" w:sz="12" w:space="0" w:color="auto"/>
            </w:tcBorders>
            <w:shd w:val="clear" w:color="auto" w:fill="FFFFFF"/>
          </w:tcPr>
          <w:p w:rsidR="003A3061" w:rsidRPr="00BB11AF" w:rsidRDefault="003A3061" w:rsidP="003A3061">
            <w:pPr>
              <w:tabs>
                <w:tab w:val="decimal" w:pos="485"/>
              </w:tabs>
              <w:spacing w:before="120" w:after="120"/>
              <w:ind w:firstLine="0"/>
              <w:rPr>
                <w:sz w:val="24"/>
              </w:rPr>
            </w:pPr>
            <w:r w:rsidRPr="00BB11AF">
              <w:rPr>
                <w:rStyle w:val="Corpsdutexte2TimesNewRoman6pt"/>
                <w:rFonts w:eastAsia="Arial"/>
                <w:sz w:val="24"/>
                <w:lang w:val="fr-CA"/>
              </w:rPr>
              <w:t>196,3</w:t>
            </w:r>
          </w:p>
        </w:tc>
        <w:tc>
          <w:tcPr>
            <w:tcW w:w="862" w:type="dxa"/>
            <w:tcBorders>
              <w:bottom w:val="single" w:sz="12" w:space="0" w:color="auto"/>
            </w:tcBorders>
            <w:shd w:val="clear" w:color="auto" w:fill="FFFFFF"/>
          </w:tcPr>
          <w:p w:rsidR="003A3061" w:rsidRPr="00BB11AF" w:rsidRDefault="003A3061" w:rsidP="003A3061">
            <w:pPr>
              <w:tabs>
                <w:tab w:val="decimal" w:pos="485"/>
              </w:tabs>
              <w:spacing w:before="120" w:after="120"/>
              <w:ind w:firstLine="0"/>
              <w:rPr>
                <w:sz w:val="24"/>
              </w:rPr>
            </w:pPr>
            <w:r w:rsidRPr="00BB11AF">
              <w:rPr>
                <w:rStyle w:val="Corpsdutexte2TimesNewRoman6pt"/>
                <w:rFonts w:eastAsia="Arial"/>
                <w:sz w:val="24"/>
                <w:lang w:val="fr-CA"/>
              </w:rPr>
              <w:t>210,0</w:t>
            </w:r>
          </w:p>
        </w:tc>
        <w:tc>
          <w:tcPr>
            <w:tcW w:w="863" w:type="dxa"/>
            <w:tcBorders>
              <w:bottom w:val="single" w:sz="12" w:space="0" w:color="auto"/>
            </w:tcBorders>
            <w:shd w:val="clear" w:color="auto" w:fill="FFFFFF"/>
          </w:tcPr>
          <w:p w:rsidR="003A3061" w:rsidRPr="00BB11AF" w:rsidRDefault="003A3061" w:rsidP="003A3061">
            <w:pPr>
              <w:tabs>
                <w:tab w:val="decimal" w:pos="485"/>
              </w:tabs>
              <w:spacing w:before="120" w:after="120"/>
              <w:ind w:firstLine="0"/>
              <w:rPr>
                <w:sz w:val="24"/>
              </w:rPr>
            </w:pPr>
            <w:r w:rsidRPr="00BB11AF">
              <w:rPr>
                <w:rStyle w:val="Corpsdutexte2TimesNewRoman6pt"/>
                <w:rFonts w:eastAsia="Arial"/>
                <w:sz w:val="24"/>
                <w:lang w:val="fr-CA"/>
              </w:rPr>
              <w:t>222,2</w:t>
            </w:r>
          </w:p>
        </w:tc>
      </w:tr>
    </w:tbl>
    <w:p w:rsidR="003A3061" w:rsidRPr="00BB11AF" w:rsidRDefault="003A3061" w:rsidP="003A3061">
      <w:pPr>
        <w:spacing w:before="120" w:after="120"/>
        <w:jc w:val="both"/>
        <w:rPr>
          <w:sz w:val="24"/>
        </w:rPr>
      </w:pPr>
      <w:r w:rsidRPr="00BB11AF">
        <w:rPr>
          <w:sz w:val="24"/>
        </w:rPr>
        <w:t>Source : Zaytoun 2010 :21.</w:t>
      </w:r>
    </w:p>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jc w:val="both"/>
      </w:pPr>
      <w:r w:rsidRPr="00BB11AF">
        <w:t>De 2007 et 2008 à 2008 et 2009, le fléchissement (non arrondi) dans les recettes est de 3,1% pour le tourisme, alors qu'il atteint 14,3% pour les exportations, 24% pour le pétrole et 8,4% pour les péages à Suez (Zaytoun 2010 :31). De fait, le déclin du tourisme a été de faible a</w:t>
      </w:r>
      <w:r w:rsidRPr="00BB11AF">
        <w:t>m</w:t>
      </w:r>
      <w:r w:rsidRPr="00BB11AF">
        <w:t>pleur et sa reprise survient en 2009 et 2010.</w:t>
      </w:r>
    </w:p>
    <w:p w:rsidR="003A3061" w:rsidRPr="00BB11AF" w:rsidRDefault="003A3061" w:rsidP="003A3061">
      <w:pPr>
        <w:spacing w:before="120" w:after="120"/>
        <w:jc w:val="both"/>
      </w:pPr>
      <w:r w:rsidRPr="00BB11AF">
        <w:t>[59]</w:t>
      </w:r>
    </w:p>
    <w:p w:rsidR="003A3061" w:rsidRPr="00BB11AF" w:rsidRDefault="003A3061" w:rsidP="003A3061">
      <w:pPr>
        <w:spacing w:before="120" w:after="120"/>
        <w:jc w:val="both"/>
      </w:pPr>
    </w:p>
    <w:p w:rsidR="003A3061" w:rsidRPr="00BB11AF" w:rsidRDefault="003A3061" w:rsidP="003A3061">
      <w:pPr>
        <w:spacing w:before="120" w:after="120"/>
        <w:ind w:firstLine="0"/>
        <w:jc w:val="center"/>
        <w:rPr>
          <w:b/>
          <w:bCs/>
          <w:sz w:val="24"/>
          <w:szCs w:val="24"/>
        </w:rPr>
      </w:pPr>
      <w:r w:rsidRPr="00BB11AF">
        <w:rPr>
          <w:b/>
          <w:bCs/>
          <w:sz w:val="24"/>
          <w:szCs w:val="24"/>
        </w:rPr>
        <w:t>Tableau 9.</w:t>
      </w:r>
      <w:r w:rsidRPr="00BB11AF">
        <w:rPr>
          <w:b/>
          <w:bCs/>
          <w:sz w:val="24"/>
          <w:szCs w:val="24"/>
        </w:rPr>
        <w:br/>
        <w:t>Contribution du tourisme à l'économie égyptienne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420"/>
        <w:gridCol w:w="1125"/>
        <w:gridCol w:w="1125"/>
        <w:gridCol w:w="1125"/>
        <w:gridCol w:w="1125"/>
      </w:tblGrid>
      <w:tr w:rsidR="003A3061" w:rsidRPr="00BB11AF">
        <w:tblPrEx>
          <w:tblCellMar>
            <w:top w:w="0" w:type="dxa"/>
            <w:bottom w:w="0" w:type="dxa"/>
          </w:tblCellMar>
        </w:tblPrEx>
        <w:tc>
          <w:tcPr>
            <w:tcW w:w="3420" w:type="dxa"/>
            <w:tcBorders>
              <w:top w:val="single" w:sz="12" w:space="0" w:color="auto"/>
              <w:bottom w:val="single" w:sz="12" w:space="0" w:color="auto"/>
            </w:tcBorders>
            <w:shd w:val="clear" w:color="auto" w:fill="EAF1DD"/>
          </w:tcPr>
          <w:p w:rsidR="003A3061" w:rsidRPr="00BB11AF" w:rsidRDefault="003A3061" w:rsidP="003A3061">
            <w:pPr>
              <w:spacing w:before="120" w:after="120"/>
              <w:ind w:firstLine="0"/>
              <w:jc w:val="both"/>
              <w:rPr>
                <w:sz w:val="24"/>
                <w:szCs w:val="10"/>
              </w:rPr>
            </w:pPr>
          </w:p>
        </w:tc>
        <w:tc>
          <w:tcPr>
            <w:tcW w:w="1125" w:type="dxa"/>
            <w:tcBorders>
              <w:top w:val="single" w:sz="12" w:space="0" w:color="auto"/>
              <w:bottom w:val="single" w:sz="12" w:space="0" w:color="auto"/>
            </w:tcBorders>
            <w:shd w:val="clear" w:color="auto" w:fill="EAF1DD"/>
          </w:tcPr>
          <w:p w:rsidR="003A3061" w:rsidRPr="00BB11AF" w:rsidRDefault="003A3061" w:rsidP="003A3061">
            <w:pPr>
              <w:spacing w:before="120" w:after="120"/>
              <w:ind w:firstLine="0"/>
              <w:jc w:val="center"/>
              <w:rPr>
                <w:sz w:val="24"/>
              </w:rPr>
            </w:pPr>
            <w:r w:rsidRPr="00BB11AF">
              <w:rPr>
                <w:rStyle w:val="Corpsdutexte275ptGras"/>
                <w:b w:val="0"/>
                <w:sz w:val="24"/>
                <w:lang w:val="fr-CA"/>
              </w:rPr>
              <w:t>2006/7</w:t>
            </w:r>
          </w:p>
        </w:tc>
        <w:tc>
          <w:tcPr>
            <w:tcW w:w="1125" w:type="dxa"/>
            <w:tcBorders>
              <w:top w:val="single" w:sz="12" w:space="0" w:color="auto"/>
              <w:bottom w:val="single" w:sz="12" w:space="0" w:color="auto"/>
            </w:tcBorders>
            <w:shd w:val="clear" w:color="auto" w:fill="EAF1DD"/>
          </w:tcPr>
          <w:p w:rsidR="003A3061" w:rsidRPr="00BB11AF" w:rsidRDefault="003A3061" w:rsidP="003A3061">
            <w:pPr>
              <w:spacing w:before="120" w:after="120"/>
              <w:ind w:firstLine="0"/>
              <w:jc w:val="center"/>
              <w:rPr>
                <w:sz w:val="24"/>
              </w:rPr>
            </w:pPr>
            <w:r w:rsidRPr="00BB11AF">
              <w:rPr>
                <w:rStyle w:val="Corpsdutexte275ptGras"/>
                <w:b w:val="0"/>
                <w:sz w:val="24"/>
                <w:lang w:val="fr-CA"/>
              </w:rPr>
              <w:t>2007/8</w:t>
            </w:r>
          </w:p>
        </w:tc>
        <w:tc>
          <w:tcPr>
            <w:tcW w:w="1125" w:type="dxa"/>
            <w:tcBorders>
              <w:top w:val="single" w:sz="12" w:space="0" w:color="auto"/>
              <w:bottom w:val="single" w:sz="12" w:space="0" w:color="auto"/>
            </w:tcBorders>
            <w:shd w:val="clear" w:color="auto" w:fill="EAF1DD"/>
          </w:tcPr>
          <w:p w:rsidR="003A3061" w:rsidRPr="00BB11AF" w:rsidRDefault="003A3061" w:rsidP="003A3061">
            <w:pPr>
              <w:spacing w:before="120" w:after="120"/>
              <w:ind w:firstLine="0"/>
              <w:jc w:val="center"/>
              <w:rPr>
                <w:sz w:val="24"/>
              </w:rPr>
            </w:pPr>
            <w:r w:rsidRPr="00BB11AF">
              <w:rPr>
                <w:rStyle w:val="Corpsdutexte275ptGras"/>
                <w:b w:val="0"/>
                <w:sz w:val="24"/>
                <w:lang w:val="fr-CA"/>
              </w:rPr>
              <w:t>2008/9</w:t>
            </w:r>
          </w:p>
        </w:tc>
        <w:tc>
          <w:tcPr>
            <w:tcW w:w="1125" w:type="dxa"/>
            <w:tcBorders>
              <w:top w:val="single" w:sz="12" w:space="0" w:color="auto"/>
              <w:bottom w:val="single" w:sz="12" w:space="0" w:color="auto"/>
            </w:tcBorders>
            <w:shd w:val="clear" w:color="auto" w:fill="EAF1DD"/>
          </w:tcPr>
          <w:p w:rsidR="003A3061" w:rsidRPr="00BB11AF" w:rsidRDefault="003A3061" w:rsidP="003A3061">
            <w:pPr>
              <w:spacing w:before="120" w:after="120"/>
              <w:ind w:firstLine="0"/>
              <w:jc w:val="center"/>
              <w:rPr>
                <w:sz w:val="24"/>
              </w:rPr>
            </w:pPr>
            <w:r w:rsidRPr="00BB11AF">
              <w:rPr>
                <w:rStyle w:val="Corpsdutexte275ptGras"/>
                <w:b w:val="0"/>
                <w:sz w:val="24"/>
                <w:lang w:val="fr-CA"/>
              </w:rPr>
              <w:t>2009/10</w:t>
            </w:r>
          </w:p>
        </w:tc>
      </w:tr>
      <w:tr w:rsidR="003A3061" w:rsidRPr="00BB11AF">
        <w:tblPrEx>
          <w:tblCellMar>
            <w:top w:w="0" w:type="dxa"/>
            <w:bottom w:w="0" w:type="dxa"/>
          </w:tblCellMar>
        </w:tblPrEx>
        <w:tc>
          <w:tcPr>
            <w:tcW w:w="3420" w:type="dxa"/>
            <w:tcBorders>
              <w:top w:val="single" w:sz="12" w:space="0" w:color="auto"/>
            </w:tcBorders>
            <w:shd w:val="clear" w:color="auto" w:fill="FFFFFF"/>
            <w:vAlign w:val="bottom"/>
          </w:tcPr>
          <w:p w:rsidR="003A3061" w:rsidRPr="00BB11AF" w:rsidRDefault="003A3061" w:rsidP="003A3061">
            <w:pPr>
              <w:spacing w:before="120" w:after="120"/>
              <w:ind w:left="80" w:firstLine="0"/>
              <w:jc w:val="both"/>
              <w:rPr>
                <w:sz w:val="24"/>
              </w:rPr>
            </w:pPr>
            <w:r w:rsidRPr="00BB11AF">
              <w:rPr>
                <w:rStyle w:val="Corpsdutexte275ptGras"/>
                <w:b w:val="0"/>
                <w:sz w:val="24"/>
                <w:lang w:val="fr-CA"/>
              </w:rPr>
              <w:t xml:space="preserve">Revenus </w:t>
            </w:r>
            <w:r w:rsidRPr="00BB11AF">
              <w:rPr>
                <w:sz w:val="24"/>
              </w:rPr>
              <w:t>(mi</w:t>
            </w:r>
            <w:r w:rsidRPr="00BB11AF">
              <w:rPr>
                <w:sz w:val="24"/>
              </w:rPr>
              <w:t>l</w:t>
            </w:r>
            <w:r w:rsidRPr="00BB11AF">
              <w:rPr>
                <w:sz w:val="24"/>
              </w:rPr>
              <w:t>liards de $ US)</w:t>
            </w:r>
          </w:p>
        </w:tc>
        <w:tc>
          <w:tcPr>
            <w:tcW w:w="1125" w:type="dxa"/>
            <w:tcBorders>
              <w:top w:val="single" w:sz="12" w:space="0" w:color="auto"/>
            </w:tcBorders>
            <w:shd w:val="clear" w:color="auto" w:fill="FFFFFF"/>
            <w:vAlign w:val="bottom"/>
          </w:tcPr>
          <w:p w:rsidR="003A3061" w:rsidRPr="00BB11AF" w:rsidRDefault="003A3061" w:rsidP="003A3061">
            <w:pPr>
              <w:tabs>
                <w:tab w:val="decimal" w:pos="530"/>
              </w:tabs>
              <w:spacing w:before="120" w:after="120"/>
              <w:ind w:firstLine="0"/>
              <w:jc w:val="both"/>
              <w:rPr>
                <w:sz w:val="24"/>
              </w:rPr>
            </w:pPr>
            <w:r w:rsidRPr="00BB11AF">
              <w:rPr>
                <w:rStyle w:val="Corpsdutexte275ptGras"/>
                <w:b w:val="0"/>
                <w:sz w:val="24"/>
                <w:lang w:val="fr-CA"/>
              </w:rPr>
              <w:t>8,2</w:t>
            </w:r>
          </w:p>
        </w:tc>
        <w:tc>
          <w:tcPr>
            <w:tcW w:w="1125" w:type="dxa"/>
            <w:tcBorders>
              <w:top w:val="single" w:sz="12" w:space="0" w:color="auto"/>
            </w:tcBorders>
            <w:shd w:val="clear" w:color="auto" w:fill="FFFFFF"/>
            <w:vAlign w:val="bottom"/>
          </w:tcPr>
          <w:p w:rsidR="003A3061" w:rsidRPr="00BB11AF" w:rsidRDefault="003A3061" w:rsidP="003A3061">
            <w:pPr>
              <w:tabs>
                <w:tab w:val="decimal" w:pos="530"/>
              </w:tabs>
              <w:spacing w:before="120" w:after="120"/>
              <w:ind w:firstLine="0"/>
              <w:jc w:val="both"/>
              <w:rPr>
                <w:sz w:val="24"/>
              </w:rPr>
            </w:pPr>
            <w:r w:rsidRPr="00BB11AF">
              <w:rPr>
                <w:sz w:val="24"/>
              </w:rPr>
              <w:t>10,8</w:t>
            </w:r>
          </w:p>
        </w:tc>
        <w:tc>
          <w:tcPr>
            <w:tcW w:w="1125" w:type="dxa"/>
            <w:tcBorders>
              <w:top w:val="single" w:sz="12" w:space="0" w:color="auto"/>
            </w:tcBorders>
            <w:shd w:val="clear" w:color="auto" w:fill="FFFFFF"/>
            <w:vAlign w:val="bottom"/>
          </w:tcPr>
          <w:p w:rsidR="003A3061" w:rsidRPr="00BB11AF" w:rsidRDefault="003A3061" w:rsidP="003A3061">
            <w:pPr>
              <w:tabs>
                <w:tab w:val="decimal" w:pos="530"/>
              </w:tabs>
              <w:spacing w:before="120" w:after="120"/>
              <w:ind w:firstLine="0"/>
              <w:jc w:val="both"/>
              <w:rPr>
                <w:sz w:val="24"/>
              </w:rPr>
            </w:pPr>
            <w:r w:rsidRPr="00BB11AF">
              <w:rPr>
                <w:sz w:val="24"/>
              </w:rPr>
              <w:t>10,5</w:t>
            </w:r>
          </w:p>
        </w:tc>
        <w:tc>
          <w:tcPr>
            <w:tcW w:w="1125" w:type="dxa"/>
            <w:tcBorders>
              <w:top w:val="single" w:sz="12" w:space="0" w:color="auto"/>
            </w:tcBorders>
            <w:shd w:val="clear" w:color="auto" w:fill="FFFFFF"/>
            <w:vAlign w:val="bottom"/>
          </w:tcPr>
          <w:p w:rsidR="003A3061" w:rsidRPr="00BB11AF" w:rsidRDefault="003A3061" w:rsidP="003A3061">
            <w:pPr>
              <w:tabs>
                <w:tab w:val="decimal" w:pos="530"/>
              </w:tabs>
              <w:spacing w:before="120" w:after="120"/>
              <w:ind w:firstLine="0"/>
              <w:jc w:val="both"/>
              <w:rPr>
                <w:sz w:val="24"/>
              </w:rPr>
            </w:pPr>
            <w:r w:rsidRPr="00BB11AF">
              <w:rPr>
                <w:sz w:val="24"/>
              </w:rPr>
              <w:t>11,6</w:t>
            </w:r>
          </w:p>
        </w:tc>
      </w:tr>
      <w:tr w:rsidR="003A3061" w:rsidRPr="00BB11AF">
        <w:tblPrEx>
          <w:tblCellMar>
            <w:top w:w="0" w:type="dxa"/>
            <w:bottom w:w="0" w:type="dxa"/>
          </w:tblCellMar>
        </w:tblPrEx>
        <w:tc>
          <w:tcPr>
            <w:tcW w:w="3420" w:type="dxa"/>
            <w:shd w:val="clear" w:color="auto" w:fill="FFFFFF"/>
            <w:vAlign w:val="center"/>
          </w:tcPr>
          <w:p w:rsidR="003A3061" w:rsidRPr="00BB11AF" w:rsidRDefault="003A3061" w:rsidP="003A3061">
            <w:pPr>
              <w:spacing w:before="120" w:after="120"/>
              <w:ind w:left="80" w:firstLine="0"/>
              <w:jc w:val="both"/>
              <w:rPr>
                <w:sz w:val="24"/>
              </w:rPr>
            </w:pPr>
            <w:r w:rsidRPr="00BB11AF">
              <w:rPr>
                <w:rStyle w:val="Corpsdutexte275ptGras"/>
                <w:b w:val="0"/>
                <w:sz w:val="24"/>
                <w:lang w:val="fr-CA"/>
              </w:rPr>
              <w:t>Taux de croi</w:t>
            </w:r>
            <w:r w:rsidRPr="00BB11AF">
              <w:rPr>
                <w:rStyle w:val="Corpsdutexte275ptGras"/>
                <w:b w:val="0"/>
                <w:sz w:val="24"/>
                <w:lang w:val="fr-CA"/>
              </w:rPr>
              <w:t>s</w:t>
            </w:r>
            <w:r w:rsidRPr="00BB11AF">
              <w:rPr>
                <w:rStyle w:val="Corpsdutexte275ptGras"/>
                <w:b w:val="0"/>
                <w:sz w:val="24"/>
                <w:lang w:val="fr-CA"/>
              </w:rPr>
              <w:t>sance (%)</w:t>
            </w:r>
          </w:p>
        </w:tc>
        <w:tc>
          <w:tcPr>
            <w:tcW w:w="1125" w:type="dxa"/>
            <w:shd w:val="clear" w:color="auto" w:fill="FFFFFF"/>
            <w:vAlign w:val="center"/>
          </w:tcPr>
          <w:p w:rsidR="003A3061" w:rsidRPr="00BB11AF" w:rsidRDefault="003A3061" w:rsidP="003A3061">
            <w:pPr>
              <w:tabs>
                <w:tab w:val="decimal" w:pos="530"/>
              </w:tabs>
              <w:spacing w:before="120" w:after="120"/>
              <w:ind w:firstLine="0"/>
              <w:jc w:val="both"/>
              <w:rPr>
                <w:sz w:val="24"/>
              </w:rPr>
            </w:pPr>
            <w:r w:rsidRPr="00BB11AF">
              <w:rPr>
                <w:rStyle w:val="Corpsdutexte275ptGras"/>
                <w:b w:val="0"/>
                <w:sz w:val="24"/>
                <w:lang w:val="fr-CA"/>
              </w:rPr>
              <w:t>13,2</w:t>
            </w:r>
          </w:p>
        </w:tc>
        <w:tc>
          <w:tcPr>
            <w:tcW w:w="1125" w:type="dxa"/>
            <w:shd w:val="clear" w:color="auto" w:fill="FFFFFF"/>
            <w:vAlign w:val="center"/>
          </w:tcPr>
          <w:p w:rsidR="003A3061" w:rsidRPr="00BB11AF" w:rsidRDefault="003A3061" w:rsidP="003A3061">
            <w:pPr>
              <w:tabs>
                <w:tab w:val="decimal" w:pos="530"/>
              </w:tabs>
              <w:spacing w:before="120" w:after="120"/>
              <w:ind w:firstLine="0"/>
              <w:jc w:val="both"/>
              <w:rPr>
                <w:sz w:val="24"/>
              </w:rPr>
            </w:pPr>
            <w:r w:rsidRPr="00BB11AF">
              <w:rPr>
                <w:rStyle w:val="Corpsdutexte275ptGras"/>
                <w:b w:val="0"/>
                <w:sz w:val="24"/>
                <w:lang w:val="fr-CA"/>
              </w:rPr>
              <w:t>21,5</w:t>
            </w:r>
          </w:p>
        </w:tc>
        <w:tc>
          <w:tcPr>
            <w:tcW w:w="1125" w:type="dxa"/>
            <w:shd w:val="clear" w:color="auto" w:fill="FFFFFF"/>
            <w:vAlign w:val="center"/>
          </w:tcPr>
          <w:p w:rsidR="003A3061" w:rsidRPr="00BB11AF" w:rsidRDefault="003A3061" w:rsidP="003A3061">
            <w:pPr>
              <w:tabs>
                <w:tab w:val="decimal" w:pos="530"/>
              </w:tabs>
              <w:spacing w:before="120" w:after="120"/>
              <w:ind w:firstLine="0"/>
              <w:jc w:val="both"/>
              <w:rPr>
                <w:sz w:val="24"/>
              </w:rPr>
            </w:pPr>
            <w:r w:rsidRPr="00BB11AF">
              <w:rPr>
                <w:rStyle w:val="Corpsdutexte275ptGras"/>
                <w:b w:val="0"/>
                <w:sz w:val="24"/>
                <w:lang w:val="fr-CA"/>
              </w:rPr>
              <w:t>1</w:t>
            </w:r>
            <w:r w:rsidRPr="00BB11AF">
              <w:rPr>
                <w:sz w:val="24"/>
              </w:rPr>
              <w:t>,3</w:t>
            </w:r>
          </w:p>
        </w:tc>
        <w:tc>
          <w:tcPr>
            <w:tcW w:w="1125" w:type="dxa"/>
            <w:shd w:val="clear" w:color="auto" w:fill="FFFFFF"/>
            <w:vAlign w:val="center"/>
          </w:tcPr>
          <w:p w:rsidR="003A3061" w:rsidRPr="00BB11AF" w:rsidRDefault="003A3061" w:rsidP="003A3061">
            <w:pPr>
              <w:tabs>
                <w:tab w:val="decimal" w:pos="530"/>
              </w:tabs>
              <w:spacing w:before="120" w:after="120"/>
              <w:ind w:firstLine="0"/>
              <w:jc w:val="both"/>
              <w:rPr>
                <w:sz w:val="24"/>
              </w:rPr>
            </w:pPr>
            <w:r w:rsidRPr="00BB11AF">
              <w:rPr>
                <w:rStyle w:val="Corpsdutexte275ptGras"/>
                <w:b w:val="0"/>
                <w:sz w:val="24"/>
                <w:lang w:val="fr-CA"/>
              </w:rPr>
              <w:t>12</w:t>
            </w:r>
          </w:p>
        </w:tc>
      </w:tr>
      <w:tr w:rsidR="003A3061" w:rsidRPr="00BB11AF">
        <w:tblPrEx>
          <w:tblCellMar>
            <w:top w:w="0" w:type="dxa"/>
            <w:bottom w:w="0" w:type="dxa"/>
          </w:tblCellMar>
        </w:tblPrEx>
        <w:tc>
          <w:tcPr>
            <w:tcW w:w="3420" w:type="dxa"/>
            <w:tcBorders>
              <w:bottom w:val="single" w:sz="12" w:space="0" w:color="auto"/>
            </w:tcBorders>
            <w:shd w:val="clear" w:color="auto" w:fill="FFFFFF"/>
            <w:vAlign w:val="center"/>
          </w:tcPr>
          <w:p w:rsidR="003A3061" w:rsidRPr="00BB11AF" w:rsidRDefault="003A3061" w:rsidP="003A3061">
            <w:pPr>
              <w:spacing w:before="120" w:after="120"/>
              <w:ind w:left="80" w:firstLine="0"/>
              <w:jc w:val="both"/>
              <w:rPr>
                <w:sz w:val="24"/>
              </w:rPr>
            </w:pPr>
            <w:r w:rsidRPr="00BB11AF">
              <w:rPr>
                <w:rStyle w:val="Corpsdutexte245ptItalique"/>
                <w:rFonts w:ascii="Times New Roman" w:hAnsi="Times New Roman"/>
                <w:sz w:val="24"/>
                <w:lang w:val="fr-CA"/>
              </w:rPr>
              <w:t>%</w:t>
            </w:r>
            <w:r w:rsidRPr="00BB11AF">
              <w:rPr>
                <w:rStyle w:val="Corpsdutexte275ptGras"/>
                <w:b w:val="0"/>
                <w:sz w:val="24"/>
                <w:lang w:val="fr-CA"/>
              </w:rPr>
              <w:t xml:space="preserve"> du PIB</w:t>
            </w:r>
          </w:p>
        </w:tc>
        <w:tc>
          <w:tcPr>
            <w:tcW w:w="1125" w:type="dxa"/>
            <w:tcBorders>
              <w:bottom w:val="single" w:sz="12" w:space="0" w:color="auto"/>
            </w:tcBorders>
            <w:shd w:val="clear" w:color="auto" w:fill="FFFFFF"/>
            <w:vAlign w:val="center"/>
          </w:tcPr>
          <w:p w:rsidR="003A3061" w:rsidRPr="00BB11AF" w:rsidRDefault="003A3061" w:rsidP="003A3061">
            <w:pPr>
              <w:tabs>
                <w:tab w:val="decimal" w:pos="530"/>
              </w:tabs>
              <w:spacing w:before="120" w:after="120"/>
              <w:ind w:firstLine="0"/>
              <w:jc w:val="both"/>
              <w:rPr>
                <w:sz w:val="24"/>
              </w:rPr>
            </w:pPr>
            <w:r w:rsidRPr="00BB11AF">
              <w:rPr>
                <w:sz w:val="24"/>
              </w:rPr>
              <w:t>3,5</w:t>
            </w:r>
          </w:p>
        </w:tc>
        <w:tc>
          <w:tcPr>
            <w:tcW w:w="1125" w:type="dxa"/>
            <w:tcBorders>
              <w:bottom w:val="single" w:sz="12" w:space="0" w:color="auto"/>
            </w:tcBorders>
            <w:shd w:val="clear" w:color="auto" w:fill="FFFFFF"/>
          </w:tcPr>
          <w:p w:rsidR="003A3061" w:rsidRPr="00BB11AF" w:rsidRDefault="003A3061" w:rsidP="003A3061">
            <w:pPr>
              <w:tabs>
                <w:tab w:val="decimal" w:pos="530"/>
              </w:tabs>
              <w:spacing w:before="120" w:after="120"/>
              <w:ind w:firstLine="0"/>
              <w:jc w:val="both"/>
              <w:rPr>
                <w:sz w:val="24"/>
                <w:szCs w:val="10"/>
              </w:rPr>
            </w:pPr>
            <w:r w:rsidRPr="00BB11AF">
              <w:rPr>
                <w:sz w:val="24"/>
                <w:szCs w:val="10"/>
              </w:rPr>
              <w:t>4,1</w:t>
            </w:r>
          </w:p>
        </w:tc>
        <w:tc>
          <w:tcPr>
            <w:tcW w:w="1125" w:type="dxa"/>
            <w:tcBorders>
              <w:bottom w:val="single" w:sz="12" w:space="0" w:color="auto"/>
            </w:tcBorders>
            <w:shd w:val="clear" w:color="auto" w:fill="FFFFFF"/>
            <w:vAlign w:val="center"/>
          </w:tcPr>
          <w:p w:rsidR="003A3061" w:rsidRPr="00BB11AF" w:rsidRDefault="003A3061" w:rsidP="003A3061">
            <w:pPr>
              <w:tabs>
                <w:tab w:val="decimal" w:pos="530"/>
              </w:tabs>
              <w:spacing w:before="120" w:after="120"/>
              <w:ind w:firstLine="0"/>
              <w:jc w:val="both"/>
              <w:rPr>
                <w:sz w:val="24"/>
              </w:rPr>
            </w:pPr>
            <w:r w:rsidRPr="00BB11AF">
              <w:rPr>
                <w:sz w:val="24"/>
              </w:rPr>
              <w:t>4,0</w:t>
            </w:r>
          </w:p>
        </w:tc>
        <w:tc>
          <w:tcPr>
            <w:tcW w:w="1125" w:type="dxa"/>
            <w:tcBorders>
              <w:bottom w:val="single" w:sz="12" w:space="0" w:color="auto"/>
            </w:tcBorders>
            <w:shd w:val="clear" w:color="auto" w:fill="FFFFFF"/>
            <w:vAlign w:val="center"/>
          </w:tcPr>
          <w:p w:rsidR="003A3061" w:rsidRPr="00BB11AF" w:rsidRDefault="003A3061" w:rsidP="003A3061">
            <w:pPr>
              <w:tabs>
                <w:tab w:val="decimal" w:pos="530"/>
              </w:tabs>
              <w:spacing w:before="120" w:after="120"/>
              <w:ind w:firstLine="0"/>
              <w:jc w:val="both"/>
              <w:rPr>
                <w:sz w:val="24"/>
              </w:rPr>
            </w:pPr>
            <w:r w:rsidRPr="00BB11AF">
              <w:rPr>
                <w:sz w:val="24"/>
              </w:rPr>
              <w:t>9</w:t>
            </w:r>
          </w:p>
        </w:tc>
      </w:tr>
    </w:tbl>
    <w:p w:rsidR="003A3061" w:rsidRPr="00BB11AF" w:rsidRDefault="003A3061" w:rsidP="003A3061">
      <w:pPr>
        <w:spacing w:before="120" w:after="120"/>
        <w:jc w:val="both"/>
        <w:rPr>
          <w:sz w:val="24"/>
        </w:rPr>
      </w:pPr>
      <w:r w:rsidRPr="00BB11AF">
        <w:rPr>
          <w:sz w:val="24"/>
        </w:rPr>
        <w:t xml:space="preserve">Source : Alex Bank </w:t>
      </w:r>
      <w:r w:rsidRPr="00BB11AF">
        <w:rPr>
          <w:rStyle w:val="LgendedutableauTimesNewRomanGras"/>
          <w:rFonts w:eastAsia="Arial"/>
          <w:b w:val="0"/>
          <w:sz w:val="24"/>
          <w:lang w:val="fr-CA"/>
        </w:rPr>
        <w:t>2010</w:t>
      </w:r>
      <w:r w:rsidRPr="00BB11AF">
        <w:rPr>
          <w:sz w:val="24"/>
        </w:rPr>
        <w:t> :</w:t>
      </w:r>
      <w:r w:rsidRPr="00BB11AF">
        <w:rPr>
          <w:rStyle w:val="LgendedutableauTimesNewRomanGras"/>
          <w:rFonts w:eastAsia="Arial"/>
          <w:b w:val="0"/>
          <w:sz w:val="24"/>
          <w:lang w:val="fr-CA"/>
        </w:rPr>
        <w:t>5</w:t>
      </w:r>
      <w:r w:rsidRPr="00BB11AF">
        <w:rPr>
          <w:sz w:val="24"/>
        </w:rPr>
        <w:t>.</w:t>
      </w:r>
    </w:p>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jc w:val="both"/>
      </w:pPr>
      <w:r w:rsidRPr="00BB11AF">
        <w:t>Les hydrocarbures sont une autre source importante de revenus pour l'Égypte. Pétrole brut et gaz naturel représentent 44,8% des e</w:t>
      </w:r>
      <w:r w:rsidRPr="00BB11AF">
        <w:t>x</w:t>
      </w:r>
      <w:r w:rsidRPr="00BB11AF">
        <w:t>port</w:t>
      </w:r>
      <w:r w:rsidRPr="00BB11AF">
        <w:t>a</w:t>
      </w:r>
      <w:r w:rsidRPr="00BB11AF">
        <w:t>tions totales et le secteur énergétique</w:t>
      </w:r>
      <w:r>
        <w:t xml:space="preserve"> </w:t>
      </w:r>
      <w:r w:rsidRPr="00BB11AF">
        <w:t>-</w:t>
      </w:r>
      <w:r>
        <w:t xml:space="preserve"> </w:t>
      </w:r>
      <w:r w:rsidRPr="00BB11AF">
        <w:t>extraction et raffinage compris</w:t>
      </w:r>
      <w:r>
        <w:t xml:space="preserve"> </w:t>
      </w:r>
      <w:r w:rsidRPr="00BB11AF">
        <w:t>-</w:t>
      </w:r>
      <w:r>
        <w:t xml:space="preserve"> </w:t>
      </w:r>
      <w:r w:rsidRPr="00BB11AF">
        <w:t>est à l'origine de 15,5% du PIB nominal (Blominvest Bank 2010 : 21). L'Égypte est le premier centre de raffinage en Afrique. Mettant fin au troisième boom pétrolier, les cours du pétrole comme</w:t>
      </w:r>
      <w:r w:rsidRPr="00BB11AF">
        <w:t>n</w:t>
      </w:r>
      <w:r w:rsidRPr="00BB11AF">
        <w:t>cent à baisser durant l'été 2008. D'un pic record de 147 $US en juillet 2008, le prix du baril ch</w:t>
      </w:r>
      <w:r w:rsidRPr="00BB11AF">
        <w:t>u</w:t>
      </w:r>
      <w:r w:rsidRPr="00BB11AF">
        <w:t>te à 100 $ US en septembre, puis s'effondre à 40 $ US en décembre ; il se maintient à 39 $US en février 2009 (Ma</w:t>
      </w:r>
      <w:r w:rsidRPr="00BB11AF">
        <w:t>n</w:t>
      </w:r>
      <w:r w:rsidRPr="00BB11AF">
        <w:t>sour 2011 : 9 ; Habibi 2009 : 3 ; Orozco et Lesaca 2009 : 5). Il est r</w:t>
      </w:r>
      <w:r w:rsidRPr="00BB11AF">
        <w:t>e</w:t>
      </w:r>
      <w:r w:rsidRPr="00BB11AF">
        <w:t>marquable que les revenus pétroliers de l'Égypte n'aient pas subi une telle dégri</w:t>
      </w:r>
      <w:r w:rsidRPr="00BB11AF">
        <w:t>n</w:t>
      </w:r>
      <w:r w:rsidRPr="00BB11AF">
        <w:t>golade ; de 10,1 milliards de $ US en 2008, ils sont de 8,6 milliards de $ US en 2009 (Rady 2010 : 129).</w:t>
      </w:r>
    </w:p>
    <w:p w:rsidR="003A3061" w:rsidRPr="00BB11AF" w:rsidRDefault="003A3061" w:rsidP="003A3061">
      <w:pPr>
        <w:spacing w:before="120" w:after="120"/>
        <w:jc w:val="both"/>
      </w:pPr>
      <w:r w:rsidRPr="00BB11AF">
        <w:t>Les effets de la débandade pétrolière atteignent l'Égypte indirect</w:t>
      </w:r>
      <w:r w:rsidRPr="00BB11AF">
        <w:t>e</w:t>
      </w:r>
      <w:r w:rsidRPr="00BB11AF">
        <w:t>ment, par le biais de la diminution des remises par les travailleurs égyptiens à l'étranger. Sur ce plan, le coup est double. D'une part, les deux cinquièmes des remises proviennent des États-Unis, enfoncés dans la récession. D'autre part, la moitié de ces remises émane des tr</w:t>
      </w:r>
      <w:r w:rsidRPr="00BB11AF">
        <w:t>a</w:t>
      </w:r>
      <w:r w:rsidRPr="00BB11AF">
        <w:t>vailleurs égyptiens dans les pays du Golfe qui sont eux aussi frappés par la baisse des prix des h</w:t>
      </w:r>
      <w:r w:rsidRPr="00BB11AF">
        <w:t>y</w:t>
      </w:r>
      <w:r w:rsidRPr="00BB11AF">
        <w:t>drocarbures et qui licencient en masse des salariés ; ceux-ci reviendront en . Égypte grossir les rangs des ch</w:t>
      </w:r>
      <w:r w:rsidRPr="00BB11AF">
        <w:t>ô</w:t>
      </w:r>
      <w:r w:rsidRPr="00BB11AF">
        <w:t>meurs (Abu H</w:t>
      </w:r>
      <w:r w:rsidRPr="00BB11AF">
        <w:t>a</w:t>
      </w:r>
      <w:r w:rsidRPr="00BB11AF">
        <w:t>tab 2009 : 12-13 ; Islam 2009 : 9). Concomitantes à la phase expansive de l'économie mondiale et au boom pétrolier, les r</w:t>
      </w:r>
      <w:r w:rsidRPr="00BB11AF">
        <w:t>e</w:t>
      </w:r>
      <w:r w:rsidRPr="00BB11AF">
        <w:t>mises triplent entre 2001 et 2008. Elles entament ensuite une bai</w:t>
      </w:r>
      <w:r w:rsidRPr="00BB11AF">
        <w:t>s</w:t>
      </w:r>
      <w:r w:rsidRPr="00BB11AF">
        <w:t>se, passant de 8,6 milliards de $ US en 2008 à 7,8 milliards en 2009 (R</w:t>
      </w:r>
      <w:r w:rsidRPr="00BB11AF">
        <w:t>a</w:t>
      </w:r>
      <w:r w:rsidRPr="00BB11AF">
        <w:t>dy 2010 : 129).</w:t>
      </w:r>
    </w:p>
    <w:p w:rsidR="003A3061" w:rsidRPr="00BB11AF" w:rsidRDefault="003A3061" w:rsidP="003A3061">
      <w:pPr>
        <w:spacing w:before="120" w:after="120"/>
        <w:jc w:val="both"/>
      </w:pPr>
      <w:r w:rsidRPr="00BB11AF">
        <w:t>Tributaire aussi de l'atonie du commerce international et de l'éc</w:t>
      </w:r>
      <w:r w:rsidRPr="00BB11AF">
        <w:t>o</w:t>
      </w:r>
      <w:r w:rsidRPr="00BB11AF">
        <w:t>nomie mondiale, le canal de Suez est moins fréquenté. Se comprimant de 8,4% en 2008 et 2009, ses recettes connaissent une décrue pour la première fois en 4 ans (Central Bank of Egypt 2009b : 51). De 2008 à 2009, la circulation recule de 19,6%, le tonnage de 19,3% (Mansour 2011 :7).</w:t>
      </w:r>
    </w:p>
    <w:p w:rsidR="003A3061" w:rsidRPr="00BB11AF" w:rsidRDefault="003A3061" w:rsidP="003A3061">
      <w:pPr>
        <w:spacing w:before="120" w:after="120"/>
        <w:jc w:val="both"/>
      </w:pPr>
      <w:r w:rsidRPr="00BB11AF">
        <w:br w:type="page"/>
        <w:t>[60]</w:t>
      </w:r>
    </w:p>
    <w:p w:rsidR="003A3061" w:rsidRPr="00BB11AF" w:rsidRDefault="003A3061" w:rsidP="003A3061">
      <w:pPr>
        <w:spacing w:before="120" w:after="120"/>
        <w:ind w:firstLine="0"/>
        <w:jc w:val="center"/>
        <w:rPr>
          <w:b/>
          <w:bCs/>
          <w:sz w:val="24"/>
          <w:szCs w:val="24"/>
        </w:rPr>
      </w:pPr>
      <w:r w:rsidRPr="00BB11AF">
        <w:rPr>
          <w:b/>
          <w:bCs/>
          <w:sz w:val="24"/>
          <w:szCs w:val="24"/>
        </w:rPr>
        <w:t>Tableau 10.</w:t>
      </w:r>
      <w:r w:rsidRPr="00BB11AF">
        <w:rPr>
          <w:b/>
          <w:bCs/>
          <w:sz w:val="24"/>
          <w:szCs w:val="24"/>
        </w:rPr>
        <w:br/>
        <w:t>Données sur le trafic du canal de Suez pour le mois de février</w:t>
      </w:r>
      <w:r w:rsidRPr="00BB11AF">
        <w:rPr>
          <w:b/>
          <w:bCs/>
          <w:sz w:val="24"/>
          <w:szCs w:val="24"/>
        </w:rPr>
        <w:br/>
        <w:t>(2007, 2008, 2009)</w:t>
      </w:r>
    </w:p>
    <w:tbl>
      <w:tblPr>
        <w:tblOverlap w:val="never"/>
        <w:tblW w:w="0" w:type="auto"/>
        <w:tblLayout w:type="fixed"/>
        <w:tblCellMar>
          <w:left w:w="10" w:type="dxa"/>
          <w:right w:w="10" w:type="dxa"/>
        </w:tblCellMar>
        <w:tblLook w:val="04A0" w:firstRow="1" w:lastRow="0" w:firstColumn="1" w:lastColumn="0" w:noHBand="0" w:noVBand="1"/>
      </w:tblPr>
      <w:tblGrid>
        <w:gridCol w:w="3610"/>
        <w:gridCol w:w="863"/>
        <w:gridCol w:w="863"/>
        <w:gridCol w:w="863"/>
        <w:gridCol w:w="863"/>
        <w:gridCol w:w="864"/>
      </w:tblGrid>
      <w:tr w:rsidR="003A3061" w:rsidRPr="00BB11AF">
        <w:tblPrEx>
          <w:tblCellMar>
            <w:top w:w="0" w:type="dxa"/>
            <w:bottom w:w="0" w:type="dxa"/>
          </w:tblCellMar>
        </w:tblPrEx>
        <w:tc>
          <w:tcPr>
            <w:tcW w:w="3610" w:type="dxa"/>
            <w:tcBorders>
              <w:top w:val="single" w:sz="4" w:space="0" w:color="auto"/>
            </w:tcBorders>
            <w:shd w:val="clear" w:color="auto" w:fill="EAF1DD"/>
          </w:tcPr>
          <w:p w:rsidR="003A3061" w:rsidRPr="00BB11AF" w:rsidRDefault="003A3061" w:rsidP="003A3061">
            <w:pPr>
              <w:spacing w:before="120" w:after="120"/>
              <w:ind w:left="90" w:firstLine="0"/>
              <w:jc w:val="both"/>
              <w:rPr>
                <w:sz w:val="24"/>
                <w:szCs w:val="10"/>
              </w:rPr>
            </w:pPr>
          </w:p>
        </w:tc>
        <w:tc>
          <w:tcPr>
            <w:tcW w:w="863" w:type="dxa"/>
            <w:tcBorders>
              <w:top w:val="single" w:sz="4" w:space="0" w:color="auto"/>
            </w:tcBorders>
            <w:shd w:val="clear" w:color="auto" w:fill="EAF1DD"/>
            <w:vAlign w:val="center"/>
          </w:tcPr>
          <w:p w:rsidR="003A3061" w:rsidRPr="00BB11AF" w:rsidRDefault="003A3061" w:rsidP="003A3061">
            <w:pPr>
              <w:spacing w:before="120" w:after="120"/>
              <w:ind w:firstLine="0"/>
              <w:jc w:val="center"/>
              <w:rPr>
                <w:sz w:val="24"/>
              </w:rPr>
            </w:pPr>
            <w:r w:rsidRPr="00BB11AF">
              <w:rPr>
                <w:rStyle w:val="Corpsdutexte275ptGras"/>
                <w:b w:val="0"/>
                <w:sz w:val="24"/>
                <w:lang w:val="fr-CA"/>
              </w:rPr>
              <w:t>F</w:t>
            </w:r>
            <w:r w:rsidRPr="00BB11AF">
              <w:rPr>
                <w:rStyle w:val="Corpsdutexte275ptGras"/>
                <w:b w:val="0"/>
                <w:sz w:val="24"/>
                <w:lang w:val="fr-CA"/>
              </w:rPr>
              <w:t>é</w:t>
            </w:r>
            <w:r w:rsidRPr="00BB11AF">
              <w:rPr>
                <w:rStyle w:val="Corpsdutexte275ptGras"/>
                <w:b w:val="0"/>
                <w:sz w:val="24"/>
                <w:lang w:val="fr-CA"/>
              </w:rPr>
              <w:t>vrier</w:t>
            </w:r>
            <w:r w:rsidRPr="00BB11AF">
              <w:rPr>
                <w:rStyle w:val="Corpsdutexte275ptGras"/>
                <w:b w:val="0"/>
                <w:sz w:val="24"/>
                <w:lang w:val="fr-CA"/>
              </w:rPr>
              <w:br/>
              <w:t>2007</w:t>
            </w:r>
          </w:p>
        </w:tc>
        <w:tc>
          <w:tcPr>
            <w:tcW w:w="863" w:type="dxa"/>
            <w:tcBorders>
              <w:top w:val="single" w:sz="4" w:space="0" w:color="auto"/>
            </w:tcBorders>
            <w:shd w:val="clear" w:color="auto" w:fill="EAF1DD"/>
            <w:vAlign w:val="center"/>
          </w:tcPr>
          <w:p w:rsidR="003A3061" w:rsidRPr="00BB11AF" w:rsidRDefault="003A3061" w:rsidP="003A3061">
            <w:pPr>
              <w:spacing w:before="120" w:after="120"/>
              <w:ind w:firstLine="0"/>
              <w:jc w:val="center"/>
              <w:rPr>
                <w:sz w:val="24"/>
              </w:rPr>
            </w:pPr>
            <w:r w:rsidRPr="00BB11AF">
              <w:rPr>
                <w:rStyle w:val="Corpsdutexte275ptGras"/>
                <w:b w:val="0"/>
                <w:sz w:val="24"/>
                <w:lang w:val="fr-CA"/>
              </w:rPr>
              <w:t>F</w:t>
            </w:r>
            <w:r w:rsidRPr="00BB11AF">
              <w:rPr>
                <w:rStyle w:val="Corpsdutexte275ptGras"/>
                <w:b w:val="0"/>
                <w:sz w:val="24"/>
                <w:lang w:val="fr-CA"/>
              </w:rPr>
              <w:t>é</w:t>
            </w:r>
            <w:r w:rsidRPr="00BB11AF">
              <w:rPr>
                <w:rStyle w:val="Corpsdutexte275ptGras"/>
                <w:b w:val="0"/>
                <w:sz w:val="24"/>
                <w:lang w:val="fr-CA"/>
              </w:rPr>
              <w:t>vrier</w:t>
            </w:r>
            <w:r w:rsidRPr="00BB11AF">
              <w:rPr>
                <w:rStyle w:val="Corpsdutexte275ptGras"/>
                <w:b w:val="0"/>
                <w:sz w:val="24"/>
                <w:lang w:val="fr-CA"/>
              </w:rPr>
              <w:br/>
              <w:t>2008</w:t>
            </w:r>
          </w:p>
        </w:tc>
        <w:tc>
          <w:tcPr>
            <w:tcW w:w="863" w:type="dxa"/>
            <w:tcBorders>
              <w:top w:val="single" w:sz="4" w:space="0" w:color="auto"/>
            </w:tcBorders>
            <w:shd w:val="clear" w:color="auto" w:fill="EAF1DD"/>
            <w:vAlign w:val="center"/>
          </w:tcPr>
          <w:p w:rsidR="003A3061" w:rsidRPr="00BB11AF" w:rsidRDefault="003A3061" w:rsidP="003A3061">
            <w:pPr>
              <w:spacing w:before="120" w:after="120"/>
              <w:ind w:firstLine="0"/>
              <w:jc w:val="center"/>
              <w:rPr>
                <w:sz w:val="24"/>
              </w:rPr>
            </w:pPr>
            <w:r w:rsidRPr="00BB11AF">
              <w:rPr>
                <w:rStyle w:val="Corpsdutexte275ptGras"/>
                <w:b w:val="0"/>
                <w:sz w:val="24"/>
                <w:lang w:val="fr-CA"/>
              </w:rPr>
              <w:t>%</w:t>
            </w:r>
          </w:p>
        </w:tc>
        <w:tc>
          <w:tcPr>
            <w:tcW w:w="863" w:type="dxa"/>
            <w:tcBorders>
              <w:top w:val="single" w:sz="4" w:space="0" w:color="auto"/>
            </w:tcBorders>
            <w:shd w:val="clear" w:color="auto" w:fill="EAF1DD"/>
            <w:vAlign w:val="center"/>
          </w:tcPr>
          <w:p w:rsidR="003A3061" w:rsidRPr="00BB11AF" w:rsidRDefault="003A3061" w:rsidP="003A3061">
            <w:pPr>
              <w:spacing w:before="120" w:after="120"/>
              <w:ind w:firstLine="0"/>
              <w:jc w:val="center"/>
              <w:rPr>
                <w:sz w:val="24"/>
              </w:rPr>
            </w:pPr>
            <w:r w:rsidRPr="00BB11AF">
              <w:rPr>
                <w:rStyle w:val="Corpsdutexte275ptGras"/>
                <w:b w:val="0"/>
                <w:sz w:val="24"/>
                <w:lang w:val="fr-CA"/>
              </w:rPr>
              <w:t>F</w:t>
            </w:r>
            <w:r w:rsidRPr="00BB11AF">
              <w:rPr>
                <w:rStyle w:val="Corpsdutexte275ptGras"/>
                <w:b w:val="0"/>
                <w:sz w:val="24"/>
                <w:lang w:val="fr-CA"/>
              </w:rPr>
              <w:t>é</w:t>
            </w:r>
            <w:r w:rsidRPr="00BB11AF">
              <w:rPr>
                <w:rStyle w:val="Corpsdutexte275ptGras"/>
                <w:b w:val="0"/>
                <w:sz w:val="24"/>
                <w:lang w:val="fr-CA"/>
              </w:rPr>
              <w:t>vrier</w:t>
            </w:r>
            <w:r w:rsidRPr="00BB11AF">
              <w:rPr>
                <w:rStyle w:val="Corpsdutexte275ptGras"/>
                <w:b w:val="0"/>
                <w:sz w:val="24"/>
                <w:lang w:val="fr-CA"/>
              </w:rPr>
              <w:br/>
              <w:t>2009</w:t>
            </w:r>
          </w:p>
        </w:tc>
        <w:tc>
          <w:tcPr>
            <w:tcW w:w="864" w:type="dxa"/>
            <w:tcBorders>
              <w:top w:val="single" w:sz="4" w:space="0" w:color="auto"/>
            </w:tcBorders>
            <w:shd w:val="clear" w:color="auto" w:fill="EAF1DD"/>
            <w:vAlign w:val="center"/>
          </w:tcPr>
          <w:p w:rsidR="003A3061" w:rsidRPr="00BB11AF" w:rsidRDefault="003A3061" w:rsidP="003A3061">
            <w:pPr>
              <w:spacing w:before="120" w:after="120"/>
              <w:ind w:firstLine="0"/>
              <w:jc w:val="center"/>
              <w:rPr>
                <w:sz w:val="24"/>
              </w:rPr>
            </w:pPr>
            <w:r w:rsidRPr="00BB11AF">
              <w:rPr>
                <w:rStyle w:val="Corpsdutexte275ptGras"/>
                <w:b w:val="0"/>
                <w:sz w:val="24"/>
                <w:lang w:val="fr-CA"/>
              </w:rPr>
              <w:t>%</w:t>
            </w:r>
          </w:p>
        </w:tc>
      </w:tr>
      <w:tr w:rsidR="003A3061" w:rsidRPr="00BB11AF">
        <w:tblPrEx>
          <w:tblCellMar>
            <w:top w:w="0" w:type="dxa"/>
            <w:bottom w:w="0" w:type="dxa"/>
          </w:tblCellMar>
        </w:tblPrEx>
        <w:tc>
          <w:tcPr>
            <w:tcW w:w="3610" w:type="dxa"/>
            <w:tcBorders>
              <w:top w:val="single" w:sz="4" w:space="0" w:color="auto"/>
            </w:tcBorders>
            <w:shd w:val="clear" w:color="auto" w:fill="FFFFFF"/>
            <w:vAlign w:val="center"/>
          </w:tcPr>
          <w:p w:rsidR="003A3061" w:rsidRPr="00BB11AF" w:rsidRDefault="003A3061" w:rsidP="003A3061">
            <w:pPr>
              <w:spacing w:before="120" w:after="120"/>
              <w:ind w:left="90" w:firstLine="0"/>
              <w:jc w:val="both"/>
              <w:rPr>
                <w:sz w:val="24"/>
              </w:rPr>
            </w:pPr>
            <w:r w:rsidRPr="00BB11AF">
              <w:rPr>
                <w:rStyle w:val="Corpsdutexte27ptGras"/>
                <w:rFonts w:ascii="Times New Roman" w:hAnsi="Times New Roman"/>
                <w:b w:val="0"/>
                <w:sz w:val="24"/>
                <w:lang w:val="fr-CA"/>
              </w:rPr>
              <w:t>Nombre de transits</w:t>
            </w:r>
          </w:p>
        </w:tc>
        <w:tc>
          <w:tcPr>
            <w:tcW w:w="863" w:type="dxa"/>
            <w:tcBorders>
              <w:top w:val="single" w:sz="4" w:space="0" w:color="auto"/>
            </w:tcBorders>
            <w:shd w:val="clear" w:color="auto" w:fill="FFFFFF"/>
            <w:vAlign w:val="center"/>
          </w:tcPr>
          <w:p w:rsidR="003A3061" w:rsidRPr="00BB11AF" w:rsidRDefault="003A3061" w:rsidP="003A3061">
            <w:pPr>
              <w:spacing w:before="120" w:after="120"/>
              <w:ind w:firstLine="0"/>
              <w:jc w:val="right"/>
              <w:rPr>
                <w:sz w:val="24"/>
              </w:rPr>
            </w:pPr>
            <w:r w:rsidRPr="00BB11AF">
              <w:rPr>
                <w:rStyle w:val="Corpsdutexte275ptGras"/>
                <w:b w:val="0"/>
                <w:sz w:val="24"/>
                <w:lang w:val="fr-CA"/>
              </w:rPr>
              <w:t>1511</w:t>
            </w:r>
          </w:p>
        </w:tc>
        <w:tc>
          <w:tcPr>
            <w:tcW w:w="863" w:type="dxa"/>
            <w:tcBorders>
              <w:top w:val="single" w:sz="4" w:space="0" w:color="auto"/>
            </w:tcBorders>
            <w:shd w:val="clear" w:color="auto" w:fill="FFFFFF"/>
            <w:vAlign w:val="center"/>
          </w:tcPr>
          <w:p w:rsidR="003A3061" w:rsidRPr="00BB11AF" w:rsidRDefault="003A3061" w:rsidP="003A3061">
            <w:pPr>
              <w:spacing w:before="120" w:after="120"/>
              <w:ind w:firstLine="0"/>
              <w:jc w:val="right"/>
              <w:rPr>
                <w:sz w:val="24"/>
              </w:rPr>
            </w:pPr>
            <w:r w:rsidRPr="00BB11AF">
              <w:rPr>
                <w:rStyle w:val="Corpsdutexte275ptGras"/>
                <w:b w:val="0"/>
                <w:sz w:val="24"/>
                <w:lang w:val="fr-CA"/>
              </w:rPr>
              <w:t>1676</w:t>
            </w:r>
          </w:p>
        </w:tc>
        <w:tc>
          <w:tcPr>
            <w:tcW w:w="863" w:type="dxa"/>
            <w:tcBorders>
              <w:top w:val="single" w:sz="4" w:space="0" w:color="auto"/>
            </w:tcBorders>
            <w:shd w:val="clear" w:color="auto" w:fill="FFFFFF"/>
            <w:vAlign w:val="center"/>
          </w:tcPr>
          <w:p w:rsidR="003A3061" w:rsidRPr="00BB11AF" w:rsidRDefault="003A3061" w:rsidP="003A3061">
            <w:pPr>
              <w:spacing w:before="120" w:after="120"/>
              <w:ind w:firstLine="0"/>
              <w:jc w:val="right"/>
              <w:rPr>
                <w:sz w:val="24"/>
              </w:rPr>
            </w:pPr>
            <w:r w:rsidRPr="00BB11AF">
              <w:rPr>
                <w:rStyle w:val="Corpsdutexte275ptGras"/>
                <w:b w:val="0"/>
                <w:sz w:val="24"/>
                <w:lang w:val="fr-CA"/>
              </w:rPr>
              <w:t>10,9</w:t>
            </w:r>
          </w:p>
        </w:tc>
        <w:tc>
          <w:tcPr>
            <w:tcW w:w="863" w:type="dxa"/>
            <w:tcBorders>
              <w:top w:val="single" w:sz="4" w:space="0" w:color="auto"/>
            </w:tcBorders>
            <w:shd w:val="clear" w:color="auto" w:fill="FFFFFF"/>
            <w:vAlign w:val="center"/>
          </w:tcPr>
          <w:p w:rsidR="003A3061" w:rsidRPr="00BB11AF" w:rsidRDefault="003A3061" w:rsidP="003A3061">
            <w:pPr>
              <w:spacing w:before="120" w:after="120"/>
              <w:ind w:firstLine="0"/>
              <w:jc w:val="right"/>
              <w:rPr>
                <w:sz w:val="24"/>
              </w:rPr>
            </w:pPr>
            <w:r w:rsidRPr="00BB11AF">
              <w:rPr>
                <w:rStyle w:val="Corpsdutexte275ptGras"/>
                <w:b w:val="0"/>
                <w:sz w:val="24"/>
                <w:lang w:val="fr-CA"/>
              </w:rPr>
              <w:t>1272</w:t>
            </w:r>
          </w:p>
        </w:tc>
        <w:tc>
          <w:tcPr>
            <w:tcW w:w="864" w:type="dxa"/>
            <w:tcBorders>
              <w:top w:val="single" w:sz="4" w:space="0" w:color="auto"/>
            </w:tcBorders>
            <w:shd w:val="clear" w:color="auto" w:fill="FFFFFF"/>
            <w:vAlign w:val="center"/>
          </w:tcPr>
          <w:p w:rsidR="003A3061" w:rsidRPr="00BB11AF" w:rsidRDefault="003A3061" w:rsidP="003A3061">
            <w:pPr>
              <w:spacing w:before="120" w:after="120"/>
              <w:ind w:firstLine="0"/>
              <w:jc w:val="right"/>
              <w:rPr>
                <w:sz w:val="24"/>
              </w:rPr>
            </w:pPr>
            <w:r w:rsidRPr="00BB11AF">
              <w:rPr>
                <w:rStyle w:val="Corpsdutexte275ptGras"/>
                <w:b w:val="0"/>
                <w:sz w:val="24"/>
                <w:lang w:val="fr-CA"/>
              </w:rPr>
              <w:t>-24,2</w:t>
            </w:r>
          </w:p>
        </w:tc>
      </w:tr>
      <w:tr w:rsidR="003A3061" w:rsidRPr="00BB11AF">
        <w:tblPrEx>
          <w:tblCellMar>
            <w:top w:w="0" w:type="dxa"/>
            <w:bottom w:w="0" w:type="dxa"/>
          </w:tblCellMar>
        </w:tblPrEx>
        <w:tc>
          <w:tcPr>
            <w:tcW w:w="3610" w:type="dxa"/>
            <w:tcBorders>
              <w:top w:val="single" w:sz="4" w:space="0" w:color="auto"/>
            </w:tcBorders>
            <w:shd w:val="clear" w:color="auto" w:fill="FFFFFF"/>
            <w:vAlign w:val="bottom"/>
          </w:tcPr>
          <w:p w:rsidR="003A3061" w:rsidRPr="00BB11AF" w:rsidRDefault="003A3061" w:rsidP="003A3061">
            <w:pPr>
              <w:spacing w:before="120" w:after="120"/>
              <w:ind w:left="90" w:firstLine="0"/>
              <w:jc w:val="both"/>
              <w:rPr>
                <w:sz w:val="24"/>
              </w:rPr>
            </w:pPr>
            <w:r w:rsidRPr="00BB11AF">
              <w:rPr>
                <w:rStyle w:val="Corpsdutexte275ptGras"/>
                <w:b w:val="0"/>
                <w:sz w:val="24"/>
                <w:lang w:val="fr-CA"/>
              </w:rPr>
              <w:t>Tonnage net (milliards de to</w:t>
            </w:r>
            <w:r w:rsidRPr="00BB11AF">
              <w:rPr>
                <w:rStyle w:val="Corpsdutexte275ptGras"/>
                <w:b w:val="0"/>
                <w:sz w:val="24"/>
                <w:lang w:val="fr-CA"/>
              </w:rPr>
              <w:t>n</w:t>
            </w:r>
            <w:r w:rsidRPr="00BB11AF">
              <w:rPr>
                <w:rStyle w:val="Corpsdutexte275ptGras"/>
                <w:b w:val="0"/>
                <w:sz w:val="24"/>
                <w:lang w:val="fr-CA"/>
              </w:rPr>
              <w:t>nes)</w:t>
            </w:r>
          </w:p>
        </w:tc>
        <w:tc>
          <w:tcPr>
            <w:tcW w:w="863" w:type="dxa"/>
            <w:shd w:val="clear" w:color="auto" w:fill="FFFFFF"/>
            <w:vAlign w:val="bottom"/>
          </w:tcPr>
          <w:p w:rsidR="003A3061" w:rsidRPr="00BB11AF" w:rsidRDefault="003A3061" w:rsidP="003A3061">
            <w:pPr>
              <w:spacing w:before="120" w:after="120"/>
              <w:ind w:firstLine="0"/>
              <w:jc w:val="right"/>
              <w:rPr>
                <w:sz w:val="24"/>
              </w:rPr>
            </w:pPr>
            <w:r w:rsidRPr="00BB11AF">
              <w:rPr>
                <w:rStyle w:val="Corpsdutexte275ptGras"/>
                <w:b w:val="0"/>
                <w:sz w:val="24"/>
                <w:lang w:val="fr-CA"/>
              </w:rPr>
              <w:t>63,</w:t>
            </w:r>
            <w:r>
              <w:rPr>
                <w:rStyle w:val="Corpsdutexte275ptGras"/>
                <w:b w:val="0"/>
                <w:sz w:val="24"/>
                <w:lang w:val="fr-CA"/>
              </w:rPr>
              <w:t>4</w:t>
            </w:r>
          </w:p>
        </w:tc>
        <w:tc>
          <w:tcPr>
            <w:tcW w:w="863" w:type="dxa"/>
            <w:shd w:val="clear" w:color="auto" w:fill="FFFFFF"/>
            <w:vAlign w:val="bottom"/>
          </w:tcPr>
          <w:p w:rsidR="003A3061" w:rsidRPr="00BB11AF" w:rsidRDefault="003A3061" w:rsidP="003A3061">
            <w:pPr>
              <w:spacing w:before="120" w:after="120"/>
              <w:ind w:firstLine="0"/>
              <w:jc w:val="right"/>
              <w:rPr>
                <w:sz w:val="24"/>
              </w:rPr>
            </w:pPr>
            <w:r w:rsidRPr="00BB11AF">
              <w:rPr>
                <w:sz w:val="24"/>
              </w:rPr>
              <w:t>72,9</w:t>
            </w:r>
          </w:p>
        </w:tc>
        <w:tc>
          <w:tcPr>
            <w:tcW w:w="863" w:type="dxa"/>
            <w:shd w:val="clear" w:color="auto" w:fill="FFFFFF"/>
            <w:vAlign w:val="bottom"/>
          </w:tcPr>
          <w:p w:rsidR="003A3061" w:rsidRPr="00BB11AF" w:rsidRDefault="003A3061" w:rsidP="003A3061">
            <w:pPr>
              <w:spacing w:before="120" w:after="120"/>
              <w:ind w:firstLine="0"/>
              <w:jc w:val="right"/>
              <w:rPr>
                <w:sz w:val="24"/>
              </w:rPr>
            </w:pPr>
            <w:r w:rsidRPr="00BB11AF">
              <w:rPr>
                <w:rStyle w:val="Corpsdutexte275ptGras"/>
                <w:b w:val="0"/>
                <w:sz w:val="24"/>
                <w:lang w:val="fr-CA"/>
              </w:rPr>
              <w:t>15,1</w:t>
            </w:r>
          </w:p>
        </w:tc>
        <w:tc>
          <w:tcPr>
            <w:tcW w:w="863" w:type="dxa"/>
            <w:shd w:val="clear" w:color="auto" w:fill="FFFFFF"/>
            <w:vAlign w:val="bottom"/>
          </w:tcPr>
          <w:p w:rsidR="003A3061" w:rsidRPr="00BB11AF" w:rsidRDefault="003A3061" w:rsidP="003A3061">
            <w:pPr>
              <w:spacing w:before="120" w:after="120"/>
              <w:ind w:firstLine="0"/>
              <w:jc w:val="right"/>
              <w:rPr>
                <w:sz w:val="24"/>
              </w:rPr>
            </w:pPr>
            <w:r w:rsidRPr="00BB11AF">
              <w:rPr>
                <w:rStyle w:val="Corpsdutexte275ptGras"/>
                <w:b w:val="0"/>
                <w:sz w:val="24"/>
                <w:lang w:val="fr-CA"/>
              </w:rPr>
              <w:t>53,1</w:t>
            </w:r>
          </w:p>
        </w:tc>
        <w:tc>
          <w:tcPr>
            <w:tcW w:w="864" w:type="dxa"/>
            <w:shd w:val="clear" w:color="auto" w:fill="FFFFFF"/>
            <w:vAlign w:val="bottom"/>
          </w:tcPr>
          <w:p w:rsidR="003A3061" w:rsidRPr="00BB11AF" w:rsidRDefault="003A3061" w:rsidP="003A3061">
            <w:pPr>
              <w:spacing w:before="120" w:after="120"/>
              <w:ind w:firstLine="0"/>
              <w:jc w:val="right"/>
              <w:rPr>
                <w:sz w:val="24"/>
              </w:rPr>
            </w:pPr>
            <w:r w:rsidRPr="00BB11AF">
              <w:rPr>
                <w:rStyle w:val="Corpsdutexte275ptGras"/>
                <w:b w:val="0"/>
                <w:sz w:val="24"/>
                <w:lang w:val="fr-CA"/>
              </w:rPr>
              <w:t>-</w:t>
            </w:r>
            <w:r w:rsidRPr="00BB11AF">
              <w:rPr>
                <w:sz w:val="24"/>
              </w:rPr>
              <w:t>37,2</w:t>
            </w:r>
          </w:p>
        </w:tc>
      </w:tr>
      <w:tr w:rsidR="003A3061" w:rsidRPr="00BB11AF">
        <w:tblPrEx>
          <w:tblCellMar>
            <w:top w:w="0" w:type="dxa"/>
            <w:bottom w:w="0" w:type="dxa"/>
          </w:tblCellMar>
        </w:tblPrEx>
        <w:tc>
          <w:tcPr>
            <w:tcW w:w="3610" w:type="dxa"/>
            <w:tcBorders>
              <w:bottom w:val="single" w:sz="4" w:space="0" w:color="auto"/>
            </w:tcBorders>
            <w:shd w:val="clear" w:color="auto" w:fill="FFFFFF"/>
            <w:vAlign w:val="center"/>
          </w:tcPr>
          <w:p w:rsidR="003A3061" w:rsidRPr="00BB11AF" w:rsidRDefault="003A3061" w:rsidP="003A3061">
            <w:pPr>
              <w:spacing w:before="120" w:after="120"/>
              <w:ind w:left="90" w:firstLine="0"/>
              <w:jc w:val="both"/>
              <w:rPr>
                <w:sz w:val="24"/>
              </w:rPr>
            </w:pPr>
            <w:r w:rsidRPr="00BB11AF">
              <w:rPr>
                <w:rStyle w:val="Corpsdutexte27ptGras"/>
                <w:rFonts w:ascii="Times New Roman" w:hAnsi="Times New Roman"/>
                <w:b w:val="0"/>
                <w:sz w:val="24"/>
                <w:lang w:val="fr-CA"/>
              </w:rPr>
              <w:t>Revenus (millions de $ US)</w:t>
            </w:r>
          </w:p>
        </w:tc>
        <w:tc>
          <w:tcPr>
            <w:tcW w:w="863" w:type="dxa"/>
            <w:tcBorders>
              <w:bottom w:val="single" w:sz="4" w:space="0" w:color="auto"/>
            </w:tcBorders>
            <w:shd w:val="clear" w:color="auto" w:fill="FFFFFF"/>
            <w:vAlign w:val="center"/>
          </w:tcPr>
          <w:p w:rsidR="003A3061" w:rsidRPr="00BB11AF" w:rsidRDefault="003A3061" w:rsidP="003A3061">
            <w:pPr>
              <w:spacing w:before="120" w:after="120"/>
              <w:ind w:firstLine="0"/>
              <w:jc w:val="right"/>
              <w:rPr>
                <w:sz w:val="24"/>
              </w:rPr>
            </w:pPr>
            <w:r w:rsidRPr="00BB11AF">
              <w:rPr>
                <w:sz w:val="24"/>
              </w:rPr>
              <w:t>355</w:t>
            </w:r>
          </w:p>
        </w:tc>
        <w:tc>
          <w:tcPr>
            <w:tcW w:w="863" w:type="dxa"/>
            <w:tcBorders>
              <w:bottom w:val="single" w:sz="4" w:space="0" w:color="auto"/>
            </w:tcBorders>
            <w:shd w:val="clear" w:color="auto" w:fill="FFFFFF"/>
            <w:vAlign w:val="center"/>
          </w:tcPr>
          <w:p w:rsidR="003A3061" w:rsidRPr="00BB11AF" w:rsidRDefault="003A3061" w:rsidP="003A3061">
            <w:pPr>
              <w:spacing w:before="120" w:after="120"/>
              <w:ind w:firstLine="0"/>
              <w:jc w:val="right"/>
              <w:rPr>
                <w:sz w:val="24"/>
              </w:rPr>
            </w:pPr>
            <w:r w:rsidRPr="00BB11AF">
              <w:rPr>
                <w:sz w:val="24"/>
              </w:rPr>
              <w:t>399</w:t>
            </w:r>
          </w:p>
        </w:tc>
        <w:tc>
          <w:tcPr>
            <w:tcW w:w="863" w:type="dxa"/>
            <w:tcBorders>
              <w:bottom w:val="single" w:sz="4" w:space="0" w:color="auto"/>
            </w:tcBorders>
            <w:shd w:val="clear" w:color="auto" w:fill="FFFFFF"/>
            <w:vAlign w:val="center"/>
          </w:tcPr>
          <w:p w:rsidR="003A3061" w:rsidRPr="00BB11AF" w:rsidRDefault="003A3061" w:rsidP="003A3061">
            <w:pPr>
              <w:spacing w:before="120" w:after="120"/>
              <w:ind w:firstLine="0"/>
              <w:jc w:val="right"/>
              <w:rPr>
                <w:sz w:val="24"/>
              </w:rPr>
            </w:pPr>
            <w:r w:rsidRPr="00BB11AF">
              <w:rPr>
                <w:rStyle w:val="Corpsdutexte275ptGras"/>
                <w:b w:val="0"/>
                <w:sz w:val="24"/>
                <w:lang w:val="fr-CA"/>
              </w:rPr>
              <w:t xml:space="preserve">12 </w:t>
            </w:r>
            <w:r w:rsidRPr="00BB11AF">
              <w:rPr>
                <w:sz w:val="24"/>
              </w:rPr>
              <w:t>,4</w:t>
            </w:r>
          </w:p>
        </w:tc>
        <w:tc>
          <w:tcPr>
            <w:tcW w:w="863" w:type="dxa"/>
            <w:tcBorders>
              <w:bottom w:val="single" w:sz="4" w:space="0" w:color="auto"/>
            </w:tcBorders>
            <w:shd w:val="clear" w:color="auto" w:fill="FFFFFF"/>
            <w:vAlign w:val="center"/>
          </w:tcPr>
          <w:p w:rsidR="003A3061" w:rsidRPr="00BB11AF" w:rsidRDefault="003A3061" w:rsidP="003A3061">
            <w:pPr>
              <w:spacing w:before="120" w:after="120"/>
              <w:ind w:firstLine="0"/>
              <w:jc w:val="right"/>
              <w:rPr>
                <w:sz w:val="24"/>
              </w:rPr>
            </w:pPr>
            <w:r w:rsidRPr="00BB11AF">
              <w:rPr>
                <w:rStyle w:val="Corpsdutexte275ptGras"/>
                <w:b w:val="0"/>
                <w:sz w:val="24"/>
                <w:lang w:val="fr-CA"/>
              </w:rPr>
              <w:t>327</w:t>
            </w:r>
          </w:p>
        </w:tc>
        <w:tc>
          <w:tcPr>
            <w:tcW w:w="864" w:type="dxa"/>
            <w:tcBorders>
              <w:bottom w:val="single" w:sz="4" w:space="0" w:color="auto"/>
            </w:tcBorders>
            <w:shd w:val="clear" w:color="auto" w:fill="FFFFFF"/>
            <w:vAlign w:val="center"/>
          </w:tcPr>
          <w:p w:rsidR="003A3061" w:rsidRPr="00BB11AF" w:rsidRDefault="003A3061" w:rsidP="003A3061">
            <w:pPr>
              <w:spacing w:before="120" w:after="120"/>
              <w:ind w:firstLine="0"/>
              <w:jc w:val="right"/>
              <w:rPr>
                <w:sz w:val="24"/>
              </w:rPr>
            </w:pPr>
            <w:r w:rsidRPr="00BB11AF">
              <w:rPr>
                <w:rStyle w:val="Corpsdutexte275ptGras"/>
                <w:b w:val="0"/>
                <w:sz w:val="24"/>
                <w:lang w:val="fr-CA"/>
              </w:rPr>
              <w:t>-22</w:t>
            </w:r>
          </w:p>
        </w:tc>
      </w:tr>
    </w:tbl>
    <w:p w:rsidR="003A3061" w:rsidRPr="00BB11AF" w:rsidRDefault="003A3061" w:rsidP="003A3061">
      <w:pPr>
        <w:spacing w:before="120" w:after="120"/>
        <w:jc w:val="both"/>
        <w:rPr>
          <w:sz w:val="24"/>
        </w:rPr>
      </w:pPr>
      <w:r w:rsidRPr="00BB11AF">
        <w:rPr>
          <w:sz w:val="24"/>
        </w:rPr>
        <w:t xml:space="preserve">Source : Abu Hatab </w:t>
      </w:r>
      <w:r w:rsidRPr="00BB11AF">
        <w:rPr>
          <w:rStyle w:val="LgendedutableauTimesNewRomanGras"/>
          <w:rFonts w:eastAsia="Arial"/>
          <w:b w:val="0"/>
          <w:sz w:val="24"/>
          <w:lang w:val="fr-CA"/>
        </w:rPr>
        <w:t>2009</w:t>
      </w:r>
      <w:r w:rsidRPr="00BB11AF">
        <w:rPr>
          <w:sz w:val="24"/>
        </w:rPr>
        <w:t> :</w:t>
      </w:r>
      <w:r w:rsidRPr="00BB11AF">
        <w:rPr>
          <w:rStyle w:val="LgendedutableauTimesNewRomanGras"/>
          <w:rFonts w:eastAsia="Arial"/>
          <w:b w:val="0"/>
          <w:sz w:val="24"/>
          <w:lang w:val="fr-CA"/>
        </w:rPr>
        <w:t>16</w:t>
      </w:r>
      <w:r w:rsidRPr="00BB11AF">
        <w:rPr>
          <w:sz w:val="24"/>
        </w:rPr>
        <w:t>.</w:t>
      </w:r>
    </w:p>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jc w:val="both"/>
      </w:pPr>
      <w:r w:rsidRPr="00BB11AF">
        <w:t>La compression de toutes les ressources externes, de l'IDE aux r</w:t>
      </w:r>
      <w:r w:rsidRPr="00BB11AF">
        <w:t>e</w:t>
      </w:r>
      <w:r w:rsidRPr="00BB11AF">
        <w:t>ce</w:t>
      </w:r>
      <w:r w:rsidRPr="00BB11AF">
        <w:t>t</w:t>
      </w:r>
      <w:r w:rsidRPr="00BB11AF">
        <w:t>tes de Suez, se répercute sur les résultats globaux de l'Égypte. À 7,2% en 2008, le taux annuel de croissance du PIB est à un seuil in</w:t>
      </w:r>
      <w:r w:rsidRPr="00BB11AF">
        <w:t>é</w:t>
      </w:r>
      <w:r w:rsidRPr="00BB11AF">
        <w:t>galé depuis 1998. En 2009, il ne dépasse pas 4,7% (Central Bank of Egypt 2009b : 39, 54, 130).</w:t>
      </w:r>
    </w:p>
    <w:p w:rsidR="003A3061" w:rsidRPr="00BB11AF" w:rsidRDefault="003A3061" w:rsidP="003A3061">
      <w:pPr>
        <w:spacing w:before="120" w:after="120"/>
        <w:jc w:val="both"/>
      </w:pPr>
      <w:r w:rsidRPr="00BB11AF">
        <w:t>Le ralentissement de l'économie est sensible sur le plan humain, notamment en ce qui a trait au chômage. Les secteurs les plus touchés sont la construction, l'extraction du pétrole et l'h</w:t>
      </w:r>
      <w:r w:rsidRPr="00BB11AF">
        <w:t>ô</w:t>
      </w:r>
      <w:r w:rsidRPr="00BB11AF">
        <w:t>tellerie. Les données officielles sous-estiment le chômage et ignorent le sous-emploi et l'emploi informel</w:t>
      </w:r>
      <w:r>
        <w:t> </w:t>
      </w:r>
      <w:r>
        <w:rPr>
          <w:rStyle w:val="Appelnotedebasdep"/>
        </w:rPr>
        <w:footnoteReference w:id="38"/>
      </w:r>
      <w:r w:rsidRPr="00BB11AF">
        <w:t>. Il s'agit d'un chômage tenace et structurel. Les années de croissance du PIB le font baisser un peu, mais la crise le r</w:t>
      </w:r>
      <w:r w:rsidRPr="00BB11AF">
        <w:t>e</w:t>
      </w:r>
      <w:r w:rsidRPr="00BB11AF">
        <w:t>monte légèrement.</w:t>
      </w:r>
    </w:p>
    <w:p w:rsidR="003A3061" w:rsidRPr="00BB11AF" w:rsidRDefault="003A3061" w:rsidP="003A3061">
      <w:pPr>
        <w:spacing w:before="120" w:after="120"/>
        <w:jc w:val="both"/>
      </w:pPr>
      <w:r w:rsidRPr="00BB11AF">
        <w:br w:type="page"/>
      </w:r>
    </w:p>
    <w:p w:rsidR="003A3061" w:rsidRPr="00BB11AF" w:rsidRDefault="003A3061" w:rsidP="003A3061">
      <w:pPr>
        <w:spacing w:before="120" w:after="120"/>
        <w:ind w:firstLine="0"/>
        <w:jc w:val="center"/>
        <w:rPr>
          <w:b/>
          <w:bCs/>
          <w:sz w:val="24"/>
          <w:szCs w:val="24"/>
        </w:rPr>
      </w:pPr>
      <w:r w:rsidRPr="00BB11AF">
        <w:rPr>
          <w:b/>
          <w:bCs/>
          <w:sz w:val="24"/>
          <w:szCs w:val="24"/>
        </w:rPr>
        <w:t>Tableau 11.</w:t>
      </w:r>
      <w:r w:rsidRPr="00BB11AF">
        <w:rPr>
          <w:b/>
          <w:bCs/>
          <w:sz w:val="24"/>
          <w:szCs w:val="24"/>
        </w:rPr>
        <w:br/>
        <w:t>Taux officiel de chômage (%)</w:t>
      </w:r>
    </w:p>
    <w:tbl>
      <w:tblPr>
        <w:tblOverlap w:val="never"/>
        <w:tblW w:w="0" w:type="auto"/>
        <w:tblLayout w:type="fixed"/>
        <w:tblCellMar>
          <w:left w:w="10" w:type="dxa"/>
          <w:right w:w="10" w:type="dxa"/>
        </w:tblCellMar>
        <w:tblLook w:val="04A0" w:firstRow="1" w:lastRow="0" w:firstColumn="1" w:lastColumn="0" w:noHBand="0" w:noVBand="1"/>
      </w:tblPr>
      <w:tblGrid>
        <w:gridCol w:w="1978"/>
        <w:gridCol w:w="1978"/>
        <w:gridCol w:w="1978"/>
        <w:gridCol w:w="1978"/>
      </w:tblGrid>
      <w:tr w:rsidR="003A3061" w:rsidRPr="00BB11AF">
        <w:tblPrEx>
          <w:tblCellMar>
            <w:top w:w="0" w:type="dxa"/>
            <w:bottom w:w="0" w:type="dxa"/>
          </w:tblCellMar>
        </w:tblPrEx>
        <w:tc>
          <w:tcPr>
            <w:tcW w:w="1978" w:type="dxa"/>
            <w:tcBorders>
              <w:top w:val="single" w:sz="12" w:space="0" w:color="auto"/>
              <w:bottom w:val="single" w:sz="12" w:space="0" w:color="auto"/>
            </w:tcBorders>
            <w:shd w:val="clear" w:color="auto" w:fill="EAF1DD"/>
          </w:tcPr>
          <w:p w:rsidR="003A3061" w:rsidRPr="00BB11AF" w:rsidRDefault="003A3061" w:rsidP="003A3061">
            <w:pPr>
              <w:spacing w:before="120" w:after="120"/>
              <w:ind w:left="90" w:right="68" w:firstLine="0"/>
              <w:jc w:val="both"/>
              <w:rPr>
                <w:sz w:val="24"/>
                <w:szCs w:val="10"/>
              </w:rPr>
            </w:pPr>
          </w:p>
        </w:tc>
        <w:tc>
          <w:tcPr>
            <w:tcW w:w="1978" w:type="dxa"/>
            <w:tcBorders>
              <w:top w:val="single" w:sz="12" w:space="0" w:color="auto"/>
              <w:bottom w:val="single" w:sz="12" w:space="0" w:color="auto"/>
            </w:tcBorders>
            <w:shd w:val="clear" w:color="auto" w:fill="EAF1DD"/>
          </w:tcPr>
          <w:p w:rsidR="003A3061" w:rsidRPr="00BB11AF" w:rsidRDefault="003A3061" w:rsidP="003A3061">
            <w:pPr>
              <w:spacing w:before="120" w:after="120"/>
              <w:ind w:left="90" w:right="68" w:firstLine="0"/>
              <w:jc w:val="center"/>
              <w:rPr>
                <w:sz w:val="24"/>
              </w:rPr>
            </w:pPr>
            <w:r w:rsidRPr="00BB11AF">
              <w:rPr>
                <w:sz w:val="24"/>
              </w:rPr>
              <w:t>Total</w:t>
            </w:r>
          </w:p>
        </w:tc>
        <w:tc>
          <w:tcPr>
            <w:tcW w:w="1978" w:type="dxa"/>
            <w:tcBorders>
              <w:top w:val="single" w:sz="12" w:space="0" w:color="auto"/>
              <w:bottom w:val="single" w:sz="12" w:space="0" w:color="auto"/>
            </w:tcBorders>
            <w:shd w:val="clear" w:color="auto" w:fill="EAF1DD"/>
          </w:tcPr>
          <w:p w:rsidR="003A3061" w:rsidRPr="00BB11AF" w:rsidRDefault="003A3061" w:rsidP="003A3061">
            <w:pPr>
              <w:spacing w:before="120" w:after="120"/>
              <w:ind w:left="90" w:right="68" w:firstLine="0"/>
              <w:jc w:val="center"/>
              <w:rPr>
                <w:sz w:val="24"/>
              </w:rPr>
            </w:pPr>
            <w:r w:rsidRPr="00BB11AF">
              <w:rPr>
                <w:sz w:val="24"/>
              </w:rPr>
              <w:t>Hommes</w:t>
            </w:r>
          </w:p>
        </w:tc>
        <w:tc>
          <w:tcPr>
            <w:tcW w:w="1978" w:type="dxa"/>
            <w:tcBorders>
              <w:top w:val="single" w:sz="12" w:space="0" w:color="auto"/>
              <w:bottom w:val="single" w:sz="12" w:space="0" w:color="auto"/>
            </w:tcBorders>
            <w:shd w:val="clear" w:color="auto" w:fill="EAF1DD"/>
          </w:tcPr>
          <w:p w:rsidR="003A3061" w:rsidRPr="00BB11AF" w:rsidRDefault="003A3061" w:rsidP="003A3061">
            <w:pPr>
              <w:spacing w:before="120" w:after="120"/>
              <w:ind w:left="90" w:right="68" w:firstLine="0"/>
              <w:jc w:val="center"/>
              <w:rPr>
                <w:sz w:val="24"/>
              </w:rPr>
            </w:pPr>
            <w:r w:rsidRPr="00BB11AF">
              <w:rPr>
                <w:sz w:val="24"/>
              </w:rPr>
              <w:t>Femmes</w:t>
            </w:r>
          </w:p>
        </w:tc>
      </w:tr>
      <w:tr w:rsidR="003A3061" w:rsidRPr="00BB11AF">
        <w:tblPrEx>
          <w:tblCellMar>
            <w:top w:w="0" w:type="dxa"/>
            <w:bottom w:w="0" w:type="dxa"/>
          </w:tblCellMar>
        </w:tblPrEx>
        <w:tc>
          <w:tcPr>
            <w:tcW w:w="1978" w:type="dxa"/>
            <w:tcBorders>
              <w:top w:val="single" w:sz="12" w:space="0" w:color="auto"/>
            </w:tcBorders>
            <w:shd w:val="clear" w:color="auto" w:fill="FFFFFF"/>
          </w:tcPr>
          <w:p w:rsidR="003A3061" w:rsidRPr="00BB11AF" w:rsidRDefault="003A3061" w:rsidP="003A3061">
            <w:pPr>
              <w:spacing w:before="120" w:after="120"/>
              <w:ind w:left="90" w:right="68" w:firstLine="0"/>
              <w:jc w:val="both"/>
              <w:rPr>
                <w:sz w:val="24"/>
              </w:rPr>
            </w:pPr>
            <w:r w:rsidRPr="00BB11AF">
              <w:rPr>
                <w:rStyle w:val="Corpsdutexte275ptGras"/>
                <w:b w:val="0"/>
                <w:sz w:val="24"/>
                <w:lang w:val="fr-CA"/>
              </w:rPr>
              <w:t>2000</w:t>
            </w:r>
          </w:p>
        </w:tc>
        <w:tc>
          <w:tcPr>
            <w:tcW w:w="1978" w:type="dxa"/>
            <w:tcBorders>
              <w:top w:val="single" w:sz="12" w:space="0" w:color="auto"/>
            </w:tcBorders>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9,0</w:t>
            </w:r>
          </w:p>
        </w:tc>
        <w:tc>
          <w:tcPr>
            <w:tcW w:w="1978" w:type="dxa"/>
            <w:tcBorders>
              <w:top w:val="single" w:sz="12" w:space="0" w:color="auto"/>
            </w:tcBorders>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5,1</w:t>
            </w:r>
          </w:p>
        </w:tc>
        <w:tc>
          <w:tcPr>
            <w:tcW w:w="1978" w:type="dxa"/>
            <w:tcBorders>
              <w:top w:val="single" w:sz="12" w:space="0" w:color="auto"/>
            </w:tcBorders>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rStyle w:val="Corpsdutexte2TimesNewRoman6pt"/>
                <w:rFonts w:eastAsia="Arial"/>
                <w:sz w:val="24"/>
                <w:lang w:val="fr-CA"/>
              </w:rPr>
              <w:t>22,7</w:t>
            </w:r>
          </w:p>
        </w:tc>
      </w:tr>
      <w:tr w:rsidR="003A3061" w:rsidRPr="00BB11AF">
        <w:tblPrEx>
          <w:tblCellMar>
            <w:top w:w="0" w:type="dxa"/>
            <w:bottom w:w="0" w:type="dxa"/>
          </w:tblCellMar>
        </w:tblPrEx>
        <w:tc>
          <w:tcPr>
            <w:tcW w:w="1978" w:type="dxa"/>
            <w:shd w:val="clear" w:color="auto" w:fill="FFFFFF"/>
          </w:tcPr>
          <w:p w:rsidR="003A3061" w:rsidRPr="00BB11AF" w:rsidRDefault="003A3061" w:rsidP="003A3061">
            <w:pPr>
              <w:spacing w:before="120" w:after="120"/>
              <w:ind w:left="90" w:right="68" w:firstLine="0"/>
              <w:jc w:val="both"/>
              <w:rPr>
                <w:sz w:val="24"/>
              </w:rPr>
            </w:pPr>
            <w:r w:rsidRPr="00BB11AF">
              <w:rPr>
                <w:sz w:val="24"/>
              </w:rPr>
              <w:t>2001</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9,2</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5,6</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rStyle w:val="Corpsdutexte2TimesNewRoman6pt"/>
                <w:rFonts w:eastAsia="Arial"/>
                <w:sz w:val="24"/>
                <w:lang w:val="fr-CA"/>
              </w:rPr>
              <w:t>22,6</w:t>
            </w:r>
          </w:p>
        </w:tc>
      </w:tr>
      <w:tr w:rsidR="003A3061" w:rsidRPr="00BB11AF">
        <w:tblPrEx>
          <w:tblCellMar>
            <w:top w:w="0" w:type="dxa"/>
            <w:bottom w:w="0" w:type="dxa"/>
          </w:tblCellMar>
        </w:tblPrEx>
        <w:tc>
          <w:tcPr>
            <w:tcW w:w="1978" w:type="dxa"/>
            <w:shd w:val="clear" w:color="auto" w:fill="FFFFFF"/>
          </w:tcPr>
          <w:p w:rsidR="003A3061" w:rsidRPr="00BB11AF" w:rsidRDefault="003A3061" w:rsidP="003A3061">
            <w:pPr>
              <w:spacing w:before="120" w:after="120"/>
              <w:ind w:left="90" w:right="68" w:firstLine="0"/>
              <w:jc w:val="both"/>
              <w:rPr>
                <w:sz w:val="24"/>
              </w:rPr>
            </w:pPr>
            <w:r w:rsidRPr="00BB11AF">
              <w:rPr>
                <w:rStyle w:val="Corpsdutexte275ptGras"/>
                <w:b w:val="0"/>
                <w:sz w:val="24"/>
                <w:lang w:val="fr-CA"/>
              </w:rPr>
              <w:t>2002</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10,2</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6,3</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23,9</w:t>
            </w:r>
          </w:p>
        </w:tc>
      </w:tr>
      <w:tr w:rsidR="003A3061" w:rsidRPr="00BB11AF">
        <w:tblPrEx>
          <w:tblCellMar>
            <w:top w:w="0" w:type="dxa"/>
            <w:bottom w:w="0" w:type="dxa"/>
          </w:tblCellMar>
        </w:tblPrEx>
        <w:tc>
          <w:tcPr>
            <w:tcW w:w="1978" w:type="dxa"/>
            <w:shd w:val="clear" w:color="auto" w:fill="FFFFFF"/>
          </w:tcPr>
          <w:p w:rsidR="003A3061" w:rsidRPr="00BB11AF" w:rsidRDefault="003A3061" w:rsidP="003A3061">
            <w:pPr>
              <w:spacing w:before="120" w:after="120"/>
              <w:ind w:left="90" w:right="68" w:firstLine="0"/>
              <w:jc w:val="both"/>
              <w:rPr>
                <w:sz w:val="24"/>
              </w:rPr>
            </w:pPr>
            <w:r w:rsidRPr="00BB11AF">
              <w:rPr>
                <w:sz w:val="24"/>
              </w:rPr>
              <w:t>2003</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rStyle w:val="Corpsdutexte2TimesNewRoman6pt"/>
                <w:rFonts w:eastAsia="Arial"/>
                <w:sz w:val="24"/>
                <w:lang w:val="fr-CA"/>
              </w:rPr>
              <w:t>11,1</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7,5</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23,3</w:t>
            </w:r>
          </w:p>
        </w:tc>
      </w:tr>
      <w:tr w:rsidR="003A3061" w:rsidRPr="00BB11AF">
        <w:tblPrEx>
          <w:tblCellMar>
            <w:top w:w="0" w:type="dxa"/>
            <w:bottom w:w="0" w:type="dxa"/>
          </w:tblCellMar>
        </w:tblPrEx>
        <w:tc>
          <w:tcPr>
            <w:tcW w:w="1978" w:type="dxa"/>
            <w:shd w:val="clear" w:color="auto" w:fill="FFFFFF"/>
          </w:tcPr>
          <w:p w:rsidR="003A3061" w:rsidRPr="00BB11AF" w:rsidRDefault="003A3061" w:rsidP="003A3061">
            <w:pPr>
              <w:spacing w:before="120" w:after="120"/>
              <w:ind w:left="90" w:right="68" w:firstLine="0"/>
              <w:jc w:val="both"/>
              <w:rPr>
                <w:sz w:val="24"/>
              </w:rPr>
            </w:pPr>
            <w:r w:rsidRPr="00BB11AF">
              <w:rPr>
                <w:rStyle w:val="Corpsdutexte275ptGras"/>
                <w:b w:val="0"/>
                <w:sz w:val="24"/>
                <w:lang w:val="fr-CA"/>
              </w:rPr>
              <w:t>2004</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10,3</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5,9</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24,3</w:t>
            </w:r>
          </w:p>
        </w:tc>
      </w:tr>
      <w:tr w:rsidR="003A3061" w:rsidRPr="00BB11AF">
        <w:tblPrEx>
          <w:tblCellMar>
            <w:top w:w="0" w:type="dxa"/>
            <w:bottom w:w="0" w:type="dxa"/>
          </w:tblCellMar>
        </w:tblPrEx>
        <w:tc>
          <w:tcPr>
            <w:tcW w:w="1978" w:type="dxa"/>
            <w:shd w:val="clear" w:color="auto" w:fill="FFFFFF"/>
          </w:tcPr>
          <w:p w:rsidR="003A3061" w:rsidRPr="00BB11AF" w:rsidRDefault="003A3061" w:rsidP="003A3061">
            <w:pPr>
              <w:spacing w:before="120" w:after="120"/>
              <w:ind w:left="90" w:right="68" w:firstLine="0"/>
              <w:jc w:val="both"/>
              <w:rPr>
                <w:sz w:val="24"/>
              </w:rPr>
            </w:pPr>
            <w:r w:rsidRPr="00BB11AF">
              <w:rPr>
                <w:sz w:val="24"/>
              </w:rPr>
              <w:t>2005</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rStyle w:val="Corpsdutexte2TimesNewRoman6pt"/>
                <w:rFonts w:eastAsia="Arial"/>
                <w:sz w:val="24"/>
                <w:lang w:val="fr-CA"/>
              </w:rPr>
              <w:t>11,2</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7,1</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25,1</w:t>
            </w:r>
          </w:p>
        </w:tc>
      </w:tr>
      <w:tr w:rsidR="003A3061" w:rsidRPr="00BB11AF">
        <w:tblPrEx>
          <w:tblCellMar>
            <w:top w:w="0" w:type="dxa"/>
            <w:bottom w:w="0" w:type="dxa"/>
          </w:tblCellMar>
        </w:tblPrEx>
        <w:tc>
          <w:tcPr>
            <w:tcW w:w="1978" w:type="dxa"/>
            <w:shd w:val="clear" w:color="auto" w:fill="FFFFFF"/>
          </w:tcPr>
          <w:p w:rsidR="003A3061" w:rsidRPr="00BB11AF" w:rsidRDefault="003A3061" w:rsidP="003A3061">
            <w:pPr>
              <w:spacing w:before="120" w:after="120"/>
              <w:ind w:left="90" w:right="68" w:firstLine="0"/>
              <w:jc w:val="both"/>
              <w:rPr>
                <w:sz w:val="24"/>
              </w:rPr>
            </w:pPr>
            <w:r w:rsidRPr="00BB11AF">
              <w:rPr>
                <w:rStyle w:val="Corpsdutexte275ptGras"/>
                <w:b w:val="0"/>
                <w:sz w:val="24"/>
                <w:lang w:val="fr-CA"/>
              </w:rPr>
              <w:t>2006</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10,6</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6,8</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24,0</w:t>
            </w:r>
          </w:p>
        </w:tc>
      </w:tr>
      <w:tr w:rsidR="003A3061" w:rsidRPr="00BB11AF">
        <w:tblPrEx>
          <w:tblCellMar>
            <w:top w:w="0" w:type="dxa"/>
            <w:bottom w:w="0" w:type="dxa"/>
          </w:tblCellMar>
        </w:tblPrEx>
        <w:tc>
          <w:tcPr>
            <w:tcW w:w="1978" w:type="dxa"/>
            <w:shd w:val="clear" w:color="auto" w:fill="FFFFFF"/>
          </w:tcPr>
          <w:p w:rsidR="003A3061" w:rsidRPr="00BB11AF" w:rsidRDefault="003A3061" w:rsidP="003A3061">
            <w:pPr>
              <w:spacing w:before="120" w:after="120"/>
              <w:ind w:left="90" w:right="68" w:firstLine="0"/>
              <w:jc w:val="both"/>
              <w:rPr>
                <w:sz w:val="24"/>
              </w:rPr>
            </w:pPr>
            <w:r w:rsidRPr="00BB11AF">
              <w:rPr>
                <w:sz w:val="24"/>
              </w:rPr>
              <w:t>2007</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rStyle w:val="Corpsdutexte2TimesNewRoman6pt"/>
                <w:rFonts w:eastAsia="Arial"/>
                <w:sz w:val="24"/>
                <w:lang w:val="fr-CA"/>
              </w:rPr>
              <w:t>8,9</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5,9</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rStyle w:val="Corpsdutexte2TimesNewRoman6pt"/>
                <w:rFonts w:eastAsia="Arial"/>
                <w:sz w:val="24"/>
                <w:lang w:val="fr-CA"/>
              </w:rPr>
              <w:t>18,6</w:t>
            </w:r>
          </w:p>
        </w:tc>
      </w:tr>
      <w:tr w:rsidR="003A3061" w:rsidRPr="00BB11AF">
        <w:tblPrEx>
          <w:tblCellMar>
            <w:top w:w="0" w:type="dxa"/>
            <w:bottom w:w="0" w:type="dxa"/>
          </w:tblCellMar>
        </w:tblPrEx>
        <w:tc>
          <w:tcPr>
            <w:tcW w:w="1978" w:type="dxa"/>
            <w:shd w:val="clear" w:color="auto" w:fill="FFFFFF"/>
          </w:tcPr>
          <w:p w:rsidR="003A3061" w:rsidRPr="00BB11AF" w:rsidRDefault="003A3061" w:rsidP="003A3061">
            <w:pPr>
              <w:spacing w:before="120" w:after="120"/>
              <w:ind w:left="90" w:right="68" w:firstLine="0"/>
              <w:jc w:val="both"/>
              <w:rPr>
                <w:sz w:val="24"/>
              </w:rPr>
            </w:pPr>
            <w:r w:rsidRPr="00BB11AF">
              <w:rPr>
                <w:rStyle w:val="Corpsdutexte275ptGras"/>
                <w:b w:val="0"/>
                <w:sz w:val="24"/>
                <w:lang w:val="fr-CA"/>
              </w:rPr>
              <w:t>2008</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8,4</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5,4</w:t>
            </w:r>
          </w:p>
        </w:tc>
        <w:tc>
          <w:tcPr>
            <w:tcW w:w="1978" w:type="dxa"/>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rStyle w:val="Corpsdutexte275ptGras"/>
                <w:b w:val="0"/>
                <w:sz w:val="24"/>
                <w:lang w:val="fr-CA"/>
              </w:rPr>
              <w:t>18,3</w:t>
            </w:r>
          </w:p>
        </w:tc>
      </w:tr>
      <w:tr w:rsidR="003A3061" w:rsidRPr="00BB11AF">
        <w:tblPrEx>
          <w:tblCellMar>
            <w:top w:w="0" w:type="dxa"/>
            <w:bottom w:w="0" w:type="dxa"/>
          </w:tblCellMar>
        </w:tblPrEx>
        <w:tc>
          <w:tcPr>
            <w:tcW w:w="1978" w:type="dxa"/>
            <w:tcBorders>
              <w:bottom w:val="single" w:sz="12" w:space="0" w:color="auto"/>
            </w:tcBorders>
            <w:shd w:val="clear" w:color="auto" w:fill="FFFFFF"/>
          </w:tcPr>
          <w:p w:rsidR="003A3061" w:rsidRPr="00BB11AF" w:rsidRDefault="003A3061" w:rsidP="003A3061">
            <w:pPr>
              <w:spacing w:before="120" w:after="120"/>
              <w:ind w:left="90" w:right="68" w:firstLine="0"/>
              <w:jc w:val="both"/>
              <w:rPr>
                <w:sz w:val="24"/>
              </w:rPr>
            </w:pPr>
            <w:r w:rsidRPr="00BB11AF">
              <w:rPr>
                <w:sz w:val="24"/>
              </w:rPr>
              <w:t>2009</w:t>
            </w:r>
          </w:p>
        </w:tc>
        <w:tc>
          <w:tcPr>
            <w:tcW w:w="1978" w:type="dxa"/>
            <w:tcBorders>
              <w:bottom w:val="single" w:sz="12" w:space="0" w:color="auto"/>
            </w:tcBorders>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rStyle w:val="Corpsdutexte2TimesNewRoman6pt"/>
                <w:rFonts w:eastAsia="Arial"/>
                <w:sz w:val="24"/>
                <w:lang w:val="fr-CA"/>
              </w:rPr>
              <w:t>8,8</w:t>
            </w:r>
          </w:p>
        </w:tc>
        <w:tc>
          <w:tcPr>
            <w:tcW w:w="1978" w:type="dxa"/>
            <w:tcBorders>
              <w:bottom w:val="single" w:sz="12" w:space="0" w:color="auto"/>
            </w:tcBorders>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5,2</w:t>
            </w:r>
          </w:p>
        </w:tc>
        <w:tc>
          <w:tcPr>
            <w:tcW w:w="1978" w:type="dxa"/>
            <w:tcBorders>
              <w:bottom w:val="single" w:sz="12" w:space="0" w:color="auto"/>
            </w:tcBorders>
            <w:shd w:val="clear" w:color="auto" w:fill="FFFFFF"/>
          </w:tcPr>
          <w:p w:rsidR="003A3061" w:rsidRPr="00BB11AF" w:rsidRDefault="003A3061" w:rsidP="003A3061">
            <w:pPr>
              <w:tabs>
                <w:tab w:val="decimal" w:pos="1082"/>
              </w:tabs>
              <w:spacing w:before="120" w:after="120"/>
              <w:ind w:left="90" w:right="68" w:firstLine="0"/>
              <w:jc w:val="both"/>
              <w:rPr>
                <w:sz w:val="24"/>
              </w:rPr>
            </w:pPr>
            <w:r w:rsidRPr="00BB11AF">
              <w:rPr>
                <w:sz w:val="24"/>
              </w:rPr>
              <w:t>23,2</w:t>
            </w:r>
          </w:p>
        </w:tc>
      </w:tr>
    </w:tbl>
    <w:p w:rsidR="003A3061" w:rsidRPr="00BB11AF" w:rsidRDefault="003A3061" w:rsidP="003A3061">
      <w:pPr>
        <w:spacing w:before="120" w:after="120"/>
        <w:jc w:val="both"/>
        <w:rPr>
          <w:sz w:val="24"/>
        </w:rPr>
      </w:pPr>
      <w:r w:rsidRPr="00BB11AF">
        <w:rPr>
          <w:sz w:val="24"/>
        </w:rPr>
        <w:t xml:space="preserve">Sources : Radwan </w:t>
      </w:r>
      <w:r w:rsidRPr="00BB11AF">
        <w:rPr>
          <w:rStyle w:val="LgendedutableauTimesNewRomanGras"/>
          <w:rFonts w:eastAsia="Arial"/>
          <w:b w:val="0"/>
          <w:sz w:val="24"/>
          <w:lang w:val="fr-CA"/>
        </w:rPr>
        <w:t>2009</w:t>
      </w:r>
      <w:r w:rsidRPr="00BB11AF">
        <w:rPr>
          <w:sz w:val="24"/>
        </w:rPr>
        <w:t xml:space="preserve"> : </w:t>
      </w:r>
      <w:r w:rsidRPr="00BB11AF">
        <w:rPr>
          <w:rStyle w:val="LgendedutableauTimesNewRomanGras"/>
          <w:rFonts w:eastAsia="Arial"/>
          <w:b w:val="0"/>
          <w:sz w:val="24"/>
          <w:lang w:val="fr-CA"/>
        </w:rPr>
        <w:t>28</w:t>
      </w:r>
      <w:r w:rsidRPr="00BB11AF">
        <w:rPr>
          <w:sz w:val="24"/>
        </w:rPr>
        <w:t xml:space="preserve">, pour le taux des femmes en </w:t>
      </w:r>
      <w:r w:rsidRPr="00BB11AF">
        <w:rPr>
          <w:rStyle w:val="LgendedutableauTimesNewRomanGras"/>
          <w:rFonts w:eastAsia="Arial"/>
          <w:b w:val="0"/>
          <w:sz w:val="24"/>
          <w:lang w:val="fr-CA"/>
        </w:rPr>
        <w:t>2007</w:t>
      </w:r>
      <w:r w:rsidRPr="00BB11AF">
        <w:rPr>
          <w:sz w:val="24"/>
        </w:rPr>
        <w:t xml:space="preserve"> et </w:t>
      </w:r>
      <w:r w:rsidRPr="00BB11AF">
        <w:rPr>
          <w:rStyle w:val="LgendedutableauTimesNewRomanGras"/>
          <w:rFonts w:eastAsia="Arial"/>
          <w:b w:val="0"/>
          <w:sz w:val="24"/>
          <w:lang w:val="fr-CA"/>
        </w:rPr>
        <w:t>2008</w:t>
      </w:r>
      <w:r w:rsidRPr="00BB11AF">
        <w:rPr>
          <w:sz w:val="24"/>
        </w:rPr>
        <w:t xml:space="preserve"> ; Saget et Yao </w:t>
      </w:r>
      <w:r w:rsidRPr="00BB11AF">
        <w:rPr>
          <w:rStyle w:val="LgendedutableauTimesNewRomanGras"/>
          <w:rFonts w:eastAsia="Arial"/>
          <w:b w:val="0"/>
          <w:sz w:val="24"/>
          <w:lang w:val="fr-CA"/>
        </w:rPr>
        <w:t>2011</w:t>
      </w:r>
      <w:r w:rsidRPr="00BB11AF">
        <w:rPr>
          <w:sz w:val="24"/>
        </w:rPr>
        <w:t xml:space="preserve"> : </w:t>
      </w:r>
      <w:r w:rsidRPr="00BB11AF">
        <w:rPr>
          <w:rStyle w:val="LgendedutableauTimesNewRomanGras"/>
          <w:rFonts w:eastAsia="Arial"/>
          <w:b w:val="0"/>
          <w:sz w:val="24"/>
          <w:lang w:val="fr-CA"/>
        </w:rPr>
        <w:t>8</w:t>
      </w:r>
      <w:r w:rsidRPr="00BB11AF">
        <w:rPr>
          <w:sz w:val="24"/>
        </w:rPr>
        <w:t xml:space="preserve">, pour les taux de </w:t>
      </w:r>
      <w:r w:rsidRPr="00BB11AF">
        <w:rPr>
          <w:rStyle w:val="LgendedutableauTimesNewRomanGras"/>
          <w:rFonts w:eastAsia="Arial"/>
          <w:b w:val="0"/>
          <w:sz w:val="24"/>
          <w:lang w:val="fr-CA"/>
        </w:rPr>
        <w:t>2008</w:t>
      </w:r>
      <w:r w:rsidRPr="00BB11AF">
        <w:rPr>
          <w:sz w:val="24"/>
        </w:rPr>
        <w:t xml:space="preserve"> et </w:t>
      </w:r>
      <w:r w:rsidRPr="00BB11AF">
        <w:rPr>
          <w:rStyle w:val="LgendedutableauTimesNewRomanGras"/>
          <w:rFonts w:eastAsia="Arial"/>
          <w:b w:val="0"/>
          <w:sz w:val="24"/>
          <w:lang w:val="fr-CA"/>
        </w:rPr>
        <w:t>2009</w:t>
      </w:r>
      <w:r w:rsidRPr="00BB11AF">
        <w:rPr>
          <w:sz w:val="24"/>
        </w:rPr>
        <w:t xml:space="preserve"> ; Central Bank of Egypt </w:t>
      </w:r>
      <w:r w:rsidRPr="00BB11AF">
        <w:rPr>
          <w:rStyle w:val="LgendedutableauTimesNewRomanGras"/>
          <w:rFonts w:eastAsia="Arial"/>
          <w:b w:val="0"/>
          <w:sz w:val="24"/>
          <w:lang w:val="fr-CA"/>
        </w:rPr>
        <w:t>2009</w:t>
      </w:r>
      <w:r w:rsidRPr="00BB11AF">
        <w:rPr>
          <w:sz w:val="24"/>
        </w:rPr>
        <w:t xml:space="preserve">b : </w:t>
      </w:r>
      <w:r w:rsidRPr="00BB11AF">
        <w:rPr>
          <w:rStyle w:val="LgendedutableauTimesNewRomanGras"/>
          <w:rFonts w:eastAsia="Arial"/>
          <w:b w:val="0"/>
          <w:sz w:val="24"/>
          <w:lang w:val="fr-CA"/>
        </w:rPr>
        <w:t>54</w:t>
      </w:r>
      <w:r w:rsidRPr="00BB11AF">
        <w:rPr>
          <w:sz w:val="24"/>
        </w:rPr>
        <w:t xml:space="preserve">, pour les taux des hommes en </w:t>
      </w:r>
      <w:r w:rsidRPr="00BB11AF">
        <w:rPr>
          <w:rStyle w:val="LgendedutableauTimesNewRomanGras"/>
          <w:rFonts w:eastAsia="Arial"/>
          <w:b w:val="0"/>
          <w:sz w:val="24"/>
          <w:lang w:val="fr-CA"/>
        </w:rPr>
        <w:t>2008</w:t>
      </w:r>
      <w:r w:rsidRPr="00BB11AF">
        <w:rPr>
          <w:sz w:val="24"/>
        </w:rPr>
        <w:t xml:space="preserve"> et </w:t>
      </w:r>
      <w:r w:rsidRPr="00BB11AF">
        <w:rPr>
          <w:rStyle w:val="LgendedutableauTimesNewRomanGras"/>
          <w:rFonts w:eastAsia="Arial"/>
          <w:b w:val="0"/>
          <w:sz w:val="24"/>
          <w:lang w:val="fr-CA"/>
        </w:rPr>
        <w:t>2009</w:t>
      </w:r>
      <w:r w:rsidRPr="00BB11AF">
        <w:rPr>
          <w:sz w:val="24"/>
        </w:rPr>
        <w:t xml:space="preserve"> ; Mansour </w:t>
      </w:r>
      <w:r w:rsidRPr="00BB11AF">
        <w:rPr>
          <w:rStyle w:val="LgendedutableauTimesNewRomanGras"/>
          <w:rFonts w:eastAsia="Arial"/>
          <w:b w:val="0"/>
          <w:sz w:val="24"/>
          <w:lang w:val="fr-CA"/>
        </w:rPr>
        <w:t>2011</w:t>
      </w:r>
      <w:r w:rsidRPr="00BB11AF">
        <w:rPr>
          <w:sz w:val="24"/>
        </w:rPr>
        <w:t xml:space="preserve"> : </w:t>
      </w:r>
      <w:r w:rsidRPr="00BB11AF">
        <w:rPr>
          <w:rStyle w:val="LgendedutableauTimesNewRomanGras"/>
          <w:rFonts w:eastAsia="Arial"/>
          <w:b w:val="0"/>
          <w:sz w:val="24"/>
          <w:lang w:val="fr-CA"/>
        </w:rPr>
        <w:t>15</w:t>
      </w:r>
      <w:r w:rsidRPr="00BB11AF">
        <w:rPr>
          <w:sz w:val="24"/>
        </w:rPr>
        <w:t xml:space="preserve">, pour les taux des hommes en </w:t>
      </w:r>
      <w:r w:rsidRPr="00BB11AF">
        <w:rPr>
          <w:rStyle w:val="LgendedutableauTimesNewRomanGras"/>
          <w:rFonts w:eastAsia="Arial"/>
          <w:b w:val="0"/>
          <w:sz w:val="24"/>
          <w:lang w:val="fr-CA"/>
        </w:rPr>
        <w:t>2008</w:t>
      </w:r>
      <w:r w:rsidRPr="00BB11AF">
        <w:rPr>
          <w:sz w:val="24"/>
        </w:rPr>
        <w:t xml:space="preserve"> et </w:t>
      </w:r>
      <w:r w:rsidRPr="00BB11AF">
        <w:rPr>
          <w:rStyle w:val="LgendedutableauTimesNewRomanGras"/>
          <w:rFonts w:eastAsia="Arial"/>
          <w:b w:val="0"/>
          <w:sz w:val="24"/>
          <w:lang w:val="fr-CA"/>
        </w:rPr>
        <w:t>2009</w:t>
      </w:r>
      <w:r w:rsidRPr="00BB11AF">
        <w:rPr>
          <w:sz w:val="24"/>
        </w:rPr>
        <w:t>.</w:t>
      </w:r>
    </w:p>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jc w:val="both"/>
      </w:pPr>
      <w:r w:rsidRPr="00BB11AF">
        <w:t>Jusqu'à la crise, les tendances à la hausse ou à la baisse du chôm</w:t>
      </w:r>
      <w:r w:rsidRPr="00BB11AF">
        <w:t>a</w:t>
      </w:r>
      <w:r w:rsidRPr="00BB11AF">
        <w:t>ge total et du chômage masculin sont concordantes, les hommes étant plus nombreux sur le marché du travail. La crise apporte peu de cha</w:t>
      </w:r>
      <w:r w:rsidRPr="00BB11AF">
        <w:t>n</w:t>
      </w:r>
      <w:r w:rsidRPr="00BB11AF">
        <w:t>gements en ce qui concerne les taux de chômage ; le mouvement est contradictoire, augmentant pour les femmes, mais diminuant pour les hommes. Concentré dans les secteurs tournés vers</w:t>
      </w:r>
      <w:r>
        <w:t xml:space="preserve"> </w:t>
      </w:r>
      <w:r w:rsidRPr="00BB11AF">
        <w:t>[61]</w:t>
      </w:r>
      <w:r>
        <w:t xml:space="preserve"> </w:t>
      </w:r>
      <w:r w:rsidRPr="00BB11AF">
        <w:t>l'extérieur-textiles, industrie alimentaire, services-l'emploi féminin est plus d</w:t>
      </w:r>
      <w:r w:rsidRPr="00BB11AF">
        <w:t>u</w:t>
      </w:r>
      <w:r w:rsidRPr="00BB11AF">
        <w:t>rement frappé par la crise sur les marchés étrangers. Co</w:t>
      </w:r>
      <w:r w:rsidRPr="00BB11AF">
        <w:t>m</w:t>
      </w:r>
      <w:r w:rsidRPr="00BB11AF">
        <w:t>me ceux des femmes, les taux de chômage des jeunes entrant sur le marché du tr</w:t>
      </w:r>
      <w:r w:rsidRPr="00BB11AF">
        <w:t>a</w:t>
      </w:r>
      <w:r w:rsidRPr="00BB11AF">
        <w:t>vail sont disproportionnés par rapport à ceux de l'ensemble des sal</w:t>
      </w:r>
      <w:r w:rsidRPr="00BB11AF">
        <w:t>a</w:t>
      </w:r>
      <w:r w:rsidRPr="00BB11AF">
        <w:t>riés ; en 2009, 58,8% des 15-29 sont sans travail (African Develo</w:t>
      </w:r>
      <w:r w:rsidRPr="00BB11AF">
        <w:t>p</w:t>
      </w:r>
      <w:r w:rsidRPr="00BB11AF">
        <w:t>ment Bank 2009 : 68). Chaque année, 700 000 diplômés sortent des écoles et on estime que 90% des chômeurs ont des dipl</w:t>
      </w:r>
      <w:r w:rsidRPr="00BB11AF">
        <w:t>ô</w:t>
      </w:r>
      <w:r w:rsidRPr="00BB11AF">
        <w:t>mes-43% d'entre eux ayant des diplômes universitaires. Fait signific</w:t>
      </w:r>
      <w:r w:rsidRPr="00BB11AF">
        <w:t>a</w:t>
      </w:r>
      <w:r w:rsidRPr="00BB11AF">
        <w:t>tif, 75% des nouveaux arrivants sur le marché de 2000 à 2005 ont travai</w:t>
      </w:r>
      <w:r w:rsidRPr="00BB11AF">
        <w:t>l</w:t>
      </w:r>
      <w:r w:rsidRPr="00BB11AF">
        <w:t>lé dans le secteur informel (Snodgrass 2009 : 2 ; Radwan 2009 : 29 ; K</w:t>
      </w:r>
      <w:r w:rsidRPr="00BB11AF">
        <w:t>o</w:t>
      </w:r>
      <w:r w:rsidRPr="00BB11AF">
        <w:t>ratayev et Zinkina 2011 : 168). En 2008 et 2009, on compte officie</w:t>
      </w:r>
      <w:r w:rsidRPr="00BB11AF">
        <w:t>l</w:t>
      </w:r>
      <w:r w:rsidRPr="00BB11AF">
        <w:t>lement 21,4 millions de travailleurs et 2,2 millions de ch</w:t>
      </w:r>
      <w:r w:rsidRPr="00BB11AF">
        <w:t>ô</w:t>
      </w:r>
      <w:r w:rsidRPr="00BB11AF">
        <w:t>meurs en Égypte (Ministry of Finance 2010 : 63).</w:t>
      </w:r>
    </w:p>
    <w:p w:rsidR="003A3061" w:rsidRPr="00BB11AF" w:rsidRDefault="003A3061" w:rsidP="003A3061">
      <w:pPr>
        <w:spacing w:before="120" w:after="120"/>
        <w:jc w:val="both"/>
      </w:pPr>
      <w:r w:rsidRPr="00BB11AF">
        <w:t>Fin 2008, le gouvernement annonce qu'il consacrera 15 milliards de livres égyptiennes (2,7 milliards de $US) à un pr</w:t>
      </w:r>
      <w:r w:rsidRPr="00BB11AF">
        <w:t>o</w:t>
      </w:r>
      <w:r w:rsidRPr="00BB11AF">
        <w:t>gramme contre-cyclique d'allègements fiscaux et de dépenses publiques pour la stim</w:t>
      </w:r>
      <w:r w:rsidRPr="00BB11AF">
        <w:t>u</w:t>
      </w:r>
      <w:r w:rsidRPr="00BB11AF">
        <w:t>lation de l'économie. Pour ce faire, il peut mettre à contribution les excédents accumulés durant les dernières années de croissance. La moitié des dépenses de ce programme sont destinées à la construction d'infrastructures pour des services publiques, tels la fourniture et le traitement de l'eau, les routes, les ponts, les centres de soin et les éc</w:t>
      </w:r>
      <w:r w:rsidRPr="00BB11AF">
        <w:t>o</w:t>
      </w:r>
      <w:r w:rsidRPr="00BB11AF">
        <w:t>les (Ma</w:t>
      </w:r>
      <w:r w:rsidRPr="00BB11AF">
        <w:t>n</w:t>
      </w:r>
      <w:r w:rsidRPr="00BB11AF">
        <w:t>sour 2011 : 18 ; Snodgrass 2009 : 1 ; Ministry of Finance 2009 : 1-2).</w:t>
      </w:r>
    </w:p>
    <w:p w:rsidR="003A3061" w:rsidRPr="00BB11AF" w:rsidRDefault="003A3061" w:rsidP="003A3061">
      <w:pPr>
        <w:spacing w:before="120" w:after="120"/>
        <w:jc w:val="both"/>
      </w:pPr>
      <w:r w:rsidRPr="00BB11AF">
        <w:t>Si le programme contribue à relever le taux de croissance du PIB de 4,7% en 2008 et 2009 à 5,1% en 2009 et 2010, il ne s'a</w:t>
      </w:r>
      <w:r w:rsidRPr="00BB11AF">
        <w:t>t</w:t>
      </w:r>
      <w:r w:rsidRPr="00BB11AF">
        <w:t>tarde pas à l'inflation. Comme toute récession, celle de 2008 a un effet déflatio</w:t>
      </w:r>
      <w:r w:rsidRPr="00BB11AF">
        <w:t>n</w:t>
      </w:r>
      <w:r w:rsidRPr="00BB11AF">
        <w:t>niste. Elle fait baisser les cours des matières premières et l'indice des prix à la consommation en Égypte, pa</w:t>
      </w:r>
      <w:r w:rsidRPr="00BB11AF">
        <w:t>s</w:t>
      </w:r>
      <w:r w:rsidRPr="00BB11AF">
        <w:t>sant de 20,2% en juin 2008-au moment de la flambée des cours - à 9,9% en juin 2009, mais il se r</w:t>
      </w:r>
      <w:r w:rsidRPr="00BB11AF">
        <w:t>e</w:t>
      </w:r>
      <w:r w:rsidRPr="00BB11AF">
        <w:t>lève à 10,7% en juin 2010 (Central Bank of Egypt 2009b:54, 55, 117). Les prix des produits alimentaires, tels la farine, l'huile et les légumes, baissent, mais ils se maintiennent au-dessus de leur niveau d'avant 2008. Fin 2010-début 2011, les produits de base renchérissent bru</w:t>
      </w:r>
      <w:r w:rsidRPr="00BB11AF">
        <w:t>s</w:t>
      </w:r>
      <w:r w:rsidRPr="00BB11AF">
        <w:t>quement, frôlant les niveaux critiques de 2008. Plus de 3 millions d'Égyptiens tombent alors sous le seuil de la pauvreté (Kor</w:t>
      </w:r>
      <w:r w:rsidRPr="00BB11AF">
        <w:t>a</w:t>
      </w:r>
      <w:r w:rsidRPr="00BB11AF">
        <w:t>tayev et Zinkina 2011 : 153, 155, 156, 157). En janvier 2011, les prix des de</w:t>
      </w:r>
      <w:r w:rsidRPr="00BB11AF">
        <w:t>n</w:t>
      </w:r>
      <w:r w:rsidRPr="00BB11AF">
        <w:t>rées sur les marchés mondiaux dépassent ceux de l'été 2008, selon l'Organisation des Nations Unies pour l'alime</w:t>
      </w:r>
      <w:r w:rsidRPr="00BB11AF">
        <w:t>n</w:t>
      </w:r>
      <w:r w:rsidRPr="00BB11AF">
        <w:t>tation et l'agriculture (FAO), et, en Égypte, le blé coûte 30% de plus qu'au début 2010 (Biello 2011).</w:t>
      </w:r>
    </w:p>
    <w:p w:rsidR="003A3061" w:rsidRDefault="003A3061" w:rsidP="003A3061">
      <w:pPr>
        <w:spacing w:before="120" w:after="120"/>
        <w:jc w:val="both"/>
      </w:pPr>
    </w:p>
    <w:p w:rsidR="003A3061" w:rsidRPr="00BB11AF" w:rsidRDefault="003A3061" w:rsidP="003A3061">
      <w:pPr>
        <w:spacing w:before="120" w:after="120"/>
        <w:jc w:val="both"/>
      </w:pPr>
    </w:p>
    <w:p w:rsidR="003A3061" w:rsidRPr="00BB11AF" w:rsidRDefault="003A3061" w:rsidP="003A3061">
      <w:pPr>
        <w:pStyle w:val="a"/>
      </w:pPr>
      <w:r w:rsidRPr="00BB11AF">
        <w:t>Conclusion</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La conjoncture économique en Égypte est une conséquence directe de l'arrimage du pays à l'économie internationale ; elle procède de son intégration dans le marché mondial. Son origine remonte à l'</w:t>
      </w:r>
      <w:r w:rsidRPr="00BB11AF">
        <w:rPr>
          <w:i/>
        </w:rPr>
        <w:t>infitah</w:t>
      </w:r>
      <w:r w:rsidRPr="00BB11AF">
        <w:t xml:space="preserve"> des années 1970. L'accent mis, à partir des années 1990, sur la mo</w:t>
      </w:r>
      <w:r w:rsidRPr="00BB11AF">
        <w:t>n</w:t>
      </w:r>
      <w:r w:rsidRPr="00BB11AF">
        <w:t>dialisation et</w:t>
      </w:r>
      <w:r>
        <w:t xml:space="preserve">  </w:t>
      </w:r>
      <w:r w:rsidRPr="00BB11AF">
        <w:t>[62]</w:t>
      </w:r>
      <w:r>
        <w:t xml:space="preserve"> </w:t>
      </w:r>
      <w:r w:rsidRPr="00BB11AF">
        <w:t>son corollaire, le néolibéralisme, renforce la liaison entre l'écon</w:t>
      </w:r>
      <w:r w:rsidRPr="00BB11AF">
        <w:t>o</w:t>
      </w:r>
      <w:r w:rsidRPr="00BB11AF">
        <w:t>mie égyptienne et l'économie mondiale. Il en résulte que la première est restructurée et remodelée en fonction de la seconde, et qu'elle en épouse les rythmes et les cadences. Les politiques néolib</w:t>
      </w:r>
      <w:r w:rsidRPr="00BB11AF">
        <w:t>é</w:t>
      </w:r>
      <w:r w:rsidRPr="00BB11AF">
        <w:t>rales entra</w:t>
      </w:r>
      <w:r w:rsidRPr="00BB11AF">
        <w:t>î</w:t>
      </w:r>
      <w:r w:rsidRPr="00BB11AF">
        <w:t>nent les privatisations, l'abandon de l'agriculture et le rôle clé que jouent les investissements étrangers. La croissance de l'éc</w:t>
      </w:r>
      <w:r w:rsidRPr="00BB11AF">
        <w:t>o</w:t>
      </w:r>
      <w:r w:rsidRPr="00BB11AF">
        <w:t>nomie mondiale durant les années 2000 se répercute en Égypte par le biais de l'IDE, des exportations vers l'extérieur et les rentes de situ</w:t>
      </w:r>
      <w:r w:rsidRPr="00BB11AF">
        <w:t>a</w:t>
      </w:r>
      <w:r w:rsidRPr="00BB11AF">
        <w:t>tion (tourisme, hydr</w:t>
      </w:r>
      <w:r w:rsidRPr="00BB11AF">
        <w:t>o</w:t>
      </w:r>
      <w:r w:rsidRPr="00BB11AF">
        <w:t>carbures, remises, canal de Suez).</w:t>
      </w:r>
    </w:p>
    <w:p w:rsidR="003A3061" w:rsidRPr="00BB11AF" w:rsidRDefault="003A3061" w:rsidP="003A3061">
      <w:pPr>
        <w:spacing w:before="120" w:after="120"/>
        <w:jc w:val="both"/>
      </w:pPr>
      <w:r w:rsidRPr="00BB11AF">
        <w:t>De fait, les mouvements de l'économie égyptienne reposent sur les pulsions de l'économie internationale ; ils ne représentent qu'un pr</w:t>
      </w:r>
      <w:r w:rsidRPr="00BB11AF">
        <w:t>o</w:t>
      </w:r>
      <w:r w:rsidRPr="00BB11AF">
        <w:t>longement d'un phénomène qui n'est plus du ressort de l'Égypte. Fon</w:t>
      </w:r>
      <w:r w:rsidRPr="00BB11AF">
        <w:t>c</w:t>
      </w:r>
      <w:r w:rsidRPr="00BB11AF">
        <w:t>tion de facteurs situés en dehors d'elle, l'économie égyptienne est à la merci de tout retournement. Même en phase de croissance, elle est plombée par les conditions propres de sa situation d'économie libérale et ouverte. D'abord, la hausse du PIB global recouvre une réalité diff</w:t>
      </w:r>
      <w:r w:rsidRPr="00BB11AF">
        <w:t>é</w:t>
      </w:r>
      <w:r w:rsidRPr="00BB11AF">
        <w:t>renciée : l'enrichissement d'une minorité s'accomplit en même temps que l'appauvrissement de larges couches de la population et l'appr</w:t>
      </w:r>
      <w:r w:rsidRPr="00BB11AF">
        <w:t>o</w:t>
      </w:r>
      <w:r w:rsidRPr="00BB11AF">
        <w:t>fondissement des clivages sociaux. Par ailleurs, la croissance mondi</w:t>
      </w:r>
      <w:r w:rsidRPr="00BB11AF">
        <w:t>a</w:t>
      </w:r>
      <w:r w:rsidRPr="00BB11AF">
        <w:t>le et égyptienne s'accompagne d'une inflation due à une forte d</w:t>
      </w:r>
      <w:r w:rsidRPr="00BB11AF">
        <w:t>e</w:t>
      </w:r>
      <w:r w:rsidRPr="00BB11AF">
        <w:t>mande de matières premières. Liés aux importations et aux prix internati</w:t>
      </w:r>
      <w:r w:rsidRPr="00BB11AF">
        <w:t>o</w:t>
      </w:r>
      <w:r w:rsidRPr="00BB11AF">
        <w:t>naux, les produits alimentaires et de base des Égyptiens sont à la me</w:t>
      </w:r>
      <w:r w:rsidRPr="00BB11AF">
        <w:t>r</w:t>
      </w:r>
      <w:r w:rsidRPr="00BB11AF">
        <w:t>ci des hausses des cours. La croissance des années 2000 en Égypte est fragile et non sans effets négatifs pour de nombreux Égyptiens.</w:t>
      </w:r>
    </w:p>
    <w:p w:rsidR="003A3061" w:rsidRPr="00BB11AF" w:rsidRDefault="003A3061" w:rsidP="003A3061">
      <w:pPr>
        <w:spacing w:before="120" w:after="120"/>
        <w:jc w:val="both"/>
      </w:pPr>
      <w:r w:rsidRPr="00BB11AF">
        <w:t>Jointe à l'économie mondiale, l'économie égyptienne partage son sort. Elle est désormais tributaire des cycles internationaux. Son év</w:t>
      </w:r>
      <w:r w:rsidRPr="00BB11AF">
        <w:t>o</w:t>
      </w:r>
      <w:r w:rsidRPr="00BB11AF">
        <w:t>lution est plus que solidaire de celle des pays occidentaux ; elle en est dépendante. Sa vulnérabilité est confirmée lorsque l'économie mo</w:t>
      </w:r>
      <w:r w:rsidRPr="00BB11AF">
        <w:t>n</w:t>
      </w:r>
      <w:r w:rsidRPr="00BB11AF">
        <w:t>diale plonge dans la crise en 2008, entraînant dans son sillage toutes les économies rattachées à elle. Il s'agit bien d'une crise de la mondi</w:t>
      </w:r>
      <w:r w:rsidRPr="00BB11AF">
        <w:t>a</w:t>
      </w:r>
      <w:r w:rsidRPr="00BB11AF">
        <w:t>lisation et de l'impasse d'un modèle de croissance basé à la fois sur l'endettement et la fina</w:t>
      </w:r>
      <w:r w:rsidRPr="00BB11AF">
        <w:t>n</w:t>
      </w:r>
      <w:r w:rsidRPr="00BB11AF">
        <w:t>ciarisation en Occident et sur la libéralisation et l'incorporation dans le marché mondial pour les économies non o</w:t>
      </w:r>
      <w:r w:rsidRPr="00BB11AF">
        <w:t>c</w:t>
      </w:r>
      <w:r w:rsidRPr="00BB11AF">
        <w:t>cidentales. En Égypte, le coup d'arrêt donné à la croissance révèle sa préc</w:t>
      </w:r>
      <w:r w:rsidRPr="00BB11AF">
        <w:t>a</w:t>
      </w:r>
      <w:r w:rsidRPr="00BB11AF">
        <w:t>rité et les carences qui la minaient. Déjà difficiles, les conditions de vie des Égyptiens empirent brusquement. La hausse des prix des produits alimentaires fin 2010 début 2011 assène un choc suppléme</w:t>
      </w:r>
      <w:r w:rsidRPr="00BB11AF">
        <w:t>n</w:t>
      </w:r>
      <w:r w:rsidRPr="00BB11AF">
        <w:t>taire.</w:t>
      </w:r>
    </w:p>
    <w:p w:rsidR="003A3061" w:rsidRPr="00BB11AF" w:rsidRDefault="003A3061" w:rsidP="003A3061">
      <w:pPr>
        <w:spacing w:before="120" w:after="120"/>
        <w:jc w:val="both"/>
      </w:pPr>
      <w:r w:rsidRPr="00BB11AF">
        <w:t>Le « printemps » égyptien découle en partie de la situation économ</w:t>
      </w:r>
      <w:r w:rsidRPr="00BB11AF">
        <w:t>i</w:t>
      </w:r>
      <w:r w:rsidRPr="00BB11AF">
        <w:t>que. Le soulèvement de janvier 2011 se déroule dans un contexte de détresse économique, de chômage et de tensions sociales. La mis</w:t>
      </w:r>
      <w:r w:rsidRPr="00BB11AF">
        <w:t>è</w:t>
      </w:r>
      <w:r w:rsidRPr="00BB11AF">
        <w:t>re est un préalable de l'action de masse, sans en être le seul et sans pour autant minorer ou l'importance des griefs politiques de longue date contre l'autoritarisme. Elle conduit à focaliser sur eux, à les re</w:t>
      </w:r>
      <w:r w:rsidRPr="00BB11AF">
        <w:t>n</w:t>
      </w:r>
      <w:r w:rsidRPr="00BB11AF">
        <w:t>dre plus actuels et à leur conférer davantage de relief. La dimension économique n'occulte pas la dimension politique et ne se subst</w:t>
      </w:r>
      <w:r w:rsidRPr="00BB11AF">
        <w:t>i</w:t>
      </w:r>
      <w:r w:rsidRPr="00BB11AF">
        <w:t>tue pas à elle. E</w:t>
      </w:r>
      <w:r w:rsidRPr="00BB11AF">
        <w:t>n</w:t>
      </w:r>
      <w:r w:rsidRPr="00BB11AF">
        <w:t>core faut-il souligner que la misère</w:t>
      </w:r>
      <w:r>
        <w:t xml:space="preserve"> </w:t>
      </w:r>
      <w:r w:rsidRPr="00BB11AF">
        <w:t>[63]</w:t>
      </w:r>
      <w:r>
        <w:t xml:space="preserve"> </w:t>
      </w:r>
      <w:r w:rsidRPr="00BB11AF">
        <w:t>correspond à une pression constante sur les conditions d'exi</w:t>
      </w:r>
      <w:r w:rsidRPr="00BB11AF">
        <w:t>s</w:t>
      </w:r>
      <w:r w:rsidRPr="00BB11AF">
        <w:t>tence, à un niveau de vie précaire ou faible, et non à une paupérisation abs</w:t>
      </w:r>
      <w:r w:rsidRPr="00BB11AF">
        <w:t>o</w:t>
      </w:r>
      <w:r w:rsidRPr="00BB11AF">
        <w:t>lue. Le soulèvement de 2011 est plus qu'une révolte de la faim, « pour le pain ».</w:t>
      </w:r>
    </w:p>
    <w:p w:rsidR="003A3061" w:rsidRPr="00BB11AF" w:rsidRDefault="003A3061" w:rsidP="003A3061">
      <w:pPr>
        <w:spacing w:before="120" w:after="120"/>
        <w:jc w:val="both"/>
      </w:pPr>
      <w:r w:rsidRPr="00BB11AF">
        <w:t>La crise économique internationale de 2008 n'est pas la cause de la misère, laquelle la précède. Les problèmes économiques de l'Égypte sont antérieurs à cette crise. Celle-ci s'y ajoute comme un facteur a</w:t>
      </w:r>
      <w:r w:rsidRPr="00BB11AF">
        <w:t>g</w:t>
      </w:r>
      <w:r w:rsidRPr="00BB11AF">
        <w:t>gravant. Retournement et détérioration de la conjoncture, elle rend illusoires les perspectives d'amélioration. Elle n'a pas d'impact cata</w:t>
      </w:r>
      <w:r w:rsidRPr="00BB11AF">
        <w:t>s</w:t>
      </w:r>
      <w:r w:rsidRPr="00BB11AF">
        <w:t>trophique en Égypte, mais elle met fin aux faux-semblants de la croi</w:t>
      </w:r>
      <w:r w:rsidRPr="00BB11AF">
        <w:t>s</w:t>
      </w:r>
      <w:r w:rsidRPr="00BB11AF">
        <w:t>sance et affaiblit davantage un ordre déjà vulnérable. C'est tout un sy</w:t>
      </w:r>
      <w:r w:rsidRPr="00BB11AF">
        <w:t>s</w:t>
      </w:r>
      <w:r w:rsidRPr="00BB11AF">
        <w:t>tème économique, instauré depuis trois décennies, qui atteint ses lim</w:t>
      </w:r>
      <w:r w:rsidRPr="00BB11AF">
        <w:t>i</w:t>
      </w:r>
      <w:r w:rsidRPr="00BB11AF">
        <w:t>tes, alors même que la croissance des années 2000 semblait en cons</w:t>
      </w:r>
      <w:r w:rsidRPr="00BB11AF">
        <w:t>a</w:t>
      </w:r>
      <w:r w:rsidRPr="00BB11AF">
        <w:t>crer la réussite. Le soulèvement de 2011 n'est pas imputable à la seule crise i</w:t>
      </w:r>
      <w:r w:rsidRPr="00BB11AF">
        <w:t>n</w:t>
      </w:r>
      <w:r w:rsidRPr="00BB11AF">
        <w:t>ternationale de 2008. Si tel avait été le cas, il aurait eu lieu plus tôt. Les sources économiques du « printemps » égyptien sont plus structurelles que conjoncturelles. Un modèle atteint ses l</w:t>
      </w:r>
      <w:r w:rsidRPr="00BB11AF">
        <w:t>i</w:t>
      </w:r>
      <w:r w:rsidRPr="00BB11AF">
        <w:t>mites et l'Égypte devient un maillon faible de l'économie en cours d'accélér</w:t>
      </w:r>
      <w:r w:rsidRPr="00BB11AF">
        <w:t>a</w:t>
      </w:r>
      <w:r w:rsidRPr="00BB11AF">
        <w:t>tion de la mondialisation.</w:t>
      </w:r>
    </w:p>
    <w:p w:rsidR="003A3061" w:rsidRPr="00BB11AF" w:rsidRDefault="003A3061" w:rsidP="003A3061">
      <w:pPr>
        <w:spacing w:before="120" w:after="120"/>
        <w:jc w:val="both"/>
      </w:pPr>
      <w:r w:rsidRPr="00BB11AF">
        <w:t>La contestation de 2011 n'est pas la première qu'affronte le pouvoir de Moubarak. Pourquoi lui est-elle fatale ? Ici, interviennent les fa</w:t>
      </w:r>
      <w:r w:rsidRPr="00BB11AF">
        <w:t>c</w:t>
      </w:r>
      <w:r w:rsidRPr="00BB11AF">
        <w:t>teurs sociopolitiques, en particulier l'expérience des nombreuses gr</w:t>
      </w:r>
      <w:r w:rsidRPr="00BB11AF">
        <w:t>è</w:t>
      </w:r>
      <w:r w:rsidRPr="00BB11AF">
        <w:t>ves de 2004 à 2008 qui préparent les Égyptiens à affronter les autor</w:t>
      </w:r>
      <w:r w:rsidRPr="00BB11AF">
        <w:t>i</w:t>
      </w:r>
      <w:r w:rsidRPr="00BB11AF">
        <w:t>tés et le déclencheur politique, soit le précédent tunisien qui fait sauter les interdits et montre l'exe</w:t>
      </w:r>
      <w:r w:rsidRPr="00BB11AF">
        <w:t>m</w:t>
      </w:r>
      <w:r w:rsidRPr="00BB11AF">
        <w:t>ple. Si, comme à quelques reprises depuis les années 1980, les conditions économiques suscitent un mo</w:t>
      </w:r>
      <w:r w:rsidRPr="00BB11AF">
        <w:t>u</w:t>
      </w:r>
      <w:r w:rsidRPr="00BB11AF">
        <w:t>vement de masse, les événements récents permettent de transformer celui de 2011 en soulèvement politique.</w:t>
      </w:r>
    </w:p>
    <w:p w:rsidR="003A3061" w:rsidRPr="00BB11AF" w:rsidRDefault="003A3061" w:rsidP="003A3061">
      <w:pPr>
        <w:spacing w:before="120" w:after="120"/>
        <w:jc w:val="both"/>
      </w:pPr>
      <w:r w:rsidRPr="00BB11AF">
        <w:t>[64]</w:t>
      </w:r>
    </w:p>
    <w:p w:rsidR="003A3061" w:rsidRPr="00BB11AF" w:rsidRDefault="003A3061" w:rsidP="003A3061">
      <w:pPr>
        <w:spacing w:before="120" w:after="120"/>
        <w:jc w:val="both"/>
      </w:pPr>
    </w:p>
    <w:p w:rsidR="003A3061" w:rsidRPr="00BB11AF" w:rsidRDefault="003A3061" w:rsidP="003A3061">
      <w:pPr>
        <w:pStyle w:val="a"/>
      </w:pPr>
      <w:r w:rsidRPr="00BB11AF">
        <w:t>Références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Aboulenein, S., H. El-Laithy, O. Helmy, H. Kheir-EI-Din and D. Mandour. 2010. « Impact of the Global Food Price Shock on the Poor in Egypt ». Rapport. CASE-ECES WP157.</w:t>
      </w:r>
    </w:p>
    <w:p w:rsidR="003A3061" w:rsidRPr="00BB11AF" w:rsidRDefault="003A3061" w:rsidP="003A3061">
      <w:pPr>
        <w:spacing w:before="120" w:after="120"/>
        <w:jc w:val="both"/>
      </w:pPr>
      <w:r w:rsidRPr="00BB11AF">
        <w:t>Abu Hatab, A. R. 2009. « Egypt Within the Framework of the Global Financial Crisis : Impact, Response and Way Forward ». Inte</w:t>
      </w:r>
      <w:r w:rsidRPr="00BB11AF">
        <w:t>r</w:t>
      </w:r>
      <w:r w:rsidRPr="00BB11AF">
        <w:t>national Journal of Euro-Mediterranean Studies 2(1)7-25.</w:t>
      </w:r>
    </w:p>
    <w:p w:rsidR="003A3061" w:rsidRPr="00BB11AF" w:rsidRDefault="003A3061" w:rsidP="003A3061">
      <w:pPr>
        <w:spacing w:before="120" w:after="120"/>
        <w:jc w:val="both"/>
      </w:pPr>
      <w:r w:rsidRPr="00BB11AF">
        <w:t>African Development Bank. 2009. « Egypt Private Sector Country Profile ». Rapport.</w:t>
      </w:r>
    </w:p>
    <w:p w:rsidR="003A3061" w:rsidRPr="00BB11AF" w:rsidRDefault="003A3061" w:rsidP="003A3061">
      <w:pPr>
        <w:spacing w:before="120" w:after="120"/>
        <w:jc w:val="both"/>
      </w:pPr>
      <w:r w:rsidRPr="00BB11AF">
        <w:t>—. 2009a. « Egypt. 2007-2011. Country Strategy Paper Mid-Term Review ». Progress Report.</w:t>
      </w:r>
    </w:p>
    <w:p w:rsidR="003A3061" w:rsidRPr="00BB11AF" w:rsidRDefault="003A3061" w:rsidP="003A3061">
      <w:pPr>
        <w:spacing w:before="120" w:after="120"/>
        <w:jc w:val="both"/>
      </w:pPr>
      <w:r w:rsidRPr="00BB11AF">
        <w:t>Alex Bank. 2010. « Egypt'sTourist Industry ». Rapport.</w:t>
      </w:r>
    </w:p>
    <w:p w:rsidR="003A3061" w:rsidRPr="00BB11AF" w:rsidRDefault="003A3061" w:rsidP="003A3061">
      <w:pPr>
        <w:spacing w:before="120" w:after="120"/>
        <w:jc w:val="both"/>
      </w:pPr>
      <w:r w:rsidRPr="00BB11AF">
        <w:t>Alissa, S. 2007. « The Political Economy of Reform in Egypt : Understanding the Rôle of Institutions », Carnegie P</w:t>
      </w:r>
      <w:r w:rsidRPr="00BB11AF">
        <w:t>a</w:t>
      </w:r>
      <w:r w:rsidRPr="00BB11AF">
        <w:t>pers, n°</w:t>
      </w:r>
      <w:r>
        <w:t> </w:t>
      </w:r>
      <w:r w:rsidRPr="00BB11AF">
        <w:t>5.</w:t>
      </w:r>
    </w:p>
    <w:p w:rsidR="003A3061" w:rsidRPr="00BB11AF" w:rsidRDefault="003A3061" w:rsidP="003A3061">
      <w:pPr>
        <w:spacing w:before="120" w:after="120"/>
        <w:jc w:val="both"/>
      </w:pPr>
      <w:r w:rsidRPr="00BB11AF">
        <w:t>Al-Shawarby, S. 2008. « Measuring Inflation in Egypt : Asses</w:t>
      </w:r>
      <w:r w:rsidRPr="00BB11AF">
        <w:t>s</w:t>
      </w:r>
      <w:r w:rsidRPr="00BB11AF">
        <w:t>ment of the CPI Accuracy ». Rapport. The Egyptian Center for Ec</w:t>
      </w:r>
      <w:r w:rsidRPr="00BB11AF">
        <w:t>o</w:t>
      </w:r>
      <w:r w:rsidRPr="00BB11AF">
        <w:t>nomic Studies (ECES) WP 132.</w:t>
      </w:r>
    </w:p>
    <w:p w:rsidR="003A3061" w:rsidRPr="00BB11AF" w:rsidRDefault="003A3061" w:rsidP="003A3061">
      <w:pPr>
        <w:spacing w:before="120" w:after="120"/>
        <w:jc w:val="both"/>
      </w:pPr>
      <w:r w:rsidRPr="00BB11AF">
        <w:t>Badr, A., E. Zakareya and M. Saleh. 2009. « Impact of Global Economic Crisis on Tourism Sector in Egypt : A System Dynamics Approach ». Rapport. The Egyptian Cabinet, Information and Dec</w:t>
      </w:r>
      <w:r w:rsidRPr="00BB11AF">
        <w:t>i</w:t>
      </w:r>
      <w:r w:rsidRPr="00BB11AF">
        <w:t>sion Support Center, Economic Issues Program.</w:t>
      </w:r>
    </w:p>
    <w:p w:rsidR="003A3061" w:rsidRPr="00BB11AF" w:rsidRDefault="003A3061" w:rsidP="003A3061">
      <w:pPr>
        <w:spacing w:before="120" w:after="120"/>
        <w:jc w:val="both"/>
      </w:pPr>
      <w:r w:rsidRPr="00BB11AF">
        <w:t>Biello, D. 2011. « Are High Food Prices Fueling Revolution in Egypt ? » Scientific American. Document électronique :</w:t>
      </w:r>
      <w:r>
        <w:br/>
      </w:r>
      <w:hyperlink r:id="rId30" w:history="1">
        <w:r w:rsidRPr="008A7C9A">
          <w:rPr>
            <w:rStyle w:val="Lienhypertexte"/>
            <w:lang w:bidi="en-US"/>
          </w:rPr>
          <w:t>http://blogs.scientificamerican.com/observations/2011/02/01/are-high-food-prices-</w:t>
        </w:r>
        <w:r w:rsidRPr="008A7C9A">
          <w:rPr>
            <w:rStyle w:val="Lienhypertexte"/>
          </w:rPr>
          <w:t>fueling-revolution-in-egypt/</w:t>
        </w:r>
      </w:hyperlink>
      <w:r>
        <w:t xml:space="preserve"> </w:t>
      </w:r>
    </w:p>
    <w:p w:rsidR="003A3061" w:rsidRPr="00BB11AF" w:rsidRDefault="003A3061" w:rsidP="003A3061">
      <w:pPr>
        <w:spacing w:before="120" w:after="120"/>
        <w:jc w:val="both"/>
      </w:pPr>
      <w:r w:rsidRPr="00BB11AF">
        <w:t>Blin, L., dir. 1993. L'économie égyptienne. Libéralisation et inse</w:t>
      </w:r>
      <w:r w:rsidRPr="00BB11AF">
        <w:t>r</w:t>
      </w:r>
      <w:r w:rsidRPr="00BB11AF">
        <w:t>tion dans le marché mondial. Paris : L'Harmattan.</w:t>
      </w:r>
    </w:p>
    <w:p w:rsidR="003A3061" w:rsidRPr="00BB11AF" w:rsidRDefault="003A3061" w:rsidP="003A3061">
      <w:pPr>
        <w:spacing w:before="120" w:after="120"/>
        <w:jc w:val="both"/>
      </w:pPr>
      <w:r w:rsidRPr="00BB11AF">
        <w:t>Blominvest Bank. 2010. « The Egyptian Economy in 2009 ». Ra</w:t>
      </w:r>
      <w:r w:rsidRPr="00BB11AF">
        <w:t>p</w:t>
      </w:r>
      <w:r w:rsidRPr="00BB11AF">
        <w:t>port.</w:t>
      </w:r>
    </w:p>
    <w:p w:rsidR="003A3061" w:rsidRPr="00BB11AF" w:rsidRDefault="003A3061" w:rsidP="003A3061">
      <w:pPr>
        <w:spacing w:before="120" w:after="120"/>
        <w:jc w:val="both"/>
      </w:pPr>
      <w:r w:rsidRPr="00BB11AF">
        <w:t>Booz &amp; Compagny. 2009. A Rough Patch On a Smooth Road. The Impact of the Economic Crisis on Egypt ». Rapport.</w:t>
      </w:r>
    </w:p>
    <w:p w:rsidR="003A3061" w:rsidRPr="00BB11AF" w:rsidRDefault="003A3061" w:rsidP="003A3061">
      <w:pPr>
        <w:spacing w:before="120" w:after="120"/>
        <w:jc w:val="both"/>
      </w:pPr>
      <w:r w:rsidRPr="00BB11AF">
        <w:t>Center for Trade Union and Workers Service (CTUWS). 2009. « Impacts of the International Financial Crisis on Egy</w:t>
      </w:r>
      <w:r w:rsidRPr="00BB11AF">
        <w:t>p</w:t>
      </w:r>
      <w:r w:rsidRPr="00BB11AF">
        <w:t>tian Workers, Report II ». Rapport.</w:t>
      </w:r>
    </w:p>
    <w:p w:rsidR="003A3061" w:rsidRPr="00BB11AF" w:rsidRDefault="003A3061" w:rsidP="003A3061">
      <w:pPr>
        <w:spacing w:before="120" w:after="120"/>
        <w:jc w:val="both"/>
      </w:pPr>
      <w:r w:rsidRPr="00BB11AF">
        <w:t>Central Bank of Egypt. 2009a. « Economic Review 2008/9 ». Ra</w:t>
      </w:r>
      <w:r w:rsidRPr="00BB11AF">
        <w:t>p</w:t>
      </w:r>
      <w:r w:rsidRPr="00BB11AF">
        <w:t>port. 49(3).</w:t>
      </w:r>
    </w:p>
    <w:p w:rsidR="003A3061" w:rsidRPr="00BB11AF" w:rsidRDefault="003A3061" w:rsidP="003A3061">
      <w:pPr>
        <w:spacing w:before="120" w:after="120"/>
        <w:jc w:val="both"/>
      </w:pPr>
      <w:r w:rsidRPr="00BB11AF">
        <w:t>—. 2009b. « Economic Review 2008/9 ». Rapport. 49(4).</w:t>
      </w:r>
    </w:p>
    <w:p w:rsidR="003A3061" w:rsidRPr="00BB11AF" w:rsidRDefault="003A3061" w:rsidP="003A3061">
      <w:pPr>
        <w:spacing w:before="120" w:after="120"/>
        <w:jc w:val="both"/>
      </w:pPr>
      <w:r w:rsidRPr="00BB11AF">
        <w:t>Davis, E. 1982. Challenging Colonialism : Bank Misrand Egyptian Industrialization, 1920-1341. Princeton : Princeton University Press.</w:t>
      </w:r>
    </w:p>
    <w:p w:rsidR="003A3061" w:rsidRPr="00BB11AF" w:rsidRDefault="003A3061" w:rsidP="003A3061">
      <w:pPr>
        <w:spacing w:before="120" w:after="120"/>
        <w:jc w:val="both"/>
      </w:pPr>
      <w:r w:rsidRPr="00BB11AF">
        <w:t>El-Haddad, A. 2010. « Effects of the Global Crisis on the Egyptian Textiles and Clothing Sector : A Blessing in Disgu</w:t>
      </w:r>
      <w:r w:rsidRPr="00BB11AF">
        <w:t>i</w:t>
      </w:r>
      <w:r w:rsidRPr="00BB11AF">
        <w:t>se ? ». Rapport. ILO-ECES WP 156.</w:t>
      </w:r>
    </w:p>
    <w:p w:rsidR="003A3061" w:rsidRPr="00BB11AF" w:rsidRDefault="003A3061" w:rsidP="003A3061">
      <w:pPr>
        <w:spacing w:before="120" w:after="120"/>
        <w:jc w:val="both"/>
      </w:pPr>
      <w:r w:rsidRPr="00BB11AF">
        <w:t xml:space="preserve">Gana-Oueslati, E. et </w:t>
      </w:r>
      <w:r w:rsidRPr="00BB11AF">
        <w:rPr>
          <w:rStyle w:val="Corpsdutexte27ptGras"/>
          <w:rFonts w:ascii="Times New Roman" w:hAnsi="Times New Roman"/>
          <w:b w:val="0"/>
          <w:sz w:val="28"/>
          <w:lang w:val="fr-CA"/>
        </w:rPr>
        <w:t xml:space="preserve">J.-Y. </w:t>
      </w:r>
      <w:r w:rsidRPr="00BB11AF">
        <w:t>Moisseron. 2010. « La crise ou la fin du mythe de l'émergence en Égypte ». Maghreb-Machrek 206(4) : 17-39.</w:t>
      </w:r>
    </w:p>
    <w:p w:rsidR="003A3061" w:rsidRPr="00BB11AF" w:rsidRDefault="003A3061" w:rsidP="003A3061">
      <w:pPr>
        <w:spacing w:before="120" w:after="120"/>
        <w:jc w:val="both"/>
      </w:pPr>
      <w:r w:rsidRPr="00BB11AF">
        <w:t>Habibi, H. 2009. « The Impact of the Global Economic Crisis on Arab Countries : A Year-End Assessment ». Rapport. Middle East Brief Brandeis University Crown Center for Middle East Studies, 40.</w:t>
      </w:r>
    </w:p>
    <w:p w:rsidR="003A3061" w:rsidRPr="00BB11AF" w:rsidRDefault="003A3061" w:rsidP="003A3061">
      <w:pPr>
        <w:spacing w:before="120" w:after="120"/>
        <w:jc w:val="both"/>
      </w:pPr>
      <w:r w:rsidRPr="00BB11AF">
        <w:t>[65]</w:t>
      </w:r>
    </w:p>
    <w:p w:rsidR="003A3061" w:rsidRPr="00BB11AF" w:rsidRDefault="003A3061" w:rsidP="003A3061">
      <w:pPr>
        <w:spacing w:before="120" w:after="120"/>
        <w:jc w:val="both"/>
      </w:pPr>
      <w:r w:rsidRPr="00BB11AF">
        <w:t>Helmy, O. A. 2008. « The Impact of Budget Deficit on Infl</w:t>
      </w:r>
      <w:r w:rsidRPr="00BB11AF">
        <w:t>a</w:t>
      </w:r>
      <w:r w:rsidRPr="00BB11AF">
        <w:t>tion in Egypt ». Rapport. The Egyptian Center for Economic Studies (ECES) WP 141.</w:t>
      </w:r>
    </w:p>
    <w:p w:rsidR="003A3061" w:rsidRPr="00BB11AF" w:rsidRDefault="003A3061" w:rsidP="003A3061">
      <w:pPr>
        <w:spacing w:before="120" w:after="120"/>
        <w:jc w:val="both"/>
      </w:pPr>
      <w:r w:rsidRPr="00BB11AF">
        <w:t>Herrera, S., H. Selim, H. Youssef and C. Zaki. 2010. « Egypt beyond the Crisis. Medium-Term Challenges for Sustained Growth ». Rapport. World Bank Policy Research WP5451.</w:t>
      </w:r>
    </w:p>
    <w:p w:rsidR="003A3061" w:rsidRPr="00BB11AF" w:rsidRDefault="003A3061" w:rsidP="003A3061">
      <w:pPr>
        <w:spacing w:before="120" w:after="120"/>
        <w:jc w:val="both"/>
      </w:pPr>
      <w:r w:rsidRPr="00BB11AF">
        <w:t>Islam, I. 2009. « The Global Economic Crisis and Developing Countries : Transmission Channels, Fiscal and Policy Sp</w:t>
      </w:r>
      <w:r w:rsidRPr="00BB11AF">
        <w:t>a</w:t>
      </w:r>
      <w:r w:rsidRPr="00BB11AF">
        <w:t>ce and the Design of National Responses ». Rapport. ILO E</w:t>
      </w:r>
      <w:r w:rsidRPr="00BB11AF">
        <w:t>m</w:t>
      </w:r>
      <w:r w:rsidRPr="00BB11AF">
        <w:t>ployaient WP36.</w:t>
      </w:r>
    </w:p>
    <w:p w:rsidR="003A3061" w:rsidRPr="00BB11AF" w:rsidRDefault="003A3061" w:rsidP="003A3061">
      <w:pPr>
        <w:spacing w:before="120" w:after="120"/>
        <w:jc w:val="both"/>
      </w:pPr>
      <w:r w:rsidRPr="00BB11AF">
        <w:t>Kenawy, E. M. 2010. « The World Financial Crisis and its Impact on the World Food Status with Reference to Egypt ». Journal of Basic and Applied Scientific Research i(i) :55-66.</w:t>
      </w:r>
    </w:p>
    <w:p w:rsidR="003A3061" w:rsidRPr="00BB11AF" w:rsidRDefault="003A3061" w:rsidP="003A3061">
      <w:pPr>
        <w:spacing w:before="120" w:after="120"/>
        <w:jc w:val="both"/>
      </w:pPr>
      <w:r w:rsidRPr="00BB11AF">
        <w:t>Koratayev A. V. and J. V. Zinkina. 2011. « Egyptian Revol</w:t>
      </w:r>
      <w:r w:rsidRPr="00BB11AF">
        <w:t>u</w:t>
      </w:r>
      <w:r w:rsidRPr="00BB11AF">
        <w:t>tion : A Demographic Structural Analysis ». Entelequia revista interdisc</w:t>
      </w:r>
      <w:r w:rsidRPr="00BB11AF">
        <w:t>i</w:t>
      </w:r>
      <w:r w:rsidRPr="00BB11AF">
        <w:t>plinar 13 :139-169.</w:t>
      </w:r>
    </w:p>
    <w:p w:rsidR="003A3061" w:rsidRPr="00BB11AF" w:rsidRDefault="003A3061" w:rsidP="003A3061">
      <w:pPr>
        <w:spacing w:before="120" w:after="120"/>
        <w:jc w:val="both"/>
      </w:pPr>
      <w:r w:rsidRPr="00BB11AF">
        <w:t>Labrousse, É. 1948. « 1848-1830-1789. Comment naissent les r</w:t>
      </w:r>
      <w:r w:rsidRPr="00BB11AF">
        <w:t>é</w:t>
      </w:r>
      <w:r w:rsidRPr="00BB11AF">
        <w:t>volutions ? ». In Actes du Congrès historique du centenaire de la R</w:t>
      </w:r>
      <w:r w:rsidRPr="00BB11AF">
        <w:t>é</w:t>
      </w:r>
      <w:r w:rsidRPr="00BB11AF">
        <w:t>volution de 1848. Pp. 1-20. Paris : Presses universitaires de France.</w:t>
      </w:r>
    </w:p>
    <w:p w:rsidR="003A3061" w:rsidRPr="00BB11AF" w:rsidRDefault="003A3061" w:rsidP="003A3061">
      <w:pPr>
        <w:spacing w:before="120" w:after="120"/>
        <w:jc w:val="both"/>
      </w:pPr>
      <w:r w:rsidRPr="00BB11AF">
        <w:t xml:space="preserve">Mabro, R. 1974. </w:t>
      </w:r>
      <w:r w:rsidRPr="00BB11AF">
        <w:rPr>
          <w:i/>
        </w:rPr>
        <w:t>The Egyptian Economy, 1952-1972</w:t>
      </w:r>
      <w:r w:rsidRPr="00BB11AF">
        <w:t>. Oxford : Cl</w:t>
      </w:r>
      <w:r w:rsidRPr="00BB11AF">
        <w:t>a</w:t>
      </w:r>
      <w:r w:rsidRPr="00BB11AF">
        <w:t>rendon Press.</w:t>
      </w:r>
    </w:p>
    <w:p w:rsidR="003A3061" w:rsidRPr="00BB11AF" w:rsidRDefault="003A3061" w:rsidP="003A3061">
      <w:pPr>
        <w:spacing w:before="120" w:after="120"/>
        <w:jc w:val="both"/>
      </w:pPr>
      <w:r w:rsidRPr="00BB11AF">
        <w:t>Mabro, R. and S. Radwan 1976. The Industrialization of Egypt, 1939-1973. Policy and Performance. Oxford : Clarendon Press.</w:t>
      </w:r>
    </w:p>
    <w:p w:rsidR="003A3061" w:rsidRPr="00BB11AF" w:rsidRDefault="003A3061" w:rsidP="003A3061">
      <w:pPr>
        <w:spacing w:before="120" w:after="120"/>
        <w:jc w:val="both"/>
      </w:pPr>
      <w:r w:rsidRPr="00BB11AF">
        <w:t>Maher, S. 2011. « The Political Economy of the Egyptian Upr</w:t>
      </w:r>
      <w:r w:rsidRPr="00BB11AF">
        <w:t>i</w:t>
      </w:r>
      <w:r w:rsidRPr="00BB11AF">
        <w:t xml:space="preserve">sing ». </w:t>
      </w:r>
      <w:r w:rsidRPr="00BB11AF">
        <w:rPr>
          <w:i/>
        </w:rPr>
        <w:t>Monthly Review</w:t>
      </w:r>
      <w:r w:rsidRPr="00BB11AF">
        <w:t>, 63(6) : 32-45.</w:t>
      </w:r>
    </w:p>
    <w:p w:rsidR="003A3061" w:rsidRPr="00BB11AF" w:rsidRDefault="003A3061" w:rsidP="003A3061">
      <w:pPr>
        <w:spacing w:before="120" w:after="120"/>
        <w:jc w:val="both"/>
      </w:pPr>
      <w:r w:rsidRPr="00BB11AF">
        <w:t>Mansour, T. A. 2011. « Egypt &amp; Financial Crisis ». Rapport. M</w:t>
      </w:r>
      <w:r w:rsidRPr="00BB11AF">
        <w:t>u</w:t>
      </w:r>
      <w:r w:rsidRPr="00BB11AF">
        <w:t>nich Personal RePEc Archive (MPRA).</w:t>
      </w:r>
    </w:p>
    <w:p w:rsidR="003A3061" w:rsidRPr="00BB11AF" w:rsidRDefault="003A3061" w:rsidP="003A3061">
      <w:pPr>
        <w:spacing w:before="120" w:after="120"/>
        <w:jc w:val="both"/>
      </w:pPr>
      <w:r w:rsidRPr="00BB11AF">
        <w:t xml:space="preserve">Marei, A. 2009. « Egypt : An Unprotected Economy » Social Watch : 84-85. Document électronique : </w:t>
      </w:r>
      <w:r w:rsidRPr="00BB11AF">
        <w:rPr>
          <w:lang w:bidi="en-US"/>
        </w:rPr>
        <w:t>http ://www.socialwatch.org/sites/default/files/egypt2009_eng.pdf</w:t>
      </w:r>
    </w:p>
    <w:p w:rsidR="003A3061" w:rsidRPr="00BB11AF" w:rsidRDefault="003A3061" w:rsidP="003A3061">
      <w:pPr>
        <w:spacing w:before="120" w:after="120"/>
        <w:jc w:val="both"/>
      </w:pPr>
      <w:r w:rsidRPr="00BB11AF">
        <w:t>Ministry of Finance. 2009. « Egypt's Response to the Global Cr</w:t>
      </w:r>
      <w:r w:rsidRPr="00BB11AF">
        <w:t>i</w:t>
      </w:r>
      <w:r w:rsidRPr="00BB11AF">
        <w:t>sis ». Rapport. Macro Fiscal Policy Unit, Cairo, Egypt.</w:t>
      </w:r>
    </w:p>
    <w:p w:rsidR="003A3061" w:rsidRPr="00BB11AF" w:rsidRDefault="003A3061" w:rsidP="003A3061">
      <w:pPr>
        <w:spacing w:before="120" w:after="120"/>
        <w:jc w:val="both"/>
      </w:pPr>
      <w:r w:rsidRPr="00BB11AF">
        <w:t>_____, 2010. « Egyptian Economic Monitor 2010 ». Rapport. VII (1) : 15-143.</w:t>
      </w:r>
    </w:p>
    <w:p w:rsidR="003A3061" w:rsidRPr="00BB11AF" w:rsidRDefault="003A3061" w:rsidP="003A3061">
      <w:pPr>
        <w:spacing w:before="120" w:after="120"/>
        <w:jc w:val="both"/>
      </w:pPr>
      <w:r w:rsidRPr="00BB11AF">
        <w:t>Orozco, O. and J. Lesaca. 2009. « Impact of the Global Economic Crisis in Arab Countries : A First Assessment ». Rapport. Casa arabe (Madrid).</w:t>
      </w:r>
    </w:p>
    <w:p w:rsidR="003A3061" w:rsidRPr="00BB11AF" w:rsidRDefault="003A3061" w:rsidP="003A3061">
      <w:pPr>
        <w:spacing w:before="120" w:after="120"/>
        <w:jc w:val="both"/>
      </w:pPr>
      <w:r w:rsidRPr="00BB11AF">
        <w:t>Owen, R. 1969. Cotton and the Egyptian Economy, 1820-1914. Oxford : Oxford University Press.</w:t>
      </w:r>
    </w:p>
    <w:p w:rsidR="003A3061" w:rsidRPr="00BB11AF" w:rsidRDefault="003A3061" w:rsidP="003A3061">
      <w:pPr>
        <w:spacing w:before="120" w:after="120"/>
        <w:jc w:val="both"/>
      </w:pPr>
      <w:r w:rsidRPr="00BB11AF">
        <w:t>Perspective monde. N/D. Université de Sherbrooke, Fiches statist</w:t>
      </w:r>
      <w:r w:rsidRPr="00BB11AF">
        <w:t>i</w:t>
      </w:r>
      <w:r w:rsidRPr="00BB11AF">
        <w:t xml:space="preserve">ques sur le chômage. Document électronique : </w:t>
      </w:r>
      <w:r w:rsidRPr="00BB11AF">
        <w:fldChar w:fldCharType="begin"/>
      </w:r>
      <w:r w:rsidR="005C513B">
        <w:instrText>HYPERLINK</w:instrText>
      </w:r>
      <w:r w:rsidRPr="00BB11AF">
        <w:instrText xml:space="preserve"> "http://perspective.usherbrooke.ca/"</w:instrText>
      </w:r>
      <w:r w:rsidRPr="00BB11AF">
        <w:fldChar w:fldCharType="separate"/>
      </w:r>
      <w:r>
        <w:rPr>
          <w:rStyle w:val="Lienhypertexte"/>
          <w:lang w:bidi="en-US"/>
        </w:rPr>
        <w:t>http</w:t>
      </w:r>
      <w:r w:rsidRPr="00BB11AF">
        <w:rPr>
          <w:rStyle w:val="Lienhypertexte"/>
          <w:lang w:bidi="en-US"/>
        </w:rPr>
        <w:t>://perspective.usherbrooke.ca/</w:t>
      </w:r>
      <w:r w:rsidRPr="00BB11AF">
        <w:fldChar w:fldCharType="end"/>
      </w:r>
    </w:p>
    <w:p w:rsidR="003A3061" w:rsidRPr="00BB11AF" w:rsidRDefault="003A3061" w:rsidP="003A3061">
      <w:pPr>
        <w:spacing w:before="120" w:after="120"/>
        <w:jc w:val="both"/>
      </w:pPr>
      <w:r w:rsidRPr="00BB11AF">
        <w:t>Pommier, S. 2008. Égypte, l'envers du décor. Paris : La Découve</w:t>
      </w:r>
      <w:r w:rsidRPr="00BB11AF">
        <w:t>r</w:t>
      </w:r>
      <w:r w:rsidRPr="00BB11AF">
        <w:t>te.</w:t>
      </w:r>
    </w:p>
    <w:p w:rsidR="003A3061" w:rsidRPr="00BB11AF" w:rsidRDefault="003A3061" w:rsidP="003A3061">
      <w:pPr>
        <w:spacing w:before="120" w:after="120"/>
        <w:jc w:val="both"/>
      </w:pPr>
      <w:r w:rsidRPr="00BB11AF">
        <w:t>Programme des Nations Unies pour le Développement. 1990. Ra</w:t>
      </w:r>
      <w:r w:rsidRPr="00BB11AF">
        <w:t>p</w:t>
      </w:r>
      <w:r w:rsidRPr="00BB11AF">
        <w:t>port mondial sur le développement humain 1990. Paris : Éditions Economica.</w:t>
      </w:r>
    </w:p>
    <w:p w:rsidR="003A3061" w:rsidRPr="00BB11AF" w:rsidRDefault="003A3061" w:rsidP="003A3061">
      <w:pPr>
        <w:spacing w:before="120" w:after="120"/>
        <w:jc w:val="both"/>
      </w:pPr>
      <w:r w:rsidRPr="00BB11AF">
        <w:t>Programme des Nations Unies pour le Développement and the Egypt Institute of National Planning. 2010. « Egypt Human Develo</w:t>
      </w:r>
      <w:r w:rsidRPr="00BB11AF">
        <w:t>p</w:t>
      </w:r>
      <w:r w:rsidRPr="00BB11AF">
        <w:t>ment Report 2010 ». Rapport.</w:t>
      </w:r>
    </w:p>
    <w:p w:rsidR="003A3061" w:rsidRPr="00BB11AF" w:rsidRDefault="003A3061" w:rsidP="003A3061">
      <w:pPr>
        <w:spacing w:before="120" w:after="120"/>
        <w:jc w:val="both"/>
      </w:pPr>
      <w:r w:rsidRPr="00BB11AF">
        <w:t>Radwan, S. 2009. « Economic and Social Impact of the Financial and Economic Crisis on Egypt ». Rapport. International Labour Org</w:t>
      </w:r>
      <w:r w:rsidRPr="00BB11AF">
        <w:t>a</w:t>
      </w:r>
      <w:r w:rsidRPr="00BB11AF">
        <w:t>nisation, Subregional Office (ILO, SRO) Caire.</w:t>
      </w:r>
    </w:p>
    <w:p w:rsidR="003A3061" w:rsidRPr="00BB11AF" w:rsidRDefault="003A3061" w:rsidP="003A3061">
      <w:pPr>
        <w:spacing w:before="120" w:after="120"/>
        <w:jc w:val="both"/>
      </w:pPr>
      <w:r w:rsidRPr="00BB11AF">
        <w:t xml:space="preserve">Rady, D. A. 2010. « A Study of the Major Constraints on Egyptian Economic Growth During the Period 1998-2008 : A Comparison with Malaysia ». </w:t>
      </w:r>
      <w:r w:rsidRPr="00BB11AF">
        <w:rPr>
          <w:i/>
        </w:rPr>
        <w:t>Journal of Global Business and Economics</w:t>
      </w:r>
      <w:r w:rsidRPr="00BB11AF">
        <w:t>, 1(1) : 120-140.</w:t>
      </w:r>
    </w:p>
    <w:p w:rsidR="003A3061" w:rsidRPr="00BB11AF" w:rsidRDefault="003A3061" w:rsidP="003A3061">
      <w:pPr>
        <w:spacing w:before="120" w:after="120"/>
        <w:jc w:val="both"/>
      </w:pPr>
      <w:r w:rsidRPr="00BB11AF">
        <w:t>[66]</w:t>
      </w:r>
    </w:p>
    <w:p w:rsidR="003A3061" w:rsidRPr="00BB11AF" w:rsidRDefault="003A3061" w:rsidP="003A3061">
      <w:pPr>
        <w:spacing w:before="120" w:after="120"/>
        <w:jc w:val="both"/>
      </w:pPr>
      <w:r w:rsidRPr="00BB11AF">
        <w:t xml:space="preserve">Riad, H. 1964. </w:t>
      </w:r>
      <w:r w:rsidRPr="00BB11AF">
        <w:rPr>
          <w:i/>
        </w:rPr>
        <w:t>L'Égypte nassérienne</w:t>
      </w:r>
      <w:r w:rsidRPr="00BB11AF">
        <w:t>. Paris : Éditions de m</w:t>
      </w:r>
      <w:r w:rsidRPr="00BB11AF">
        <w:t>i</w:t>
      </w:r>
      <w:r w:rsidRPr="00BB11AF">
        <w:t>nuit.</w:t>
      </w:r>
    </w:p>
    <w:p w:rsidR="003A3061" w:rsidRPr="00BB11AF" w:rsidRDefault="003A3061" w:rsidP="003A3061">
      <w:pPr>
        <w:spacing w:before="120" w:after="120"/>
        <w:jc w:val="both"/>
      </w:pPr>
      <w:r w:rsidRPr="00BB11AF">
        <w:t>Saget, C. and J.-F. Yao, 2011. « The Impact of the Financial and Economic Crisis on Ten African Economies and Labour Markets in 2008-2010 ». Rapport. ILO Employment WP 100.</w:t>
      </w:r>
    </w:p>
    <w:p w:rsidR="003A3061" w:rsidRPr="00BB11AF" w:rsidRDefault="003A3061" w:rsidP="003A3061">
      <w:pPr>
        <w:spacing w:before="120" w:after="120"/>
        <w:jc w:val="both"/>
      </w:pPr>
      <w:r w:rsidRPr="00BB11AF">
        <w:t>Snodgrass, D. R. 2009. « Egypt's Economic Prospects and Cha</w:t>
      </w:r>
      <w:r w:rsidRPr="00BB11AF">
        <w:t>l</w:t>
      </w:r>
      <w:r w:rsidRPr="00BB11AF">
        <w:t>lenges ». Rapport. USAID.</w:t>
      </w:r>
    </w:p>
    <w:p w:rsidR="003A3061" w:rsidRPr="00BB11AF" w:rsidRDefault="003A3061" w:rsidP="003A3061">
      <w:pPr>
        <w:spacing w:before="120" w:after="120"/>
        <w:jc w:val="both"/>
      </w:pPr>
      <w:r w:rsidRPr="00BB11AF">
        <w:t>Solidarity Center. 2010. « The Struggle for Worker Rights in Egypt ». Rapport. Washington.</w:t>
      </w:r>
    </w:p>
    <w:p w:rsidR="003A3061" w:rsidRPr="00BB11AF" w:rsidRDefault="003A3061" w:rsidP="003A3061">
      <w:pPr>
        <w:spacing w:before="120" w:after="120"/>
        <w:jc w:val="both"/>
      </w:pPr>
      <w:r w:rsidRPr="00BB11AF">
        <w:t>Tignor, R. L. 1984. State, Private, Enterprise, and Economic Change in Egypt. 1918-1952. Princeton : Princeton University Press.</w:t>
      </w:r>
    </w:p>
    <w:p w:rsidR="003A3061" w:rsidRPr="00BB11AF" w:rsidRDefault="003A3061" w:rsidP="003A3061">
      <w:pPr>
        <w:spacing w:before="120" w:after="120"/>
        <w:jc w:val="both"/>
      </w:pPr>
      <w:r w:rsidRPr="00BB11AF">
        <w:t>Tripp, C. and R. Owen, dir. 1989. Egypt under Mubarak. Lo</w:t>
      </w:r>
      <w:r w:rsidRPr="00BB11AF">
        <w:t>n</w:t>
      </w:r>
      <w:r w:rsidRPr="00BB11AF">
        <w:t>don/New York : Routledge.</w:t>
      </w:r>
    </w:p>
    <w:p w:rsidR="003A3061" w:rsidRPr="00BB11AF" w:rsidRDefault="003A3061" w:rsidP="003A3061">
      <w:pPr>
        <w:spacing w:before="120" w:after="120"/>
        <w:jc w:val="both"/>
      </w:pPr>
      <w:r w:rsidRPr="00BB11AF">
        <w:t>Waterbury, J. 1983. The Egypt of Nasser and Sadat. The P</w:t>
      </w:r>
      <w:r w:rsidRPr="00BB11AF">
        <w:t>o</w:t>
      </w:r>
      <w:r w:rsidRPr="00BB11AF">
        <w:t>litical Economy of Two Regimes. Princeton : Princeton Unive</w:t>
      </w:r>
      <w:r w:rsidRPr="00BB11AF">
        <w:t>r</w:t>
      </w:r>
      <w:r w:rsidRPr="00BB11AF">
        <w:t>sity Press.</w:t>
      </w:r>
    </w:p>
    <w:p w:rsidR="003A3061" w:rsidRPr="00BB11AF" w:rsidRDefault="003A3061" w:rsidP="003A3061">
      <w:pPr>
        <w:spacing w:before="120" w:after="120"/>
        <w:jc w:val="both"/>
      </w:pPr>
      <w:r w:rsidRPr="00BB11AF">
        <w:t>World Bank. 2002. « Arab Republic of Egypt. Poverty redu</w:t>
      </w:r>
      <w:r w:rsidRPr="00BB11AF">
        <w:t>c</w:t>
      </w:r>
      <w:r w:rsidRPr="00BB11AF">
        <w:t>tion in Egypt. Diagnosis and Strategy ». Rapport.</w:t>
      </w:r>
    </w:p>
    <w:p w:rsidR="003A3061" w:rsidRPr="00BB11AF" w:rsidRDefault="003A3061" w:rsidP="003A3061">
      <w:pPr>
        <w:spacing w:before="120" w:after="120"/>
        <w:jc w:val="both"/>
      </w:pPr>
      <w:r w:rsidRPr="00BB11AF">
        <w:t>_____, 2012. « Arab Republic of Egypt trade brief. World trade ind</w:t>
      </w:r>
      <w:r w:rsidRPr="00BB11AF">
        <w:t>i</w:t>
      </w:r>
      <w:r w:rsidRPr="00BB11AF">
        <w:t>cators 2009/10 ». Pp. 1-3. Rapport.</w:t>
      </w:r>
    </w:p>
    <w:p w:rsidR="003A3061" w:rsidRPr="00BB11AF" w:rsidRDefault="003A3061" w:rsidP="003A3061">
      <w:pPr>
        <w:spacing w:before="120" w:after="120"/>
        <w:jc w:val="both"/>
      </w:pPr>
      <w:r w:rsidRPr="00BB11AF">
        <w:t>Zaytoun, M. 2010. « Implications of the Global Financial and Ec</w:t>
      </w:r>
      <w:r w:rsidRPr="00BB11AF">
        <w:t>o</w:t>
      </w:r>
      <w:r w:rsidRPr="00BB11AF">
        <w:t>nomic Crisis on the Tourism Sector in Egypt ». Rapport. ILO-The Cabinet, Information and Decision Support Center.</w:t>
      </w:r>
    </w:p>
    <w:p w:rsidR="003A3061" w:rsidRDefault="003A3061" w:rsidP="003A3061">
      <w:pPr>
        <w:pStyle w:val="p"/>
      </w:pPr>
    </w:p>
    <w:p w:rsidR="003A3061" w:rsidRPr="00BB11AF" w:rsidRDefault="003A3061" w:rsidP="003A3061">
      <w:pPr>
        <w:pStyle w:val="p"/>
      </w:pPr>
      <w:r w:rsidRPr="00BB11AF">
        <w:br w:type="page"/>
        <w:t>[67]</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hanging="20"/>
        <w:jc w:val="center"/>
        <w:rPr>
          <w:b/>
          <w:sz w:val="24"/>
        </w:rPr>
      </w:pPr>
      <w:bookmarkStart w:id="8" w:name="Crise_et_mise_en_crise_texte_05"/>
      <w:r w:rsidRPr="00BB11AF">
        <w:rPr>
          <w:b/>
          <w:i/>
          <w:color w:val="FF0000"/>
          <w:sz w:val="24"/>
        </w:rPr>
        <w:t>Crise</w:t>
      </w:r>
      <w:r w:rsidRPr="00BB11AF">
        <w:rPr>
          <w:b/>
          <w:sz w:val="24"/>
        </w:rPr>
        <w:t xml:space="preserve"> et mise en </w:t>
      </w:r>
      <w:r w:rsidRPr="00BB11AF">
        <w:rPr>
          <w:b/>
          <w:i/>
          <w:color w:val="FF0000"/>
          <w:sz w:val="24"/>
        </w:rPr>
        <w:t>crise</w:t>
      </w:r>
      <w:r w:rsidRPr="00BB11AF">
        <w:rPr>
          <w:b/>
          <w:sz w:val="24"/>
        </w:rPr>
        <w:t>.</w:t>
      </w:r>
    </w:p>
    <w:p w:rsidR="003A3061" w:rsidRPr="00BB11AF" w:rsidRDefault="003A3061" w:rsidP="003A3061">
      <w:pPr>
        <w:jc w:val="center"/>
        <w:rPr>
          <w:sz w:val="24"/>
        </w:rPr>
      </w:pPr>
      <w:r w:rsidRPr="00BB11AF">
        <w:rPr>
          <w:sz w:val="24"/>
        </w:rPr>
        <w:t>Actes du colloque annuel de l’ACSALF 2012.</w:t>
      </w:r>
    </w:p>
    <w:p w:rsidR="003A3061" w:rsidRPr="00BB11AF" w:rsidRDefault="003A3061" w:rsidP="003A3061">
      <w:pPr>
        <w:jc w:val="center"/>
        <w:rPr>
          <w:sz w:val="24"/>
        </w:rPr>
      </w:pPr>
    </w:p>
    <w:p w:rsidR="003A3061" w:rsidRPr="00BB11AF" w:rsidRDefault="003A3061" w:rsidP="003A3061">
      <w:pPr>
        <w:pStyle w:val="Titreniveau1"/>
      </w:pPr>
      <w:r w:rsidRPr="00BB11AF">
        <w:t>5</w:t>
      </w:r>
    </w:p>
    <w:p w:rsidR="003A3061" w:rsidRPr="00BB11AF" w:rsidRDefault="003A3061" w:rsidP="003A3061">
      <w:pPr>
        <w:pStyle w:val="Titreniveau2"/>
      </w:pPr>
      <w:r w:rsidRPr="00BB11AF">
        <w:t>“Spéculation, « crise » et emploi</w:t>
      </w:r>
      <w:r w:rsidRPr="00BB11AF">
        <w:br/>
        <w:t>au Japon (1980-2014).”</w:t>
      </w:r>
    </w:p>
    <w:bookmarkEnd w:id="8"/>
    <w:p w:rsidR="003A3061" w:rsidRPr="00BB11AF" w:rsidRDefault="003A3061" w:rsidP="003A3061">
      <w:pPr>
        <w:jc w:val="both"/>
        <w:rPr>
          <w:szCs w:val="36"/>
        </w:rPr>
      </w:pPr>
    </w:p>
    <w:p w:rsidR="003A3061" w:rsidRPr="00BB11AF" w:rsidRDefault="003A3061" w:rsidP="003A3061">
      <w:pPr>
        <w:pStyle w:val="suite"/>
      </w:pPr>
      <w:r w:rsidRPr="00BB11AF">
        <w:t>Par Bernard BERNIER</w:t>
      </w:r>
    </w:p>
    <w:p w:rsidR="003A3061" w:rsidRPr="00BB11AF" w:rsidRDefault="003A3061" w:rsidP="003A3061">
      <w:pPr>
        <w:pStyle w:val="auteurst"/>
      </w:pPr>
      <w:r w:rsidRPr="00BB11AF">
        <w:t>Université de Montréal</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right="90" w:firstLine="0"/>
        <w:jc w:val="both"/>
        <w:rPr>
          <w:sz w:val="20"/>
        </w:rPr>
      </w:pPr>
      <w:hyperlink w:anchor="tdm" w:history="1">
        <w:r w:rsidRPr="00BB11AF">
          <w:rPr>
            <w:rStyle w:val="Lienhypertexte"/>
            <w:sz w:val="20"/>
          </w:rPr>
          <w:t>Retour à la table des matières</w:t>
        </w:r>
      </w:hyperlink>
    </w:p>
    <w:p w:rsidR="003A3061" w:rsidRPr="00BB11AF" w:rsidRDefault="00356B29" w:rsidP="003A3061">
      <w:pPr>
        <w:spacing w:before="120" w:after="120"/>
        <w:jc w:val="both"/>
      </w:pPr>
      <w:r w:rsidRPr="00BB11AF">
        <w:rPr>
          <w:noProof/>
          <w:lang w:val="fr-FR" w:eastAsia="fr-FR"/>
        </w:rPr>
        <w:drawing>
          <wp:anchor distT="0" distB="0" distL="63500" distR="182880" simplePos="0" relativeHeight="251653632" behindDoc="1" locked="0" layoutInCell="1" allowOverlap="0">
            <wp:simplePos x="0" y="0"/>
            <wp:positionH relativeFrom="margin">
              <wp:posOffset>51435</wp:posOffset>
            </wp:positionH>
            <wp:positionV relativeFrom="margin">
              <wp:posOffset>3774440</wp:posOffset>
            </wp:positionV>
            <wp:extent cx="1130300" cy="787400"/>
            <wp:effectExtent l="25400" t="25400" r="12700" b="12700"/>
            <wp:wrapTight wrapText="bothSides">
              <wp:wrapPolygon edited="0">
                <wp:start x="-485" y="-697"/>
                <wp:lineTo x="-485" y="21948"/>
                <wp:lineTo x="21843" y="21948"/>
                <wp:lineTo x="21843" y="-697"/>
                <wp:lineTo x="-485" y="-697"/>
              </wp:wrapPolygon>
            </wp:wrapTight>
            <wp:docPr id="23" name="Image 10"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mage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0300" cy="7874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3A3061" w:rsidRPr="00BB11AF">
        <w:t>Le Japon connaît une période de diff</w:t>
      </w:r>
      <w:r w:rsidR="003A3061" w:rsidRPr="00BB11AF">
        <w:t>i</w:t>
      </w:r>
      <w:r w:rsidR="003A3061" w:rsidRPr="00BB11AF">
        <w:t>culté économique depuis 1990. Il y a bien eu une faible reprise entre 2003 et 2007 (taux de croissance annuelle du PIB d'environ 1% en moyenne), mais les diff</w:t>
      </w:r>
      <w:r w:rsidR="003A3061" w:rsidRPr="00BB11AF">
        <w:t>i</w:t>
      </w:r>
      <w:r w:rsidR="003A3061" w:rsidRPr="00BB11AF">
        <w:t>cultés sont apparues de nouveau en 2008, conséquence de la crise f</w:t>
      </w:r>
      <w:r w:rsidR="003A3061" w:rsidRPr="00BB11AF">
        <w:t>i</w:t>
      </w:r>
      <w:r w:rsidR="003A3061" w:rsidRPr="00BB11AF">
        <w:t>nancière américaine des prêts hypothécaires. C'est dans ce contexte de récession importa</w:t>
      </w:r>
      <w:r w:rsidR="003A3061" w:rsidRPr="00BB11AF">
        <w:t>n</w:t>
      </w:r>
      <w:r w:rsidR="003A3061" w:rsidRPr="00BB11AF">
        <w:t>te que le tremblement de terre et le tsunami ont frappé le nord-est du pays en mars 2011, ampl</w:t>
      </w:r>
      <w:r w:rsidR="003A3061" w:rsidRPr="00BB11AF">
        <w:t>i</w:t>
      </w:r>
      <w:r w:rsidR="003A3061" w:rsidRPr="00BB11AF">
        <w:t>fiant, du moins momentanément, les problèmes éc</w:t>
      </w:r>
      <w:r w:rsidR="003A3061" w:rsidRPr="00BB11AF">
        <w:t>o</w:t>
      </w:r>
      <w:r w:rsidR="003A3061" w:rsidRPr="00BB11AF">
        <w:t>nomiques. En 2013, le Japon se sort péniblement de ces difficultés qui l'ont frappé d</w:t>
      </w:r>
      <w:r w:rsidR="003A3061" w:rsidRPr="00BB11AF">
        <w:t>e</w:t>
      </w:r>
      <w:r w:rsidR="003A3061" w:rsidRPr="00BB11AF">
        <w:t>puis 2008. Comment un pays, dont on disait dans les années 1980 qu'il allait forcément d</w:t>
      </w:r>
      <w:r w:rsidR="003A3061" w:rsidRPr="00BB11AF">
        <w:t>e</w:t>
      </w:r>
      <w:r w:rsidR="003A3061" w:rsidRPr="00BB11AF">
        <w:t>venir la puissance financière du monde, a-t-il pu se retrouver en stagnation ou en réce</w:t>
      </w:r>
      <w:r w:rsidR="003A3061" w:rsidRPr="00BB11AF">
        <w:t>s</w:t>
      </w:r>
      <w:r w:rsidR="003A3061" w:rsidRPr="00BB11AF">
        <w:t>sion pour plus de 20 ans, une situation telle qu'on peut de façon prov</w:t>
      </w:r>
      <w:r w:rsidR="003A3061" w:rsidRPr="00BB11AF">
        <w:t>i</w:t>
      </w:r>
      <w:r w:rsidR="003A3061" w:rsidRPr="00BB11AF">
        <w:t>soire la décrire comme une crise qui a frappé non seulement l'économie, mais aussi le travail, l'o</w:t>
      </w:r>
      <w:r w:rsidR="003A3061" w:rsidRPr="00BB11AF">
        <w:t>r</w:t>
      </w:r>
      <w:r w:rsidR="003A3061" w:rsidRPr="00BB11AF">
        <w:t>ganisation politique, l'éducation, etc. ? C'est l'ensemble de ce probl</w:t>
      </w:r>
      <w:r w:rsidR="003A3061" w:rsidRPr="00BB11AF">
        <w:t>è</w:t>
      </w:r>
      <w:r w:rsidR="003A3061" w:rsidRPr="00BB11AF">
        <w:t>me qui est analysé dans les pages suivantes. La première section do</w:t>
      </w:r>
      <w:r w:rsidR="003A3061" w:rsidRPr="00BB11AF">
        <w:t>n</w:t>
      </w:r>
      <w:r w:rsidR="003A3061" w:rsidRPr="00BB11AF">
        <w:t>ne une explication des débuts des difficultés économiques, ce qui ex</w:t>
      </w:r>
      <w:r w:rsidR="003A3061" w:rsidRPr="00BB11AF">
        <w:t>i</w:t>
      </w:r>
      <w:r w:rsidR="003A3061" w:rsidRPr="00BB11AF">
        <w:t>ge au préalable une an</w:t>
      </w:r>
      <w:r w:rsidR="003A3061" w:rsidRPr="00BB11AF">
        <w:t>a</w:t>
      </w:r>
      <w:r w:rsidR="003A3061" w:rsidRPr="00BB11AF">
        <w:t>lyse de la spéculation qui a sévi au Japon dans les a</w:t>
      </w:r>
      <w:r w:rsidR="003A3061" w:rsidRPr="00BB11AF">
        <w:t>n</w:t>
      </w:r>
      <w:r w:rsidR="003A3061" w:rsidRPr="00BB11AF">
        <w:t>nées 1980 et qui est la source de la crise des années 1990. La deuxi</w:t>
      </w:r>
      <w:r w:rsidR="003A3061" w:rsidRPr="00BB11AF">
        <w:t>è</w:t>
      </w:r>
      <w:r w:rsidR="003A3061" w:rsidRPr="00BB11AF">
        <w:t>me présente les conséquences de la crise sur le travail, sur le revenu et sur le financement du gouvernement. Enfin, la tro</w:t>
      </w:r>
      <w:r w:rsidR="003A3061" w:rsidRPr="00BB11AF">
        <w:t>i</w:t>
      </w:r>
      <w:r w:rsidR="003A3061" w:rsidRPr="00BB11AF">
        <w:t>sième porte sur la récession qui s'installe en 2008 et sur les conséquences des catastr</w:t>
      </w:r>
      <w:r w:rsidR="003A3061" w:rsidRPr="00BB11AF">
        <w:t>o</w:t>
      </w:r>
      <w:r w:rsidR="003A3061" w:rsidRPr="00BB11AF">
        <w:t>phes de mars 2011. En conclusion, je me pencherai sur la question : peut-on vraiment parler de crise au J</w:t>
      </w:r>
      <w:r w:rsidR="003A3061" w:rsidRPr="00BB11AF">
        <w:t>a</w:t>
      </w:r>
      <w:r w:rsidR="003A3061" w:rsidRPr="00BB11AF">
        <w:t>pon depuis les années 1990 ?</w:t>
      </w:r>
    </w:p>
    <w:p w:rsidR="003A3061" w:rsidRPr="00BB11AF" w:rsidRDefault="003A3061" w:rsidP="003A3061">
      <w:pPr>
        <w:spacing w:before="120" w:after="120"/>
        <w:jc w:val="both"/>
      </w:pPr>
    </w:p>
    <w:p w:rsidR="003A3061" w:rsidRPr="00BB11AF" w:rsidRDefault="003A3061" w:rsidP="003A3061">
      <w:pPr>
        <w:pStyle w:val="planche"/>
      </w:pPr>
      <w:r w:rsidRPr="00BB11AF">
        <w:t>Les années 1980</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Les difficultés économiques de 1990 sont issues de la spéculation intense sur le prix des terrains et des titres entre 1985 et 1989. La spéc</w:t>
      </w:r>
      <w:r w:rsidRPr="00BB11AF">
        <w:t>u</w:t>
      </w:r>
      <w:r w:rsidRPr="00BB11AF">
        <w:t>lation de ces années était fondée, premièrement, sur les immenses</w:t>
      </w:r>
      <w:r>
        <w:t xml:space="preserve"> </w:t>
      </w:r>
      <w:r w:rsidRPr="00BB11AF">
        <w:t>[68]</w:t>
      </w:r>
      <w:r>
        <w:t xml:space="preserve"> </w:t>
      </w:r>
      <w:r w:rsidRPr="00BB11AF">
        <w:t>entrées de fonds au Japon (surplus commercial, profits des entr</w:t>
      </w:r>
      <w:r w:rsidRPr="00BB11AF">
        <w:t>e</w:t>
      </w:r>
      <w:r w:rsidRPr="00BB11AF">
        <w:t>prises japonaises à l'étranger) qui s'élevaient à plus de 100 milliards de do</w:t>
      </w:r>
      <w:r w:rsidRPr="00BB11AF">
        <w:t>l</w:t>
      </w:r>
      <w:r w:rsidRPr="00BB11AF">
        <w:t>lars US annuellement.</w:t>
      </w:r>
    </w:p>
    <w:p w:rsidR="003A3061" w:rsidRPr="00BB11AF" w:rsidRDefault="003A3061" w:rsidP="003A3061">
      <w:pPr>
        <w:spacing w:before="120" w:after="120"/>
        <w:jc w:val="both"/>
      </w:pPr>
      <w:r w:rsidRPr="00BB11AF">
        <w:t>Deuxièmement, les accords du Plaza en 1985, accords signés par les autorités japonaises après de fortes pressions du gouvernement américain, avaient pour objectif la hausse de la valeur du yen par ra</w:t>
      </w:r>
      <w:r w:rsidRPr="00BB11AF">
        <w:t>p</w:t>
      </w:r>
      <w:r w:rsidRPr="00BB11AF">
        <w:t>port au dollar afin d'abaisser le déficit commercial des États-Unis face au Japon. Appréhendant une chute des export</w:t>
      </w:r>
      <w:r w:rsidRPr="00BB11AF">
        <w:t>a</w:t>
      </w:r>
      <w:r w:rsidRPr="00BB11AF">
        <w:t>tions japonaises (dont les prix en dollars allaient nécessairement augmenter à cause de la nouvelle parité des monnaies nationales) vers les États-Unis, le go</w:t>
      </w:r>
      <w:r w:rsidRPr="00BB11AF">
        <w:t>u</w:t>
      </w:r>
      <w:r w:rsidRPr="00BB11AF">
        <w:t>vernement japonais a abaissé les taux d'intérêt dans l'espoir que cette mesure entraine une baisse des coûts d'e</w:t>
      </w:r>
      <w:r w:rsidRPr="00BB11AF">
        <w:t>m</w:t>
      </w:r>
      <w:r w:rsidRPr="00BB11AF">
        <w:t>prunt de capital, donc les coûts de production, att</w:t>
      </w:r>
      <w:r w:rsidRPr="00BB11AF">
        <w:t>é</w:t>
      </w:r>
      <w:r w:rsidRPr="00BB11AF">
        <w:t>nuant les effets de la hausse de la valeur du yen. Le gouvernement craignait qu'une valeur plus élevée du yen e</w:t>
      </w:r>
      <w:r w:rsidRPr="00BB11AF">
        <w:t>n</w:t>
      </w:r>
      <w:r w:rsidRPr="00BB11AF">
        <w:t>traine une baisse des exportations et la fin de la croissance.</w:t>
      </w:r>
    </w:p>
    <w:p w:rsidR="003A3061" w:rsidRPr="00BB11AF" w:rsidRDefault="003A3061" w:rsidP="003A3061">
      <w:pPr>
        <w:spacing w:before="120" w:after="120"/>
        <w:jc w:val="both"/>
      </w:pPr>
      <w:r w:rsidRPr="00BB11AF">
        <w:t>Le gouvernement japonais a mis en place sa nouvelle politique monétaire dans un contexte institutionnel interne et externe cha</w:t>
      </w:r>
      <w:r w:rsidRPr="00BB11AF">
        <w:t>n</w:t>
      </w:r>
      <w:r w:rsidRPr="00BB11AF">
        <w:t>geant. À l'interne, les entrées massives de fonds étaient en train de modifier le rôle des banques dans le financement des entreprises. En effet, d</w:t>
      </w:r>
      <w:r w:rsidRPr="00BB11AF">
        <w:t>e</w:t>
      </w:r>
      <w:r w:rsidRPr="00BB11AF">
        <w:t>puis les années 1950, la croissance du pays avait été fondée en bonne partie sur une politique risquée de crédit, imposée par le gouvern</w:t>
      </w:r>
      <w:r w:rsidRPr="00BB11AF">
        <w:t>e</w:t>
      </w:r>
      <w:r w:rsidRPr="00BB11AF">
        <w:t>ment. Cette politique était associée à une pr</w:t>
      </w:r>
      <w:r w:rsidRPr="00BB11AF">
        <w:t>o</w:t>
      </w:r>
      <w:r w:rsidRPr="00BB11AF">
        <w:t>tection quasi totale du marché des biens et des capitaux et du choix de se</w:t>
      </w:r>
      <w:r w:rsidRPr="00BB11AF">
        <w:t>c</w:t>
      </w:r>
      <w:r w:rsidRPr="00BB11AF">
        <w:t>teurs industriels à favoriser afin de permettre au pays d'atteindre les niveaux les plus élevés au plan technologique. Étant donné la faiblesse du marché boursier ruiné par la guerre, dans la mobilisation des capitaux à des fins productives, le gouvernement avait, pratiquement, forcé les ba</w:t>
      </w:r>
      <w:r w:rsidRPr="00BB11AF">
        <w:t>n</w:t>
      </w:r>
      <w:r w:rsidRPr="00BB11AF">
        <w:t>ques commerciales - à travers une pratique de directives info</w:t>
      </w:r>
      <w:r w:rsidRPr="00BB11AF">
        <w:t>r</w:t>
      </w:r>
      <w:r w:rsidRPr="00BB11AF">
        <w:t>melles, mais comportant des sanctions si elles n'étaient pas suivies - à prêter aux entreprises man</w:t>
      </w:r>
      <w:r w:rsidRPr="00BB11AF">
        <w:t>u</w:t>
      </w:r>
      <w:r w:rsidRPr="00BB11AF">
        <w:t>facturières dans les secteurs industriels choisis par le ministère de l'I</w:t>
      </w:r>
      <w:r w:rsidRPr="00BB11AF">
        <w:t>n</w:t>
      </w:r>
      <w:r w:rsidRPr="00BB11AF">
        <w:t>dustrie et du Commerce international (Johnson 1982, chapitre 6). Le ministère des Finances avait fixé le taux de co</w:t>
      </w:r>
      <w:r w:rsidRPr="00BB11AF">
        <w:t>u</w:t>
      </w:r>
      <w:r w:rsidRPr="00BB11AF">
        <w:t>verture des banques à 5%, mais il encourageait les banques à prêter au-delà de cette limite et même à prêter plus que leurs avoirs. Cette politique dangereuse a fonctionné pour deux raisons : premi</w:t>
      </w:r>
      <w:r w:rsidRPr="00BB11AF">
        <w:t>è</w:t>
      </w:r>
      <w:r w:rsidRPr="00BB11AF">
        <w:t>rement, la Banque du Japon, donc la banque centrale, a garanti la so</w:t>
      </w:r>
      <w:r w:rsidRPr="00BB11AF">
        <w:t>l</w:t>
      </w:r>
      <w:r w:rsidRPr="00BB11AF">
        <w:t>vabilité des banques en leur prêtant les fonds nécessaires pour faire face à leurs obligations ; les banques avaient donc la garantie du gouvern</w:t>
      </w:r>
      <w:r w:rsidRPr="00BB11AF">
        <w:t>e</w:t>
      </w:r>
      <w:r w:rsidRPr="00BB11AF">
        <w:t>ment ; deuxièmement, la haute croissance, qui débute en 1955, a pe</w:t>
      </w:r>
      <w:r w:rsidRPr="00BB11AF">
        <w:t>r</w:t>
      </w:r>
      <w:r w:rsidRPr="00BB11AF">
        <w:t>mis de rentabiliser les i</w:t>
      </w:r>
      <w:r w:rsidRPr="00BB11AF">
        <w:t>n</w:t>
      </w:r>
      <w:r w:rsidRPr="00BB11AF">
        <w:t>vestissements et les entreprises qui avaient emprunté aux ba</w:t>
      </w:r>
      <w:r w:rsidRPr="00BB11AF">
        <w:t>n</w:t>
      </w:r>
      <w:r w:rsidRPr="00BB11AF">
        <w:t>ques ont pu repayer rapidement leurs dettes.</w:t>
      </w:r>
    </w:p>
    <w:p w:rsidR="003A3061" w:rsidRPr="00BB11AF" w:rsidRDefault="003A3061" w:rsidP="003A3061">
      <w:pPr>
        <w:spacing w:before="120" w:after="120"/>
        <w:jc w:val="both"/>
      </w:pPr>
      <w:r w:rsidRPr="00BB11AF">
        <w:t>Ce système donnait un rôle crucial à la douzaine de grandes ba</w:t>
      </w:r>
      <w:r w:rsidRPr="00BB11AF">
        <w:t>n</w:t>
      </w:r>
      <w:r w:rsidRPr="00BB11AF">
        <w:t>ques commerciales. En effet, le crédit bancaire jusque vers 1975 co</w:t>
      </w:r>
      <w:r w:rsidRPr="00BB11AF">
        <w:t>u</w:t>
      </w:r>
      <w:r w:rsidRPr="00BB11AF">
        <w:t>vrait plus de 80% des besoins des entreprises en capital. Les banques avaient donc une position essentielle dans le fonctionnement de l'éc</w:t>
      </w:r>
      <w:r w:rsidRPr="00BB11AF">
        <w:t>o</w:t>
      </w:r>
      <w:r w:rsidRPr="00BB11AF">
        <w:t>nomie. Les entreprises faisaient affaire avec pl</w:t>
      </w:r>
      <w:r w:rsidRPr="00BB11AF">
        <w:t>u</w:t>
      </w:r>
      <w:r w:rsidRPr="00BB11AF">
        <w:t>sieurs banques, mais, dans le système des groupes industriels et financiers du Japon de</w:t>
      </w:r>
      <w:r>
        <w:t xml:space="preserve"> </w:t>
      </w:r>
      <w:r w:rsidRPr="00BB11AF">
        <w:t>[69]</w:t>
      </w:r>
      <w:r>
        <w:t xml:space="preserve"> </w:t>
      </w:r>
      <w:r w:rsidRPr="00BB11AF">
        <w:t xml:space="preserve">l'époque (les </w:t>
      </w:r>
      <w:r w:rsidRPr="00BB11AF">
        <w:rPr>
          <w:i/>
        </w:rPr>
        <w:t>keiretsu</w:t>
      </w:r>
      <w:r w:rsidRPr="00BB11AF">
        <w:t>), la banque du groupe dont une entreprise faisait partie jouait le rôle de principale source de capital ; elle dev</w:t>
      </w:r>
      <w:r w:rsidRPr="00BB11AF">
        <w:t>e</w:t>
      </w:r>
      <w:r w:rsidRPr="00BB11AF">
        <w:t>nait donc ce qu'on a appelé la banque principale. Cette banque princ</w:t>
      </w:r>
      <w:r w:rsidRPr="00BB11AF">
        <w:t>i</w:t>
      </w:r>
      <w:r w:rsidRPr="00BB11AF">
        <w:t>pale avait aussi la responsabilité de surveiller pour toutes les autres la solvabilité des entreprises dont elle était la banque princ</w:t>
      </w:r>
      <w:r w:rsidRPr="00BB11AF">
        <w:t>i</w:t>
      </w:r>
      <w:r w:rsidRPr="00BB11AF">
        <w:t>pale.</w:t>
      </w:r>
    </w:p>
    <w:p w:rsidR="003A3061" w:rsidRPr="00BB11AF" w:rsidRDefault="003A3061" w:rsidP="003A3061">
      <w:pPr>
        <w:spacing w:before="120" w:after="120"/>
        <w:jc w:val="both"/>
      </w:pPr>
      <w:r w:rsidRPr="00BB11AF">
        <w:t>Dans les années 1980, avec l'entrée massive de fonds qui a e</w:t>
      </w:r>
      <w:r w:rsidRPr="00BB11AF">
        <w:t>n</w:t>
      </w:r>
      <w:r w:rsidRPr="00BB11AF">
        <w:t>trainé l'augmentation des profits des entreprises et également le développ</w:t>
      </w:r>
      <w:r w:rsidRPr="00BB11AF">
        <w:t>e</w:t>
      </w:r>
      <w:r w:rsidRPr="00BB11AF">
        <w:t>ment du marché boursier libéralisé, les banques ont pe</w:t>
      </w:r>
      <w:r w:rsidRPr="00BB11AF">
        <w:t>r</w:t>
      </w:r>
      <w:r w:rsidRPr="00BB11AF">
        <w:t>du peu à peu leur rôle central dans la mobilisation du capital financier. Les entr</w:t>
      </w:r>
      <w:r w:rsidRPr="00BB11AF">
        <w:t>e</w:t>
      </w:r>
      <w:r w:rsidRPr="00BB11AF">
        <w:t>prises pouvaient désormais s'autofinancer à travers leurs profits et le marché boursier. Ce changement du mode de financement des entr</w:t>
      </w:r>
      <w:r w:rsidRPr="00BB11AF">
        <w:t>e</w:t>
      </w:r>
      <w:r w:rsidRPr="00BB11AF">
        <w:t>prises a affecté les banques de deux façons. Premièrement, ces derni</w:t>
      </w:r>
      <w:r w:rsidRPr="00BB11AF">
        <w:t>è</w:t>
      </w:r>
      <w:r w:rsidRPr="00BB11AF">
        <w:t>res ont perdu la capacité déjuger de la solvabilité des entreprises. Deuxièmement, étant donné que les entreprises déposaient leurs pr</w:t>
      </w:r>
      <w:r w:rsidRPr="00BB11AF">
        <w:t>o</w:t>
      </w:r>
      <w:r w:rsidRPr="00BB11AF">
        <w:t>fits dans des comptes banca</w:t>
      </w:r>
      <w:r w:rsidRPr="00BB11AF">
        <w:t>i</w:t>
      </w:r>
      <w:r w:rsidRPr="00BB11AF">
        <w:t>res, les banques se sont retrouvées avec des fonds importants en caisse, elles devaient donc trouver de no</w:t>
      </w:r>
      <w:r w:rsidRPr="00BB11AF">
        <w:t>u</w:t>
      </w:r>
      <w:r w:rsidRPr="00BB11AF">
        <w:t>veaux clients pour le capital qu'elles possédaient. Elles se sont tou</w:t>
      </w:r>
      <w:r w:rsidRPr="00BB11AF">
        <w:t>r</w:t>
      </w:r>
      <w:r w:rsidRPr="00BB11AF">
        <w:t>nées de plus en plus vers le marché immobilier. Pour ce faire, étant donné que la loi les emp</w:t>
      </w:r>
      <w:r w:rsidRPr="00BB11AF">
        <w:t>ê</w:t>
      </w:r>
      <w:r w:rsidRPr="00BB11AF">
        <w:t>chait d'investir directement dans ce secteur, les banques ont créé des filiales : les caisses de crédit hypothécaire. Selon la loi, ces caisses devaient en priorité financer la construction domiciliaire, mais, peu à peu, elles se sont lancées dans des domaines plus re</w:t>
      </w:r>
      <w:r w:rsidRPr="00BB11AF">
        <w:t>n</w:t>
      </w:r>
      <w:r w:rsidRPr="00BB11AF">
        <w:t>tables, bien que plus spéculatifs, c'est-à-dire la construction de tours de bureaux à Tokyo et le développement de centres de lo</w:t>
      </w:r>
      <w:r w:rsidRPr="00BB11AF">
        <w:t>i</w:t>
      </w:r>
      <w:r w:rsidRPr="00BB11AF">
        <w:t>sirs de luxe (terrains de golf, centres de ski, spas, etc.).</w:t>
      </w:r>
    </w:p>
    <w:p w:rsidR="003A3061" w:rsidRPr="00BB11AF" w:rsidRDefault="003A3061" w:rsidP="003A3061">
      <w:pPr>
        <w:spacing w:before="120" w:after="120"/>
        <w:jc w:val="both"/>
      </w:pPr>
      <w:r w:rsidRPr="00BB11AF">
        <w:t>Le lien entre les hauts fonctionnaires des ministères à fonction économique (ministère des Finances, ministère de l'Industrie et du Co</w:t>
      </w:r>
      <w:r w:rsidRPr="00BB11AF">
        <w:t>m</w:t>
      </w:r>
      <w:r w:rsidRPr="00BB11AF">
        <w:t>merce international) et les dirigeants des entreprises qu'ils avaient la mission de surveiller constitue un autre aspect du cadre institutio</w:t>
      </w:r>
      <w:r w:rsidRPr="00BB11AF">
        <w:t>n</w:t>
      </w:r>
      <w:r w:rsidRPr="00BB11AF">
        <w:t>nel de l'époque. Leur mandat dans les ministères permettait aux fon</w:t>
      </w:r>
      <w:r w:rsidRPr="00BB11AF">
        <w:t>c</w:t>
      </w:r>
      <w:r w:rsidRPr="00BB11AF">
        <w:t>tionnaires de tisser des liens serrés avec les dir</w:t>
      </w:r>
      <w:r w:rsidRPr="00BB11AF">
        <w:t>i</w:t>
      </w:r>
      <w:r w:rsidRPr="00BB11AF">
        <w:t>geants d'entreprises dans les secteurs auxquels ils étaient assignés. À leur retraite, à 55 ans, les fonctionnaires qui avaient pris le soin de créer des relations suivies avec les directions des entreprises pouvaient alors devenir c</w:t>
      </w:r>
      <w:r w:rsidRPr="00BB11AF">
        <w:t>a</w:t>
      </w:r>
      <w:r w:rsidRPr="00BB11AF">
        <w:t xml:space="preserve">dres de ces entreprises, avec une forte hausse de salaire. Inutile de dire que ce système, appelé </w:t>
      </w:r>
      <w:r w:rsidRPr="00BB11AF">
        <w:rPr>
          <w:i/>
        </w:rPr>
        <w:t>amakudari</w:t>
      </w:r>
      <w:r w:rsidRPr="00BB11AF">
        <w:t>, ce qui signifie « descente du ciel », permettait diverses formes de collusion qui sont apparues cla</w:t>
      </w:r>
      <w:r w:rsidRPr="00BB11AF">
        <w:t>i</w:t>
      </w:r>
      <w:r w:rsidRPr="00BB11AF">
        <w:t>rement dans les années 1990 et qui ont mené à des arrestations et à des peines de prison (Curtiss 2012).</w:t>
      </w:r>
    </w:p>
    <w:p w:rsidR="003A3061" w:rsidRPr="00BB11AF" w:rsidRDefault="003A3061" w:rsidP="003A3061">
      <w:pPr>
        <w:spacing w:before="120" w:after="120"/>
        <w:jc w:val="both"/>
      </w:pPr>
      <w:r w:rsidRPr="00BB11AF">
        <w:t>Au plan international, le développement des politiques néolibér</w:t>
      </w:r>
      <w:r w:rsidRPr="00BB11AF">
        <w:t>a</w:t>
      </w:r>
      <w:r w:rsidRPr="00BB11AF">
        <w:t>les, d'abord en Angleterre, puis aux États-Unis, entraînait des pre</w:t>
      </w:r>
      <w:r w:rsidRPr="00BB11AF">
        <w:t>s</w:t>
      </w:r>
      <w:r w:rsidRPr="00BB11AF">
        <w:t>sions pour l'ouverture des marchés. Le marché japonais était partic</w:t>
      </w:r>
      <w:r w:rsidRPr="00BB11AF">
        <w:t>u</w:t>
      </w:r>
      <w:r w:rsidRPr="00BB11AF">
        <w:t>lièr</w:t>
      </w:r>
      <w:r w:rsidRPr="00BB11AF">
        <w:t>e</w:t>
      </w:r>
      <w:r w:rsidRPr="00BB11AF">
        <w:t>ment visé, étant donné sa fermeture et les surplus commerciaux chr</w:t>
      </w:r>
      <w:r w:rsidRPr="00BB11AF">
        <w:t>o</w:t>
      </w:r>
      <w:r w:rsidRPr="00BB11AF">
        <w:t>niques du pays, surtout face aux États-Unis. En même temps, se dév</w:t>
      </w:r>
      <w:r w:rsidRPr="00BB11AF">
        <w:t>e</w:t>
      </w:r>
      <w:r w:rsidRPr="00BB11AF">
        <w:t>loppaient les nouvelles technologies de télécommunication et de tra</w:t>
      </w:r>
      <w:r w:rsidRPr="00BB11AF">
        <w:t>i</w:t>
      </w:r>
      <w:r w:rsidRPr="00BB11AF">
        <w:t>tement de l'information, qui ouvraient de nouvelles possibilités pour les</w:t>
      </w:r>
      <w:r>
        <w:t xml:space="preserve"> </w:t>
      </w:r>
      <w:r w:rsidRPr="00BB11AF">
        <w:t>[70]</w:t>
      </w:r>
      <w:r>
        <w:t xml:space="preserve"> </w:t>
      </w:r>
      <w:r w:rsidRPr="00BB11AF">
        <w:t>transactions financières, ce qui, de plus en plus, forçait le système f</w:t>
      </w:r>
      <w:r w:rsidRPr="00BB11AF">
        <w:t>i</w:t>
      </w:r>
      <w:r w:rsidRPr="00BB11AF">
        <w:t>nancier japonais à s'ouvrir aux circuits mondiaux. À partir de 1975, le gouvernement japonais a dû graduellement déréglementer et libér</w:t>
      </w:r>
      <w:r w:rsidRPr="00BB11AF">
        <w:t>a</w:t>
      </w:r>
      <w:r w:rsidRPr="00BB11AF">
        <w:t>liser un marché financier jusque-là très protégé et fortement régleme</w:t>
      </w:r>
      <w:r w:rsidRPr="00BB11AF">
        <w:t>n</w:t>
      </w:r>
      <w:r w:rsidRPr="00BB11AF">
        <w:t>té (par exemple, jusqu'à la fin des années 1970, tous les taux d'intérêt sur les dépôts et pour le crédit étaient fixés par le ministère des Fina</w:t>
      </w:r>
      <w:r w:rsidRPr="00BB11AF">
        <w:t>n</w:t>
      </w:r>
      <w:r w:rsidRPr="00BB11AF">
        <w:t>ces).</w:t>
      </w:r>
    </w:p>
    <w:p w:rsidR="003A3061" w:rsidRPr="00BB11AF" w:rsidRDefault="003A3061" w:rsidP="003A3061">
      <w:pPr>
        <w:spacing w:before="120" w:after="120"/>
        <w:jc w:val="both"/>
      </w:pPr>
      <w:r w:rsidRPr="00BB11AF">
        <w:t>C'est dans ce contexte que les accords du Plaza ont été signés en 1985. En ce qui concerne le Japon, le point le plus important était la hausse de la valeur du yen par rapport au dollar américain. Les a</w:t>
      </w:r>
      <w:r w:rsidRPr="00BB11AF">
        <w:t>c</w:t>
      </w:r>
      <w:r w:rsidRPr="00BB11AF">
        <w:t>cords du Plaza marquaient une phase nouvelle dans la politique mon</w:t>
      </w:r>
      <w:r w:rsidRPr="00BB11AF">
        <w:t>é</w:t>
      </w:r>
      <w:r w:rsidRPr="00BB11AF">
        <w:t>taire américaine. En effet, depuis 1980, le Président Reagan avait vo</w:t>
      </w:r>
      <w:r w:rsidRPr="00BB11AF">
        <w:t>u</w:t>
      </w:r>
      <w:r w:rsidRPr="00BB11AF">
        <w:t>lu maintenir le dollar à une valeur élevée par rapport aux autres dev</w:t>
      </w:r>
      <w:r w:rsidRPr="00BB11AF">
        <w:t>i</w:t>
      </w:r>
      <w:r w:rsidRPr="00BB11AF">
        <w:t>ses, une politique fondée sur le maintien du prestige du pays comme première puissance financière du monde. Mais avec l'accélération de la désindustrialisation-le seul secteur automobile américain avait pe</w:t>
      </w:r>
      <w:r w:rsidRPr="00BB11AF">
        <w:t>r</w:t>
      </w:r>
      <w:r w:rsidRPr="00BB11AF">
        <w:t>du env</w:t>
      </w:r>
      <w:r w:rsidRPr="00BB11AF">
        <w:t>i</w:t>
      </w:r>
      <w:r w:rsidRPr="00BB11AF">
        <w:t>ron un million d'emplois entre 1978 et 1984 (Rae 1984)-, avec aussi le déficit commercial grandissant face au Japon et dans une p</w:t>
      </w:r>
      <w:r w:rsidRPr="00BB11AF">
        <w:t>é</w:t>
      </w:r>
      <w:r w:rsidRPr="00BB11AF">
        <w:t>riode de stagnation économique, l'administration américaine a changé sa politique afin de relancer l'éc</w:t>
      </w:r>
      <w:r w:rsidRPr="00BB11AF">
        <w:t>o</w:t>
      </w:r>
      <w:r w:rsidRPr="00BB11AF">
        <w:t>nomie.</w:t>
      </w:r>
    </w:p>
    <w:p w:rsidR="003A3061" w:rsidRPr="00BB11AF" w:rsidRDefault="003A3061" w:rsidP="003A3061">
      <w:pPr>
        <w:spacing w:before="120" w:after="120"/>
        <w:jc w:val="both"/>
      </w:pPr>
      <w:r w:rsidRPr="00BB11AF">
        <w:t>Les accords de 1985 ont entrainé des conséquences importantes au Japon. En premier lieu, la Banque du Japon a abaissé son taux dire</w:t>
      </w:r>
      <w:r w:rsidRPr="00BB11AF">
        <w:t>c</w:t>
      </w:r>
      <w:r w:rsidRPr="00BB11AF">
        <w:t>teur à 2,5%, rendant ainsi le crédit plus facile. Comme nous l'avons vu, cette mesure avait pour but de contrer les baisses a</w:t>
      </w:r>
      <w:r w:rsidRPr="00BB11AF">
        <w:t>p</w:t>
      </w:r>
      <w:r w:rsidRPr="00BB11AF">
        <w:t>préhendées des exportations, conséquence de la hausse de la v</w:t>
      </w:r>
      <w:r w:rsidRPr="00BB11AF">
        <w:t>a</w:t>
      </w:r>
      <w:r w:rsidRPr="00BB11AF">
        <w:t>leur du yen qui allait faire augmenter le prix des exportations. Deuxi</w:t>
      </w:r>
      <w:r w:rsidRPr="00BB11AF">
        <w:t>è</w:t>
      </w:r>
      <w:r w:rsidRPr="00BB11AF">
        <w:t>mement, avec des taux d'intérêt faibles et des surplus de capital difficiles à utiliser d'une manière productive, les institutions fina</w:t>
      </w:r>
      <w:r w:rsidRPr="00BB11AF">
        <w:t>n</w:t>
      </w:r>
      <w:r w:rsidRPr="00BB11AF">
        <w:t>cières se sont lancées encore plus qu'auparavant dans le financ</w:t>
      </w:r>
      <w:r w:rsidRPr="00BB11AF">
        <w:t>e</w:t>
      </w:r>
      <w:r w:rsidRPr="00BB11AF">
        <w:t>ment de projets spéculatifs. Dans le cas des tours de bureaux à Tokyo, l'intensification de la con</w:t>
      </w:r>
      <w:r w:rsidRPr="00BB11AF">
        <w:t>s</w:t>
      </w:r>
      <w:r w:rsidRPr="00BB11AF">
        <w:t>truction venait de prév</w:t>
      </w:r>
      <w:r w:rsidRPr="00BB11AF">
        <w:t>i</w:t>
      </w:r>
      <w:r w:rsidRPr="00BB11AF">
        <w:t>sions selon lesquelles Tokyo deviendrait le centre du marché financier mondial dans les années 1990. Dans l'a</w:t>
      </w:r>
      <w:r w:rsidRPr="00BB11AF">
        <w:t>t</w:t>
      </w:r>
      <w:r w:rsidRPr="00BB11AF">
        <w:t>tente de la venue en masse d'entreprises financières étrangères à T</w:t>
      </w:r>
      <w:r w:rsidRPr="00BB11AF">
        <w:t>o</w:t>
      </w:r>
      <w:r w:rsidRPr="00BB11AF">
        <w:t>kyo, les prom</w:t>
      </w:r>
      <w:r w:rsidRPr="00BB11AF">
        <w:t>o</w:t>
      </w:r>
      <w:r w:rsidRPr="00BB11AF">
        <w:t>teurs ont emprunté d'énormes sommes pour construire de no</w:t>
      </w:r>
      <w:r w:rsidRPr="00BB11AF">
        <w:t>u</w:t>
      </w:r>
      <w:r w:rsidRPr="00BB11AF">
        <w:t>veaux édifices. Le cas des centres de loisirs est plus complexe. Dans les années 1980, les Japonais ont connu une hausse impressio</w:t>
      </w:r>
      <w:r w:rsidRPr="00BB11AF">
        <w:t>n</w:t>
      </w:r>
      <w:r w:rsidRPr="00BB11AF">
        <w:t>nante de leurs revenus moyens et toutes les couches de la p</w:t>
      </w:r>
      <w:r w:rsidRPr="00BB11AF">
        <w:t>o</w:t>
      </w:r>
      <w:r w:rsidRPr="00BB11AF">
        <w:t>pulation en ont profité. Mais avec une forte hausse du prix des terrains dans les grandes villes, très peu de Japonais vivant dans ces villes, là où les revenus étaient les plus élevés, ont pu à ce m</w:t>
      </w:r>
      <w:r w:rsidRPr="00BB11AF">
        <w:t>o</w:t>
      </w:r>
      <w:r w:rsidRPr="00BB11AF">
        <w:t>ment avoir accès à la propriété d</w:t>
      </w:r>
      <w:r w:rsidRPr="00BB11AF">
        <w:t>o</w:t>
      </w:r>
      <w:r w:rsidRPr="00BB11AF">
        <w:t>miciliaire. Il existe en effet un décalage entre la propriété dans les grandes villes (à Tokyo, le r</w:t>
      </w:r>
      <w:r w:rsidRPr="00BB11AF">
        <w:t>a</w:t>
      </w:r>
      <w:r w:rsidRPr="00BB11AF">
        <w:t>tio de propriétaires par rapport au nombre total de domiciles est de moins de 45% et la plupart des propriétaires avaient acquis leur propriété bien avant 1990)</w:t>
      </w:r>
      <w:r>
        <w:t> </w:t>
      </w:r>
      <w:r>
        <w:rPr>
          <w:rStyle w:val="Appelnotedebasdep"/>
        </w:rPr>
        <w:footnoteReference w:id="39"/>
      </w:r>
      <w:r w:rsidRPr="00BB11AF">
        <w:t xml:space="preserve"> et celle qui a cours dans les régions (à Fukui, il y a quatre fois plus de propri</w:t>
      </w:r>
      <w:r w:rsidRPr="00BB11AF">
        <w:t>é</w:t>
      </w:r>
      <w:r w:rsidRPr="00BB11AF">
        <w:t>taires que de loc</w:t>
      </w:r>
      <w:r w:rsidRPr="00BB11AF">
        <w:t>a</w:t>
      </w:r>
      <w:r w:rsidRPr="00BB11AF">
        <w:t>taires). Ayant des revenus importants et peu d'accès à la propriété, plusieurs Japonais, surtout en milieu urbain, ont dépe</w:t>
      </w:r>
      <w:r w:rsidRPr="00BB11AF">
        <w:t>n</w:t>
      </w:r>
      <w:r w:rsidRPr="00BB11AF">
        <w:t>sé pour des loisirs : voyages à l'étranger, mais aussi fréquentation de ce</w:t>
      </w:r>
      <w:r w:rsidRPr="00BB11AF">
        <w:t>n</w:t>
      </w:r>
      <w:r w:rsidRPr="00BB11AF">
        <w:t>tres de ski, de club de golf, de spas ou de</w:t>
      </w:r>
      <w:r>
        <w:t xml:space="preserve"> </w:t>
      </w:r>
      <w:r w:rsidRPr="00BB11AF">
        <w:t>[71]</w:t>
      </w:r>
      <w:r>
        <w:t xml:space="preserve"> </w:t>
      </w:r>
      <w:r w:rsidRPr="00BB11AF">
        <w:t>plages dans le pays. C'est pour faire face à cette demande grandi</w:t>
      </w:r>
      <w:r w:rsidRPr="00BB11AF">
        <w:t>s</w:t>
      </w:r>
      <w:r w:rsidRPr="00BB11AF">
        <w:t>sante pour des loisirs que des promoteurs se sont lancés dans le dév</w:t>
      </w:r>
      <w:r w:rsidRPr="00BB11AF">
        <w:t>e</w:t>
      </w:r>
      <w:r w:rsidRPr="00BB11AF">
        <w:t>loppement de ce genre de services. Tout cela a entrainé une dema</w:t>
      </w:r>
      <w:r w:rsidRPr="00BB11AF">
        <w:t>n</w:t>
      </w:r>
      <w:r w:rsidRPr="00BB11AF">
        <w:t>de en forte hausse pour des terrains, ce qui a causé une spéculation intense dans l'immobilier, su</w:t>
      </w:r>
      <w:r w:rsidRPr="00BB11AF">
        <w:t>r</w:t>
      </w:r>
      <w:r w:rsidRPr="00BB11AF">
        <w:t>tout à Tokyo et dans les environs, bientôt su</w:t>
      </w:r>
      <w:r w:rsidRPr="00BB11AF">
        <w:t>i</w:t>
      </w:r>
      <w:r w:rsidRPr="00BB11AF">
        <w:t>vie par de la spéculation sur les valeurs mobili</w:t>
      </w:r>
      <w:r w:rsidRPr="00BB11AF">
        <w:t>è</w:t>
      </w:r>
      <w:r w:rsidRPr="00BB11AF">
        <w:t>res.</w:t>
      </w:r>
    </w:p>
    <w:p w:rsidR="003A3061" w:rsidRPr="00BB11AF" w:rsidRDefault="003A3061" w:rsidP="003A3061">
      <w:pPr>
        <w:spacing w:before="120" w:after="120"/>
        <w:jc w:val="both"/>
      </w:pPr>
      <w:r w:rsidRPr="00BB11AF">
        <w:t>Les banques et autres institutions financières ont, par leurs activ</w:t>
      </w:r>
      <w:r w:rsidRPr="00BB11AF">
        <w:t>i</w:t>
      </w:r>
      <w:r w:rsidRPr="00BB11AF">
        <w:t>tés, accéléré la hausse des prix des terrains et des actions et en ont fort</w:t>
      </w:r>
      <w:r w:rsidRPr="00BB11AF">
        <w:t>e</w:t>
      </w:r>
      <w:r w:rsidRPr="00BB11AF">
        <w:t>ment profité (Fujii and Kawai 2010). Le crédit excessif, souvent sans garantie ou avec des garanties douteuses, et sa concentration dans des secteurs mal réglementés, ont fragilisé le système financier. De plus, les institutions financières calculaient leurs avoirs en incluant les v</w:t>
      </w:r>
      <w:r w:rsidRPr="00BB11AF">
        <w:t>a</w:t>
      </w:r>
      <w:r w:rsidRPr="00BB11AF">
        <w:t>leurs mobilières qu'elles possédaient en grande quantité ce qui, avec la forte augmentation du prix de ces valeurs, haussait artificiellement leur capital. Ces pratiques sont à la base de la forte hausse des ma</w:t>
      </w:r>
      <w:r w:rsidRPr="00BB11AF">
        <w:t>u</w:t>
      </w:r>
      <w:r w:rsidRPr="00BB11AF">
        <w:t>vaises créances et de la forte baisse de la capitalisation des banques après 1995.</w:t>
      </w:r>
    </w:p>
    <w:p w:rsidR="003A3061" w:rsidRPr="00BB11AF" w:rsidRDefault="003A3061" w:rsidP="003A3061">
      <w:pPr>
        <w:spacing w:before="120" w:after="120"/>
        <w:jc w:val="both"/>
      </w:pPr>
      <w:r w:rsidRPr="00BB11AF">
        <w:t>La spéculation immobilière a donné lieu à différentes pratiques do</w:t>
      </w:r>
      <w:r w:rsidRPr="00BB11AF">
        <w:t>u</w:t>
      </w:r>
      <w:r w:rsidRPr="00BB11AF">
        <w:t>teuses, auxquelles les groupes du crime organisé (les yakuza) ont participé. On note, par exemple, la vente en séries de parcelles, so</w:t>
      </w:r>
      <w:r w:rsidRPr="00BB11AF">
        <w:t>u</w:t>
      </w:r>
      <w:r w:rsidRPr="00BB11AF">
        <w:t>vent à l'intérieur d'un même groupe d'entreprises ou d'un même gro</w:t>
      </w:r>
      <w:r w:rsidRPr="00BB11AF">
        <w:t>u</w:t>
      </w:r>
      <w:r w:rsidRPr="00BB11AF">
        <w:t>pe du crime organisé, pour faire augmenter les prix ; l'intimid</w:t>
      </w:r>
      <w:r w:rsidRPr="00BB11AF">
        <w:t>a</w:t>
      </w:r>
      <w:r w:rsidRPr="00BB11AF">
        <w:t>tion de petits propriétaires qui refusaient de vendre leur propriété à des gro</w:t>
      </w:r>
      <w:r w:rsidRPr="00BB11AF">
        <w:t>u</w:t>
      </w:r>
      <w:r w:rsidRPr="00BB11AF">
        <w:t>pes qui voulaient remembrer des parcelles plus grandes qu'ils po</w:t>
      </w:r>
      <w:r w:rsidRPr="00BB11AF">
        <w:t>u</w:t>
      </w:r>
      <w:r w:rsidRPr="00BB11AF">
        <w:t>vaient ensu</w:t>
      </w:r>
      <w:r w:rsidRPr="00BB11AF">
        <w:t>i</w:t>
      </w:r>
      <w:r w:rsidRPr="00BB11AF">
        <w:t>te vendre à des promoteurs ; l'emprunt aux banques sur la base du prix des terrains en hausse afin de jouer à la bourse ; le d</w:t>
      </w:r>
      <w:r w:rsidRPr="00BB11AF">
        <w:t>é</w:t>
      </w:r>
      <w:r w:rsidRPr="00BB11AF">
        <w:t>tournement de plus en plus important des fonds prévus pour la con</w:t>
      </w:r>
      <w:r w:rsidRPr="00BB11AF">
        <w:t>s</w:t>
      </w:r>
      <w:r w:rsidRPr="00BB11AF">
        <w:t>truction domiciliaire vers les projets spéculatifs plus profitables. To</w:t>
      </w:r>
      <w:r w:rsidRPr="00BB11AF">
        <w:t>u</w:t>
      </w:r>
      <w:r w:rsidRPr="00BB11AF">
        <w:t>tes ces pratiques ont entrainé une surchauffe de l'économie qui a su</w:t>
      </w:r>
      <w:r w:rsidRPr="00BB11AF">
        <w:t>s</w:t>
      </w:r>
      <w:r w:rsidRPr="00BB11AF">
        <w:t>cité chez les dir</w:t>
      </w:r>
      <w:r w:rsidRPr="00BB11AF">
        <w:t>i</w:t>
      </w:r>
      <w:r w:rsidRPr="00BB11AF">
        <w:t>geants politiques la crainte de l'inflation. C'est dans ce contexte que le gouvernement a décidé de prendre des mesures pour ralentir la spéculation. Malheureusement, le monde entrait à ce m</w:t>
      </w:r>
      <w:r w:rsidRPr="00BB11AF">
        <w:t>o</w:t>
      </w:r>
      <w:r w:rsidRPr="00BB11AF">
        <w:t>ment dans une période de ralentissement économique, un ralentiss</w:t>
      </w:r>
      <w:r w:rsidRPr="00BB11AF">
        <w:t>e</w:t>
      </w:r>
      <w:r w:rsidRPr="00BB11AF">
        <w:t>ment qui allait a</w:t>
      </w:r>
      <w:r w:rsidRPr="00BB11AF">
        <w:t>m</w:t>
      </w:r>
      <w:r w:rsidRPr="00BB11AF">
        <w:t>plifier les effets négatifs de la nouvelle politique monétaire restrictive du gouve</w:t>
      </w:r>
      <w:r w:rsidRPr="00BB11AF">
        <w:t>r</w:t>
      </w:r>
      <w:r w:rsidRPr="00BB11AF">
        <w:t>nement.</w:t>
      </w:r>
    </w:p>
    <w:p w:rsidR="003A3061" w:rsidRPr="00BB11AF" w:rsidRDefault="003A3061" w:rsidP="003A3061">
      <w:pPr>
        <w:spacing w:before="120" w:after="120"/>
        <w:jc w:val="both"/>
      </w:pPr>
    </w:p>
    <w:p w:rsidR="003A3061" w:rsidRPr="00BB11AF" w:rsidRDefault="003A3061" w:rsidP="003A3061">
      <w:pPr>
        <w:pStyle w:val="planche"/>
      </w:pPr>
      <w:r w:rsidRPr="00BB11AF">
        <w:t>Les difficultés des années 1990</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Pour contrôler le danger appréhendé de l'inflation, en décembre 1989, le gouvernement a haussé soudainement le taux d'intérêt (de 2,5 à 6%). Dès janvier 1990, le prix des actions a baissé à la bourse de T</w:t>
      </w:r>
      <w:r w:rsidRPr="00BB11AF">
        <w:t>o</w:t>
      </w:r>
      <w:r w:rsidRPr="00BB11AF">
        <w:t>kyo. Entre janvier et septembre 1990, l'indice Nikkei de la bourse de Tokyo (équivalent de l'indice Dow-Jones à la bourse de New York) a baissé de 40%, passant d'un sommet de près de 39 000 à environ 21000. Puis, en 1991, le prix des terrains, qui avait continué sa pr</w:t>
      </w:r>
      <w:r w:rsidRPr="00BB11AF">
        <w:t>o</w:t>
      </w:r>
      <w:r w:rsidRPr="00BB11AF">
        <w:t>gression en 1990, a commencé à chuter, ce qui a rendu plusieurs pr</w:t>
      </w:r>
      <w:r w:rsidRPr="00BB11AF">
        <w:t>o</w:t>
      </w:r>
      <w:r w:rsidRPr="00BB11AF">
        <w:t>jets immobiliers non rentables. Un certain nombre d'entreprises eng</w:t>
      </w:r>
      <w:r w:rsidRPr="00BB11AF">
        <w:t>a</w:t>
      </w:r>
      <w:r w:rsidRPr="00BB11AF">
        <w:t>gées dans l'immobilier ont été incapables de rembourser les prêts aux dates</w:t>
      </w:r>
      <w:r>
        <w:t xml:space="preserve"> </w:t>
      </w:r>
      <w:r w:rsidRPr="00BB11AF">
        <w:t>[72]</w:t>
      </w:r>
      <w:r>
        <w:t xml:space="preserve"> </w:t>
      </w:r>
      <w:r w:rsidRPr="00BB11AF">
        <w:t>prévues. Le problème des mauvaises créances est donc a</w:t>
      </w:r>
      <w:r w:rsidRPr="00BB11AF">
        <w:t>p</w:t>
      </w:r>
      <w:r w:rsidRPr="00BB11AF">
        <w:t>paru. Malgré tout, les institutions financières, qui anticipaient une r</w:t>
      </w:r>
      <w:r w:rsidRPr="00BB11AF">
        <w:t>e</w:t>
      </w:r>
      <w:r w:rsidRPr="00BB11AF">
        <w:t>prise de la croissance, ce qui aurait rentabilisé de nombreux projets, ont cont</w:t>
      </w:r>
      <w:r w:rsidRPr="00BB11AF">
        <w:t>i</w:t>
      </w:r>
      <w:r w:rsidRPr="00BB11AF">
        <w:t>nué de prêter à leurs clients, souvent pour payer les intérêts sur les prêts antérieurs, ce qui, répété plusieurs fois entre 1990 et 1995, a fait augmenter rapidement le montant de mauvaises créa</w:t>
      </w:r>
      <w:r w:rsidRPr="00BB11AF">
        <w:t>n</w:t>
      </w:r>
      <w:r w:rsidRPr="00BB11AF">
        <w:t>ces.</w:t>
      </w:r>
    </w:p>
    <w:p w:rsidR="003A3061" w:rsidRPr="00BB11AF" w:rsidRDefault="003A3061" w:rsidP="003A3061">
      <w:pPr>
        <w:spacing w:before="120" w:after="120"/>
        <w:jc w:val="both"/>
      </w:pPr>
      <w:r w:rsidRPr="00BB11AF">
        <w:t>Le ministère des Finances, qui aurait dû agir devant cette s</w:t>
      </w:r>
      <w:r w:rsidRPr="00BB11AF">
        <w:t>i</w:t>
      </w:r>
      <w:r w:rsidRPr="00BB11AF">
        <w:t>tuation, a évité d'intervenir. D'une part, étant donné la législation sur les fina</w:t>
      </w:r>
      <w:r w:rsidRPr="00BB11AF">
        <w:t>n</w:t>
      </w:r>
      <w:r w:rsidRPr="00BB11AF">
        <w:t>ces des entreprises, qui permettaient à celles-ci de fournir des b</w:t>
      </w:r>
      <w:r w:rsidRPr="00BB11AF">
        <w:t>i</w:t>
      </w:r>
      <w:r w:rsidRPr="00BB11AF">
        <w:t>lans très incomplets, le gouvernement avait de la difficulté à évaluer la s</w:t>
      </w:r>
      <w:r w:rsidRPr="00BB11AF">
        <w:t>i</w:t>
      </w:r>
      <w:r w:rsidRPr="00BB11AF">
        <w:t>tuation réelle. D'autre part, les fonctionnaires responsables de survei</w:t>
      </w:r>
      <w:r w:rsidRPr="00BB11AF">
        <w:t>l</w:t>
      </w:r>
      <w:r w:rsidRPr="00BB11AF">
        <w:t>ler les institutions financières avaient intérêt à ne pas trop regarder de près la situation des institutions financières au sein desquelles, s</w:t>
      </w:r>
      <w:r w:rsidRPr="00BB11AF">
        <w:t>e</w:t>
      </w:r>
      <w:r w:rsidRPr="00BB11AF">
        <w:t xml:space="preserve">lon le système </w:t>
      </w:r>
      <w:r w:rsidRPr="00BB11AF">
        <w:rPr>
          <w:i/>
        </w:rPr>
        <w:t>amakudari</w:t>
      </w:r>
      <w:r w:rsidRPr="00BB11AF">
        <w:t xml:space="preserve"> mentionné plus haut, ils espéraient obtenir un poste de cadre s</w:t>
      </w:r>
      <w:r w:rsidRPr="00BB11AF">
        <w:t>u</w:t>
      </w:r>
      <w:r w:rsidRPr="00BB11AF">
        <w:t>périeur à leur retraite.</w:t>
      </w:r>
    </w:p>
    <w:p w:rsidR="003A3061" w:rsidRPr="00BB11AF" w:rsidRDefault="003A3061" w:rsidP="003A3061">
      <w:pPr>
        <w:spacing w:before="120" w:after="120"/>
        <w:jc w:val="both"/>
      </w:pPr>
      <w:r w:rsidRPr="00BB11AF">
        <w:t>La crise financière a frappé le pays de plein fouet à la fin de 1995 et surtout en 1996. L'interruption de projets immobiliers a entrainé des faillites d'institutions financières, d'abord des coop</w:t>
      </w:r>
      <w:r w:rsidRPr="00BB11AF">
        <w:t>é</w:t>
      </w:r>
      <w:r w:rsidRPr="00BB11AF">
        <w:t>ratives de crédit, puis des caisses de crédit immobilier, bientôt su</w:t>
      </w:r>
      <w:r w:rsidRPr="00BB11AF">
        <w:t>i</w:t>
      </w:r>
      <w:r w:rsidRPr="00BB11AF">
        <w:t>vies par des faillites de banques, y compris une des grandes banques commerciales (Ho</w:t>
      </w:r>
      <w:r w:rsidRPr="00BB11AF">
        <w:t>k</w:t>
      </w:r>
      <w:r w:rsidRPr="00BB11AF">
        <w:t>kaido Takushoku Bank), d'une des quatre plus grandes entreprises de valeurs mobilières (Yamaichi Securities) et d'une compagnie d'ass</w:t>
      </w:r>
      <w:r w:rsidRPr="00BB11AF">
        <w:t>u</w:t>
      </w:r>
      <w:r w:rsidRPr="00BB11AF">
        <w:t>rance-vie (Kyoei Life Insurance Co.). Ces faillites ont révélé des pr</w:t>
      </w:r>
      <w:r w:rsidRPr="00BB11AF">
        <w:t>a</w:t>
      </w:r>
      <w:r w:rsidRPr="00BB11AF">
        <w:t>tiques très douteuses de ces institutions : une caisse de crédit avait créé une filiale à laquelle elle avait transféré toutes ses dettes, assa</w:t>
      </w:r>
      <w:r w:rsidRPr="00BB11AF">
        <w:t>i</w:t>
      </w:r>
      <w:r w:rsidRPr="00BB11AF">
        <w:t>nissant ainsi artificiellement ses finances, ce qui lui avait permis d'a</w:t>
      </w:r>
      <w:r w:rsidRPr="00BB11AF">
        <w:t>f</w:t>
      </w:r>
      <w:r w:rsidRPr="00BB11AF">
        <w:t>ficher des profits alors que ses dettes dépassaient de loin ses avoirs ; dans une autre, le PDG s'était prêté illégalement à lui-même l'équiv</w:t>
      </w:r>
      <w:r w:rsidRPr="00BB11AF">
        <w:t>a</w:t>
      </w:r>
      <w:r w:rsidRPr="00BB11AF">
        <w:t>lent de la mo</w:t>
      </w:r>
      <w:r w:rsidRPr="00BB11AF">
        <w:t>i</w:t>
      </w:r>
      <w:r w:rsidRPr="00BB11AF">
        <w:t>tié du capital de son entreprise - un capital prévu pour la construction de maisons - afin de s'acheter des produits de luxe (Gu</w:t>
      </w:r>
      <w:r w:rsidRPr="00BB11AF">
        <w:t>i</w:t>
      </w:r>
      <w:r w:rsidRPr="00BB11AF">
        <w:t>chard 1999). Les mauvaises créances se sont élevées à des montants i</w:t>
      </w:r>
      <w:r w:rsidRPr="00BB11AF">
        <w:t>m</w:t>
      </w:r>
      <w:r w:rsidRPr="00BB11AF">
        <w:t>pressionnants, équivalents à environ 2000 milliards de dollars US. Ces faillites ont bouleversé le système financier et ont entrainé une restructuration du secteur. Par exemple, les f</w:t>
      </w:r>
      <w:r w:rsidRPr="00BB11AF">
        <w:t>u</w:t>
      </w:r>
      <w:r w:rsidRPr="00BB11AF">
        <w:t>sions dans le secteur des grandes banques commerciales ont pr</w:t>
      </w:r>
      <w:r w:rsidRPr="00BB11AF">
        <w:t>o</w:t>
      </w:r>
      <w:r w:rsidRPr="00BB11AF">
        <w:t>voqué la diminution de leur nombre de onze à quatre entre 1996 et 2000. La crise financi</w:t>
      </w:r>
      <w:r w:rsidRPr="00BB11AF">
        <w:t>è</w:t>
      </w:r>
      <w:r w:rsidRPr="00BB11AF">
        <w:t>re s'est aussi mutée en crise économique, avec des années de croi</w:t>
      </w:r>
      <w:r w:rsidRPr="00BB11AF">
        <w:t>s</w:t>
      </w:r>
      <w:r w:rsidRPr="00BB11AF">
        <w:t>sance zéro ou de croissance négative entre 1998 et 2002 et une fo</w:t>
      </w:r>
      <w:r w:rsidRPr="00BB11AF">
        <w:t>r</w:t>
      </w:r>
      <w:r w:rsidRPr="00BB11AF">
        <w:t>te déflation.</w:t>
      </w:r>
    </w:p>
    <w:p w:rsidR="003A3061" w:rsidRPr="00BB11AF" w:rsidRDefault="003A3061" w:rsidP="003A3061">
      <w:pPr>
        <w:spacing w:before="120" w:after="120"/>
        <w:jc w:val="both"/>
      </w:pPr>
      <w:r w:rsidRPr="00BB11AF">
        <w:t>Les difficultés du système financier se sont, en premier lieu, répe</w:t>
      </w:r>
      <w:r w:rsidRPr="00BB11AF">
        <w:t>r</w:t>
      </w:r>
      <w:r w:rsidRPr="00BB11AF">
        <w:t>cutées sur le crédit qui est devenu plus difficile à obtenir, même pour les entreprises manufacturières rentables dont les activités ont été r</w:t>
      </w:r>
      <w:r w:rsidRPr="00BB11AF">
        <w:t>é</w:t>
      </w:r>
      <w:r w:rsidRPr="00BB11AF">
        <w:t>duites. En deuxième lieu, comme nous le verrons, les faillites d'entr</w:t>
      </w:r>
      <w:r w:rsidRPr="00BB11AF">
        <w:t>e</w:t>
      </w:r>
      <w:r w:rsidRPr="00BB11AF">
        <w:t>prises ont eu pour conséquence la mise à pied de nombreux salariés, entrainant une baisse de revenus pour pl</w:t>
      </w:r>
      <w:r w:rsidRPr="00BB11AF">
        <w:t>u</w:t>
      </w:r>
      <w:r w:rsidRPr="00BB11AF">
        <w:t>sieurs ménages qui ont alors tenté de diminuer leurs dépenses. Cette diminution a graduellement entrainé une contraction du</w:t>
      </w:r>
      <w:r>
        <w:t xml:space="preserve"> </w:t>
      </w:r>
      <w:r w:rsidRPr="00BB11AF">
        <w:t>[73]</w:t>
      </w:r>
      <w:r>
        <w:t xml:space="preserve"> </w:t>
      </w:r>
      <w:r w:rsidRPr="00BB11AF">
        <w:t>marché, menant à la fin des années 1990 à une spirale déflationni</w:t>
      </w:r>
      <w:r w:rsidRPr="00BB11AF">
        <w:t>s</w:t>
      </w:r>
      <w:r w:rsidRPr="00BB11AF">
        <w:t>te. La crise financière était devenue une crise économique en bonne et due forme.</w:t>
      </w:r>
    </w:p>
    <w:p w:rsidR="003A3061" w:rsidRPr="00BB11AF" w:rsidRDefault="003A3061" w:rsidP="003A3061">
      <w:pPr>
        <w:spacing w:before="120" w:after="120"/>
        <w:jc w:val="both"/>
      </w:pPr>
      <w:r>
        <w:br w:type="page"/>
      </w:r>
    </w:p>
    <w:p w:rsidR="003A3061" w:rsidRPr="00BB11AF" w:rsidRDefault="003A3061" w:rsidP="003A3061">
      <w:pPr>
        <w:pStyle w:val="planche"/>
      </w:pPr>
      <w:r w:rsidRPr="00BB11AF">
        <w:t>Conséquences de la crise sur le travail,</w:t>
      </w:r>
      <w:r>
        <w:br/>
      </w:r>
      <w:r w:rsidRPr="00BB11AF">
        <w:t>le revenu et les finances publiques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Les conséquences directes de cette crise économique ont été dive</w:t>
      </w:r>
      <w:r w:rsidRPr="00BB11AF">
        <w:t>r</w:t>
      </w:r>
      <w:r w:rsidRPr="00BB11AF">
        <w:t>ses et ont frappé l'ensemble de la société, du système politique et de l'éc</w:t>
      </w:r>
      <w:r w:rsidRPr="00BB11AF">
        <w:t>o</w:t>
      </w:r>
      <w:r w:rsidRPr="00BB11AF">
        <w:t>nomie du pays. En premier lieu, le déficit de l'État a monté en flèche à cause de la mise en place de plusieurs pr</w:t>
      </w:r>
      <w:r w:rsidRPr="00BB11AF">
        <w:t>o</w:t>
      </w:r>
      <w:r w:rsidRPr="00BB11AF">
        <w:t>grammes coûteux de relance de l'économie ; par exemple, le mo</w:t>
      </w:r>
      <w:r w:rsidRPr="00BB11AF">
        <w:t>n</w:t>
      </w:r>
      <w:r w:rsidRPr="00BB11AF">
        <w:t>tant pour financer un seul de ces programmes, en 2003, s'est élevé à plus de 200 milliards de dollars US. En deuxième lieu, ce déficit a entraîné une forte au</w:t>
      </w:r>
      <w:r w:rsidRPr="00BB11AF">
        <w:t>g</w:t>
      </w:r>
      <w:r w:rsidRPr="00BB11AF">
        <w:t>mentation de la dette accumulée qui a atteint presque 200% du Produit intérieur brut (PIB) en 2002 (elle dépassera 220% en 2012 et même 250% en 2013). Notons que, à l'i</w:t>
      </w:r>
      <w:r w:rsidRPr="00BB11AF">
        <w:t>n</w:t>
      </w:r>
      <w:r w:rsidRPr="00BB11AF">
        <w:t>verse d'un pays comme la Grèce (ou même les États-Unis), la dette japonaise est détenue à près de 80% par des institutions et des particuliers japonais</w:t>
      </w:r>
      <w:r>
        <w:t> </w:t>
      </w:r>
      <w:r>
        <w:rPr>
          <w:rStyle w:val="Appelnotedebasdep"/>
        </w:rPr>
        <w:footnoteReference w:id="40"/>
      </w:r>
      <w:r w:rsidRPr="00BB11AF">
        <w:t>. En troisième lieu, co</w:t>
      </w:r>
      <w:r w:rsidRPr="00BB11AF">
        <w:t>m</w:t>
      </w:r>
      <w:r w:rsidRPr="00BB11AF">
        <w:t>me nous venons de le mentionner, la déflation a frappé le pays de 1998 à 2003, acco</w:t>
      </w:r>
      <w:r w:rsidRPr="00BB11AF">
        <w:t>m</w:t>
      </w:r>
      <w:r w:rsidRPr="00BB11AF">
        <w:t>pagnant les taux de croissance nuis ou négatifs.</w:t>
      </w:r>
    </w:p>
    <w:p w:rsidR="003A3061" w:rsidRPr="00BB11AF" w:rsidRDefault="003A3061" w:rsidP="003A3061">
      <w:pPr>
        <w:spacing w:before="120" w:after="120"/>
        <w:jc w:val="both"/>
      </w:pPr>
      <w:r w:rsidRPr="00BB11AF">
        <w:t>Du point de vue du marché du travail, notons de nombreuses mises à pied (en général pour des salariés sans sécurité d'emploi, ainsi que pour des salariés réguliers dans le cas de faillites) ou des retraites ant</w:t>
      </w:r>
      <w:r w:rsidRPr="00BB11AF">
        <w:t>i</w:t>
      </w:r>
      <w:r w:rsidRPr="00BB11AF">
        <w:t>cipées forcées. En effet, les entreprises offraient des incitatifs à la r</w:t>
      </w:r>
      <w:r w:rsidRPr="00BB11AF">
        <w:t>e</w:t>
      </w:r>
      <w:r w:rsidRPr="00BB11AF">
        <w:t>traite, mais si les salariés refusaient les départs à la retraite, ces de</w:t>
      </w:r>
      <w:r w:rsidRPr="00BB11AF">
        <w:t>r</w:t>
      </w:r>
      <w:r w:rsidRPr="00BB11AF">
        <w:t>niers se voyaient congédiés sans compensation. En même temps, presque toutes les grandes entreprises, c'est-à-dire celles qui offraient les meilleures conditions de travail, ont restreint de façon draconienne l'embauche de jeunes finissants des univers</w:t>
      </w:r>
      <w:r w:rsidRPr="00BB11AF">
        <w:t>i</w:t>
      </w:r>
      <w:r w:rsidRPr="00BB11AF">
        <w:t>tés, des écoles techniques ou du secondaire. Comme nous le ve</w:t>
      </w:r>
      <w:r w:rsidRPr="00BB11AF">
        <w:t>r</w:t>
      </w:r>
      <w:r w:rsidRPr="00BB11AF">
        <w:t>rons, cette baisse de l'embauche des jeunes a affecté le sy</w:t>
      </w:r>
      <w:r w:rsidRPr="00BB11AF">
        <w:t>s</w:t>
      </w:r>
      <w:r w:rsidRPr="00BB11AF">
        <w:t>tème d'éducation. La combinaison des mises à pied, des retraites antic</w:t>
      </w:r>
      <w:r w:rsidRPr="00BB11AF">
        <w:t>i</w:t>
      </w:r>
      <w:r w:rsidRPr="00BB11AF">
        <w:t>pées et de la baisse de l'embauche des jeunes a entrainé une forte hausse du taux de chômage (taux officiel, mais sous-évalué de 5,5% en 2002) et une augmentation importante de di</w:t>
      </w:r>
      <w:r w:rsidRPr="00BB11AF">
        <w:t>f</w:t>
      </w:r>
      <w:r w:rsidRPr="00BB11AF">
        <w:t>férentes fo</w:t>
      </w:r>
      <w:r w:rsidRPr="00BB11AF">
        <w:t>r</w:t>
      </w:r>
      <w:r w:rsidRPr="00BB11AF">
        <w:t>mes de travail précaire (temporaire ou contractuel, à temps partiel, journalier, pour des agences de travail temporaire)</w:t>
      </w:r>
      <w:r>
        <w:t> </w:t>
      </w:r>
      <w:r>
        <w:rPr>
          <w:rStyle w:val="Appelnotedebasdep"/>
        </w:rPr>
        <w:footnoteReference w:id="41"/>
      </w:r>
      <w:r w:rsidRPr="00BB11AF">
        <w:t>. Les fe</w:t>
      </w:r>
      <w:r w:rsidRPr="00BB11AF">
        <w:t>m</w:t>
      </w:r>
      <w:r w:rsidRPr="00BB11AF">
        <w:t>mes ont été particulièrement frappées, exclues de nouveau des bons emplois.</w:t>
      </w:r>
    </w:p>
    <w:p w:rsidR="003A3061" w:rsidRPr="00BB11AF" w:rsidRDefault="003A3061" w:rsidP="003A3061">
      <w:pPr>
        <w:spacing w:before="120" w:after="120"/>
        <w:jc w:val="both"/>
      </w:pPr>
      <w:r w:rsidRPr="00BB11AF">
        <w:t>Pour comprendre ces conséquences, quelques mots sont nécessa</w:t>
      </w:r>
      <w:r w:rsidRPr="00BB11AF">
        <w:t>i</w:t>
      </w:r>
      <w:r w:rsidRPr="00BB11AF">
        <w:t>res pour expliquer le contexte des relations et de l'organisation du tr</w:t>
      </w:r>
      <w:r w:rsidRPr="00BB11AF">
        <w:t>a</w:t>
      </w:r>
      <w:r w:rsidRPr="00BB11AF">
        <w:t>vail au Japon avant 1990. Ce contexte avait été mis en place surtout dans les années 1950, à la suite de dures luttes syndicale</w:t>
      </w:r>
      <w:r w:rsidRPr="00BB11AF">
        <w:t>s</w:t>
      </w:r>
      <w:r w:rsidRPr="00BB11AF">
        <w:t xml:space="preserve"> juste après la fin de la guerre. Les nouveaux syndicats mis en place dans les grandes entreprises dès 1945, sous l'encouragement initial des autor</w:t>
      </w:r>
      <w:r w:rsidRPr="00BB11AF">
        <w:t>i</w:t>
      </w:r>
      <w:r w:rsidRPr="00BB11AF">
        <w:t>tés de l'occupation américaine, se sont rapid</w:t>
      </w:r>
      <w:r w:rsidRPr="00BB11AF">
        <w:t>e</w:t>
      </w:r>
      <w:r w:rsidRPr="00BB11AF">
        <w:t>ment radicalisés et ont demandé la sécurité d'emploi pour tous les salariés, y compris les o</w:t>
      </w:r>
      <w:r w:rsidRPr="00BB11AF">
        <w:t>u</w:t>
      </w:r>
      <w:r w:rsidRPr="00BB11AF">
        <w:t>vriers qui avaient pour la grande major</w:t>
      </w:r>
      <w:r w:rsidRPr="00BB11AF">
        <w:t>i</w:t>
      </w:r>
      <w:r w:rsidRPr="00BB11AF">
        <w:t>té un statut</w:t>
      </w:r>
      <w:r>
        <w:t xml:space="preserve"> </w:t>
      </w:r>
      <w:r w:rsidRPr="00BB11AF">
        <w:t>[74]</w:t>
      </w:r>
      <w:r>
        <w:t xml:space="preserve"> </w:t>
      </w:r>
      <w:r w:rsidRPr="00BB11AF">
        <w:t>précaire avant 1945. Ils ont aussi exigé une courbe de salaires à l'ancienneté, comme mesure indirecte des besoins, et ils ont r</w:t>
      </w:r>
      <w:r w:rsidRPr="00BB11AF">
        <w:t>é</w:t>
      </w:r>
      <w:r w:rsidRPr="00BB11AF">
        <w:t>clamé des augmentations de salaire dans une période difficile d'infl</w:t>
      </w:r>
      <w:r w:rsidRPr="00BB11AF">
        <w:t>a</w:t>
      </w:r>
      <w:r w:rsidRPr="00BB11AF">
        <w:t>tion et de désorganisation de l'économie. Pour contrer les manœuvres du patronat qui voulait re</w:t>
      </w:r>
      <w:r w:rsidRPr="00BB11AF">
        <w:t>s</w:t>
      </w:r>
      <w:r w:rsidRPr="00BB11AF">
        <w:t>treindre la production et effectuer des mises à pied, les syndicats, au lieu de faire la grève-ce qui a</w:t>
      </w:r>
      <w:r w:rsidRPr="00BB11AF">
        <w:t>u</w:t>
      </w:r>
      <w:r w:rsidRPr="00BB11AF">
        <w:t>rait arrangé les patrons -, ont décidé d'occuper les usines et de les faire fonctionner sans c</w:t>
      </w:r>
      <w:r w:rsidRPr="00BB11AF">
        <w:t>a</w:t>
      </w:r>
      <w:r w:rsidRPr="00BB11AF">
        <w:t>dres supérieurs.</w:t>
      </w:r>
    </w:p>
    <w:p w:rsidR="003A3061" w:rsidRPr="00BB11AF" w:rsidRDefault="003A3061" w:rsidP="003A3061">
      <w:pPr>
        <w:spacing w:before="120" w:after="120"/>
        <w:jc w:val="both"/>
      </w:pPr>
      <w:r w:rsidRPr="00BB11AF">
        <w:t>Le patronat, appuyé par le gouvernement japonais et aussi par les autorités américaines qui avaient changé d'avis sur les syndicats à ca</w:t>
      </w:r>
      <w:r w:rsidRPr="00BB11AF">
        <w:t>u</w:t>
      </w:r>
      <w:r w:rsidRPr="00BB11AF">
        <w:t>se de la position de plus en plus radicale de ces derniers, a contre- a</w:t>
      </w:r>
      <w:r w:rsidRPr="00BB11AF">
        <w:t>t</w:t>
      </w:r>
      <w:r w:rsidRPr="00BB11AF">
        <w:t>taqué en payant des cadres pour qu'ils organisent des syndicats mod</w:t>
      </w:r>
      <w:r w:rsidRPr="00BB11AF">
        <w:t>é</w:t>
      </w:r>
      <w:r w:rsidRPr="00BB11AF">
        <w:t>rés avec lesquels il a négocié. Ces négociations, ainsi qu'une pol</w:t>
      </w:r>
      <w:r w:rsidRPr="00BB11AF">
        <w:t>i</w:t>
      </w:r>
      <w:r w:rsidRPr="00BB11AF">
        <w:t>tique économique restrictive imposée par les Américains en 1949, ont e</w:t>
      </w:r>
      <w:r w:rsidRPr="00BB11AF">
        <w:t>n</w:t>
      </w:r>
      <w:r w:rsidRPr="00BB11AF">
        <w:t>traîné l'affaiblissement graduel des syndicats militants qui ont prat</w:t>
      </w:r>
      <w:r w:rsidRPr="00BB11AF">
        <w:t>i</w:t>
      </w:r>
      <w:r w:rsidRPr="00BB11AF">
        <w:t>quement disparu. En éliminant les syndicats militants, le patronat dans les grandes entreprises a mis en place un nouveau système de relations et d'organisation du travail qui avait pour objectif le contrôle de la main-d'œuvre.</w:t>
      </w:r>
    </w:p>
    <w:p w:rsidR="003A3061" w:rsidRPr="00BB11AF" w:rsidRDefault="003A3061" w:rsidP="003A3061">
      <w:pPr>
        <w:spacing w:before="120" w:after="120"/>
        <w:jc w:val="both"/>
      </w:pPr>
      <w:r w:rsidRPr="00BB11AF">
        <w:t>Le patronat a toutefois dû en arriver à des compromis avec les nouveaux syndicats dits modérés. Ceux-ci ont demandé le mai</w:t>
      </w:r>
      <w:r w:rsidRPr="00BB11AF">
        <w:t>n</w:t>
      </w:r>
      <w:r w:rsidRPr="00BB11AF">
        <w:t>tien de la sécurité d'emploi pour tous les salariés réguliers, y compris les o</w:t>
      </w:r>
      <w:r w:rsidRPr="00BB11AF">
        <w:t>u</w:t>
      </w:r>
      <w:r w:rsidRPr="00BB11AF">
        <w:t>vriers, qui ont été reconnus comme membres à part entière des entr</w:t>
      </w:r>
      <w:r w:rsidRPr="00BB11AF">
        <w:t>e</w:t>
      </w:r>
      <w:r w:rsidRPr="00BB11AF">
        <w:t>prises, ainsi que celui des échelles de salaires selon l'a</w:t>
      </w:r>
      <w:r w:rsidRPr="00BB11AF">
        <w:t>n</w:t>
      </w:r>
      <w:r w:rsidRPr="00BB11AF">
        <w:t>cienneté. En échange, les syndicats ont été forcés d'accepter que le patronat repre</w:t>
      </w:r>
      <w:r w:rsidRPr="00BB11AF">
        <w:t>n</w:t>
      </w:r>
      <w:r w:rsidRPr="00BB11AF">
        <w:t>ne tout le contrôle de l'organisation du travail. Pour ce faire, les dire</w:t>
      </w:r>
      <w:r w:rsidRPr="00BB11AF">
        <w:t>c</w:t>
      </w:r>
      <w:r w:rsidRPr="00BB11AF">
        <w:t>tions d'entreprise ont décidé de n'embaucher que des jeunes so</w:t>
      </w:r>
      <w:r w:rsidRPr="00BB11AF">
        <w:t>r</w:t>
      </w:r>
      <w:r w:rsidRPr="00BB11AF">
        <w:t>tants de l'école ou des universités, afin d'avoir la mainmise sur leur form</w:t>
      </w:r>
      <w:r w:rsidRPr="00BB11AF">
        <w:t>a</w:t>
      </w:r>
      <w:r w:rsidRPr="00BB11AF">
        <w:t>tion, dispensée en entreprise et portant sur des éléments autant moraux que techniques. De plus, les grandes entreprises ont défini des tâches collectives, plutôt qu'individuelles, et elles ont contrôlé la co</w:t>
      </w:r>
      <w:r w:rsidRPr="00BB11AF">
        <w:t>m</w:t>
      </w:r>
      <w:r w:rsidRPr="00BB11AF">
        <w:t>position des équipes qui étaient affe</w:t>
      </w:r>
      <w:r w:rsidRPr="00BB11AF">
        <w:t>c</w:t>
      </w:r>
      <w:r w:rsidRPr="00BB11AF">
        <w:t>tées à ces tâches en imposant une rotation syst</w:t>
      </w:r>
      <w:r w:rsidRPr="00BB11AF">
        <w:t>é</w:t>
      </w:r>
      <w:r w:rsidRPr="00BB11AF">
        <w:t>matique des salariés d'une tâche à une autre.</w:t>
      </w:r>
    </w:p>
    <w:p w:rsidR="003A3061" w:rsidRPr="00BB11AF" w:rsidRDefault="003A3061" w:rsidP="003A3061">
      <w:pPr>
        <w:spacing w:before="120" w:after="120"/>
        <w:jc w:val="both"/>
      </w:pPr>
      <w:r w:rsidRPr="00BB11AF">
        <w:t>Ce compromis a été renforcé par la Guerre de Corée (1950-1953), qui s'est avérée être une bénédiction pour le Japon. On peut dire que ce sont les commandes américaines (armements, réparation de mat</w:t>
      </w:r>
      <w:r w:rsidRPr="00BB11AF">
        <w:t>é</w:t>
      </w:r>
      <w:r w:rsidRPr="00BB11AF">
        <w:t>riel, textiles, etc.) pour cette guerre qui ont enfin pe</w:t>
      </w:r>
      <w:r w:rsidRPr="00BB11AF">
        <w:t>r</w:t>
      </w:r>
      <w:r w:rsidRPr="00BB11AF">
        <w:t>mis au Japon de se sortir de l'intense récession causée par les mesures durement re</w:t>
      </w:r>
      <w:r w:rsidRPr="00BB11AF">
        <w:t>s</w:t>
      </w:r>
      <w:r w:rsidRPr="00BB11AF">
        <w:t>trict</w:t>
      </w:r>
      <w:r w:rsidRPr="00BB11AF">
        <w:t>i</w:t>
      </w:r>
      <w:r w:rsidRPr="00BB11AF">
        <w:t>ves imposées par les Américains en 1949. La Guerre de Corée a au</w:t>
      </w:r>
      <w:r w:rsidRPr="00BB11AF">
        <w:t>s</w:t>
      </w:r>
      <w:r w:rsidRPr="00BB11AF">
        <w:t>si permis la résurgence de l'industrie lourde, secteur moteur des écon</w:t>
      </w:r>
      <w:r w:rsidRPr="00BB11AF">
        <w:t>o</w:t>
      </w:r>
      <w:r w:rsidRPr="00BB11AF">
        <w:t>mies occidentales à cette époque. Après une courte récession à la fin de la Guerre Corée en 1953-1954, la croissance reprend en 1955 et dure jusqu'en 1973 ; c'est la période dite de haute croissance, durant laquelle le taux moyen de croissance du PIB atteignait 8%, et plus de 10% entre 1968 et 1973. La haute croissance a permis aux entreprises japonaises de progresser rapidement, en particulier d'améliorer les procédés de production dans un marché protégé. C'est dans ce conte</w:t>
      </w:r>
      <w:r w:rsidRPr="00BB11AF">
        <w:t>x</w:t>
      </w:r>
      <w:r w:rsidRPr="00BB11AF">
        <w:t>te que l'entreprise automobile Toyota, en s'inspirant du taylorisme, a i</w:t>
      </w:r>
      <w:r w:rsidRPr="00BB11AF">
        <w:t>n</w:t>
      </w:r>
      <w:r w:rsidRPr="00BB11AF">
        <w:t>nové dans plusieurs domaines de la</w:t>
      </w:r>
      <w:r>
        <w:t xml:space="preserve"> </w:t>
      </w:r>
      <w:r w:rsidRPr="00BB11AF">
        <w:t>[75]</w:t>
      </w:r>
      <w:r>
        <w:t xml:space="preserve"> </w:t>
      </w:r>
      <w:r w:rsidRPr="00BB11AF">
        <w:t>gestion de la production en optimisant les flux et en systématisant l'utilisation du temps de pr</w:t>
      </w:r>
      <w:r w:rsidRPr="00BB11AF">
        <w:t>o</w:t>
      </w:r>
      <w:r w:rsidRPr="00BB11AF">
        <w:t>duction.</w:t>
      </w:r>
    </w:p>
    <w:p w:rsidR="003A3061" w:rsidRPr="00BB11AF" w:rsidRDefault="003A3061" w:rsidP="003A3061">
      <w:pPr>
        <w:spacing w:before="120" w:after="120"/>
        <w:jc w:val="both"/>
      </w:pPr>
      <w:r w:rsidRPr="00BB11AF">
        <w:t>Le système japonais d'organisation et de relations du travail, limité aux grandes entreprises, mais avec tentative d'imitation par les PME, favorisait le travail des hommes au détriment des femmes. Les polit</w:t>
      </w:r>
      <w:r w:rsidRPr="00BB11AF">
        <w:t>i</w:t>
      </w:r>
      <w:r w:rsidRPr="00BB11AF">
        <w:t>ciens conservateurs au pouvoir, appuyés par les c</w:t>
      </w:r>
      <w:r w:rsidRPr="00BB11AF">
        <w:t>a</w:t>
      </w:r>
      <w:r w:rsidRPr="00BB11AF">
        <w:t>dres supérieurs des grandes entreprises, insistaient sur le rôle des femmes comme mén</w:t>
      </w:r>
      <w:r w:rsidRPr="00BB11AF">
        <w:t>a</w:t>
      </w:r>
      <w:r w:rsidRPr="00BB11AF">
        <w:t>gères à temps plein, se dévouant à l'éduc</w:t>
      </w:r>
      <w:r w:rsidRPr="00BB11AF">
        <w:t>a</w:t>
      </w:r>
      <w:r w:rsidRPr="00BB11AF">
        <w:t>tion des enfants et aux soins à leur mari qui devait se consacrer enti</w:t>
      </w:r>
      <w:r w:rsidRPr="00BB11AF">
        <w:t>è</w:t>
      </w:r>
      <w:r w:rsidRPr="00BB11AF">
        <w:t>rement au travail pendant de longues heures. Jusque dans les années 1980, la majorité des grandes entreprises avaient des r</w:t>
      </w:r>
      <w:r w:rsidRPr="00BB11AF">
        <w:t>è</w:t>
      </w:r>
      <w:r w:rsidRPr="00BB11AF">
        <w:t>glements qui forçaient les femmes à se retirer du travail à 25 ans, âge limite auquel elles devaient se marier. Cette pratique a été j</w:t>
      </w:r>
      <w:r w:rsidRPr="00BB11AF">
        <w:t>u</w:t>
      </w:r>
      <w:r w:rsidRPr="00BB11AF">
        <w:t>gée illégale par les tribunaux dans les années 1980. Malgré les restrictions au travail des femmes dans les grandes entr</w:t>
      </w:r>
      <w:r w:rsidRPr="00BB11AF">
        <w:t>e</w:t>
      </w:r>
      <w:r w:rsidRPr="00BB11AF">
        <w:t>prises, plusieurs femmes de milieux moins favorisés devaient travai</w:t>
      </w:r>
      <w:r w:rsidRPr="00BB11AF">
        <w:t>l</w:t>
      </w:r>
      <w:r w:rsidRPr="00BB11AF">
        <w:t>ler, so</w:t>
      </w:r>
      <w:r w:rsidRPr="00BB11AF">
        <w:t>u</w:t>
      </w:r>
      <w:r w:rsidRPr="00BB11AF">
        <w:t>vent à plein temps, mais aussi pour plusieurs à temps partiel, afin d'ass</w:t>
      </w:r>
      <w:r w:rsidRPr="00BB11AF">
        <w:t>u</w:t>
      </w:r>
      <w:r w:rsidRPr="00BB11AF">
        <w:t>rer un revenu familial suffisant. Dans les années 1980, avec la d</w:t>
      </w:r>
      <w:r w:rsidRPr="00BB11AF">
        <w:t>i</w:t>
      </w:r>
      <w:r w:rsidRPr="00BB11AF">
        <w:t>minution du nombre de jeunes hommes, conséquence de la baisse du taux de natalité, et avec les restrictions sévères sur l'immigr</w:t>
      </w:r>
      <w:r w:rsidRPr="00BB11AF">
        <w:t>a</w:t>
      </w:r>
      <w:r w:rsidRPr="00BB11AF">
        <w:t>tion, vue comme dangereuse si l'on voulait protéger la culture j</w:t>
      </w:r>
      <w:r w:rsidRPr="00BB11AF">
        <w:t>a</w:t>
      </w:r>
      <w:r w:rsidRPr="00BB11AF">
        <w:t>ponaise, les grandes entreprises ont commencé à embaucher quelques femmes dans des positions auparavant réservées aux hommes. On a donc a</w:t>
      </w:r>
      <w:r w:rsidRPr="00BB11AF">
        <w:t>s</w:t>
      </w:r>
      <w:r w:rsidRPr="00BB11AF">
        <w:t>sisté à un début d'ouverture, modeste sans doute, mais néanmoins pr</w:t>
      </w:r>
      <w:r w:rsidRPr="00BB11AF">
        <w:t>é</w:t>
      </w:r>
      <w:r w:rsidRPr="00BB11AF">
        <w:t>sent pour ce qui est de l'embauche des femmes dans des postes de c</w:t>
      </w:r>
      <w:r w:rsidRPr="00BB11AF">
        <w:t>a</w:t>
      </w:r>
      <w:r w:rsidRPr="00BB11AF">
        <w:t>dres.</w:t>
      </w:r>
    </w:p>
    <w:p w:rsidR="003A3061" w:rsidRPr="00BB11AF" w:rsidRDefault="003A3061" w:rsidP="003A3061">
      <w:pPr>
        <w:spacing w:before="120" w:after="120"/>
        <w:jc w:val="both"/>
      </w:pPr>
      <w:r w:rsidRPr="00BB11AF">
        <w:t>Les difficultés économiques ont fortement affecté cette organis</w:t>
      </w:r>
      <w:r w:rsidRPr="00BB11AF">
        <w:t>a</w:t>
      </w:r>
      <w:r w:rsidRPr="00BB11AF">
        <w:t>tion du travail, en particulier en abaissant fortement le nombre et le pourcentage des salariés réguliers avec sécurité d'emploi (se r</w:t>
      </w:r>
      <w:r w:rsidRPr="00BB11AF">
        <w:t>é</w:t>
      </w:r>
      <w:r w:rsidRPr="00BB11AF">
        <w:t>férer à la note 2 plus haut), à cause des retraites anticipées et de la diminution de l'embauche de nouveaux employés ou ouvriers. En même temps, se développaient diverses formes de travail précaire. Par exemple, le pays a connu une forte hausse du travail à temps partiel, déjà commun chez les femmes, mais augmentant pour elles et se développant rap</w:t>
      </w:r>
      <w:r w:rsidRPr="00BB11AF">
        <w:t>i</w:t>
      </w:r>
      <w:r w:rsidRPr="00BB11AF">
        <w:t>dement pour les hommes. Le travail temp</w:t>
      </w:r>
      <w:r w:rsidRPr="00BB11AF">
        <w:t>o</w:t>
      </w:r>
      <w:r w:rsidRPr="00BB11AF">
        <w:t>raire ou contractuel a aussi connu de fortes hausses, entre autres, pour remplacer les anciens sal</w:t>
      </w:r>
      <w:r w:rsidRPr="00BB11AF">
        <w:t>a</w:t>
      </w:r>
      <w:r w:rsidRPr="00BB11AF">
        <w:t>riés réguliers avec sécurité d'e</w:t>
      </w:r>
      <w:r w:rsidRPr="00BB11AF">
        <w:t>m</w:t>
      </w:r>
      <w:r w:rsidRPr="00BB11AF">
        <w:t>ploi. Le travail à la journée, qui s'était fortement amenuisé dans les années 1980, est réapparu, en particulier sur les chantiers de con</w:t>
      </w:r>
      <w:r w:rsidRPr="00BB11AF">
        <w:t>s</w:t>
      </w:r>
      <w:r w:rsidRPr="00BB11AF">
        <w:t>truction.</w:t>
      </w:r>
    </w:p>
    <w:p w:rsidR="003A3061" w:rsidRPr="00BB11AF" w:rsidRDefault="003A3061" w:rsidP="003A3061">
      <w:pPr>
        <w:spacing w:before="120" w:after="120"/>
        <w:jc w:val="both"/>
      </w:pPr>
      <w:r w:rsidRPr="00BB11AF">
        <w:t xml:space="preserve">Les médias et les intellectuels ont inventé de nouvelles catégories pour parler des couches frappées par le travail précaire. Le mot </w:t>
      </w:r>
      <w:r w:rsidRPr="00BB11AF">
        <w:rPr>
          <w:i/>
        </w:rPr>
        <w:t>furita</w:t>
      </w:r>
      <w:r w:rsidRPr="00BB11AF">
        <w:t xml:space="preserve">, japonisation de </w:t>
      </w:r>
      <w:r w:rsidRPr="00BB11AF">
        <w:rPr>
          <w:i/>
        </w:rPr>
        <w:t>freeter</w:t>
      </w:r>
      <w:r w:rsidRPr="00BB11AF">
        <w:t xml:space="preserve">, contraction bizarre de </w:t>
      </w:r>
      <w:r w:rsidRPr="00BB11AF">
        <w:rPr>
          <w:i/>
        </w:rPr>
        <w:t>free</w:t>
      </w:r>
      <w:r w:rsidRPr="00BB11AF">
        <w:t xml:space="preserve"> en anglais et de la dernière syllabe de </w:t>
      </w:r>
      <w:r w:rsidRPr="00BB11AF">
        <w:rPr>
          <w:i/>
        </w:rPr>
        <w:t>arbeiter</w:t>
      </w:r>
      <w:r w:rsidRPr="00BB11AF">
        <w:t>, mot allemand qui s</w:t>
      </w:r>
      <w:r w:rsidRPr="00BB11AF">
        <w:t>i</w:t>
      </w:r>
      <w:r w:rsidRPr="00BB11AF">
        <w:t>gnifie « travailleur », (</w:t>
      </w:r>
      <w:r w:rsidRPr="00BB11AF">
        <w:rPr>
          <w:i/>
        </w:rPr>
        <w:t>arbeit</w:t>
      </w:r>
      <w:r w:rsidRPr="00BB11AF">
        <w:t xml:space="preserve"> [travail] étant utilisé au Japon pour parler du travail à temps partiel des étudiants), est utilisé maint</w:t>
      </w:r>
      <w:r w:rsidRPr="00BB11AF">
        <w:t>e</w:t>
      </w:r>
      <w:r w:rsidRPr="00BB11AF">
        <w:t>nant pour parler de différentes couches de la population des jeunes qui, n'ayant pas de travail rég</w:t>
      </w:r>
      <w:r w:rsidRPr="00BB11AF">
        <w:t>u</w:t>
      </w:r>
      <w:r w:rsidRPr="00BB11AF">
        <w:t>lier, sont obligés de cumuler des emplois à temps partiel dans lesquels ils n'obtiennent qu'une formation l</w:t>
      </w:r>
      <w:r w:rsidRPr="00BB11AF">
        <w:t>i</w:t>
      </w:r>
      <w:r w:rsidRPr="00BB11AF">
        <w:t>mitée. Dans les</w:t>
      </w:r>
      <w:r>
        <w:t xml:space="preserve"> </w:t>
      </w:r>
      <w:r w:rsidRPr="00BB11AF">
        <w:t>[76]</w:t>
      </w:r>
      <w:r>
        <w:t xml:space="preserve"> </w:t>
      </w:r>
      <w:r w:rsidRPr="00BB11AF">
        <w:t>années 1980, durant lesquelles le mot a été créé, ce terme dés</w:t>
      </w:r>
      <w:r w:rsidRPr="00BB11AF">
        <w:t>i</w:t>
      </w:r>
      <w:r w:rsidRPr="00BB11AF">
        <w:t>gnait les jeunes qui travaillaient pour faire assez d'argent pour s'adonner à une passion, comme le surf, le ski ou la musique. Dans les années 1990, les conn</w:t>
      </w:r>
      <w:r w:rsidRPr="00BB11AF">
        <w:t>o</w:t>
      </w:r>
      <w:r w:rsidRPr="00BB11AF">
        <w:t xml:space="preserve">tations du terme ont changé. Maintenant, </w:t>
      </w:r>
      <w:r w:rsidRPr="00BB11AF">
        <w:rPr>
          <w:i/>
        </w:rPr>
        <w:t>furita</w:t>
      </w:r>
      <w:r w:rsidRPr="00BB11AF">
        <w:t xml:space="preserve"> dés</w:t>
      </w:r>
      <w:r w:rsidRPr="00BB11AF">
        <w:t>i</w:t>
      </w:r>
      <w:r w:rsidRPr="00BB11AF">
        <w:t xml:space="preserve">gne les jeunes sans formation précise, des jeunes dont on s'attend à ce qu'ils ne puissent pas se trouver une place permanente sur le marché du travail. Les </w:t>
      </w:r>
      <w:r w:rsidRPr="00BB11AF">
        <w:rPr>
          <w:i/>
        </w:rPr>
        <w:t>neet</w:t>
      </w:r>
      <w:r w:rsidRPr="00BB11AF">
        <w:t xml:space="preserve">, « not in éducation, </w:t>
      </w:r>
      <w:r w:rsidRPr="00BB11AF">
        <w:rPr>
          <w:i/>
        </w:rPr>
        <w:t>employment</w:t>
      </w:r>
      <w:r w:rsidRPr="00BB11AF">
        <w:t xml:space="preserve"> or </w:t>
      </w:r>
      <w:r w:rsidRPr="00BB11AF">
        <w:rPr>
          <w:i/>
        </w:rPr>
        <w:t>training </w:t>
      </w:r>
      <w:r w:rsidRPr="00BB11AF">
        <w:t>», expression inve</w:t>
      </w:r>
      <w:r w:rsidRPr="00BB11AF">
        <w:t>n</w:t>
      </w:r>
      <w:r w:rsidRPr="00BB11AF">
        <w:t>tée en Angleterre, sont ces jeunes qui n'ont pas d'e</w:t>
      </w:r>
      <w:r w:rsidRPr="00BB11AF">
        <w:t>m</w:t>
      </w:r>
      <w:r w:rsidRPr="00BB11AF">
        <w:t>ploi, mais aussi qui ne suivent pas de cours ou de formation.</w:t>
      </w:r>
    </w:p>
    <w:p w:rsidR="003A3061" w:rsidRPr="00BB11AF" w:rsidRDefault="003A3061" w:rsidP="003A3061">
      <w:pPr>
        <w:spacing w:before="120" w:after="120"/>
        <w:jc w:val="both"/>
      </w:pPr>
      <w:r w:rsidRPr="00BB11AF">
        <w:t>Le gouvernement, plusieurs intellectuels et les médias s’inquiètent de l'avenir de ces jeunes qu'on a appelés la génération perdue, ils pe</w:t>
      </w:r>
      <w:r w:rsidRPr="00BB11AF">
        <w:t>n</w:t>
      </w:r>
      <w:r w:rsidRPr="00BB11AF">
        <w:t>sent qu'ils ne pourront jamais obtenir de position régulière, étant do</w:t>
      </w:r>
      <w:r w:rsidRPr="00BB11AF">
        <w:t>n</w:t>
      </w:r>
      <w:r w:rsidRPr="00BB11AF">
        <w:t>né qu'ils ont raté leur chance juste à la sortie de l'école. On peut voir ici une certaine rigidité dans la façon dont au Japon les autorités conço</w:t>
      </w:r>
      <w:r w:rsidRPr="00BB11AF">
        <w:t>i</w:t>
      </w:r>
      <w:r w:rsidRPr="00BB11AF">
        <w:t>vent les activités selon l'âge : ces jeunes sont considérés comme pe</w:t>
      </w:r>
      <w:r w:rsidRPr="00BB11AF">
        <w:t>r</w:t>
      </w:r>
      <w:r w:rsidRPr="00BB11AF">
        <w:t>dus parce qu'ils n'ont pas obtenu au moment prescrit la formation qui leur sera nécessaire si l'économie reprend. C'est comme si que</w:t>
      </w:r>
      <w:r w:rsidRPr="00BB11AF">
        <w:t>l</w:t>
      </w:r>
      <w:r w:rsidRPr="00BB11AF">
        <w:t>qu'un ne pouvait plus obtenir de fo</w:t>
      </w:r>
      <w:r w:rsidRPr="00BB11AF">
        <w:t>r</w:t>
      </w:r>
      <w:r w:rsidRPr="00BB11AF">
        <w:t>mation après 30 ans.</w:t>
      </w:r>
    </w:p>
    <w:p w:rsidR="003A3061" w:rsidRPr="00BB11AF" w:rsidRDefault="003A3061" w:rsidP="003A3061">
      <w:pPr>
        <w:spacing w:before="120" w:after="120"/>
        <w:jc w:val="both"/>
      </w:pPr>
      <w:r w:rsidRPr="00BB11AF">
        <w:t>La baisse de l'embauche de jeunes sortant de l'école comme tr</w:t>
      </w:r>
      <w:r w:rsidRPr="00BB11AF">
        <w:t>a</w:t>
      </w:r>
      <w:r w:rsidRPr="00BB11AF">
        <w:t>vailleurs réguliers dans les grandes entreprises a modifié les relations entre éducation et monde du travail et, par extension, le monde de l'éd</w:t>
      </w:r>
      <w:r w:rsidRPr="00BB11AF">
        <w:t>u</w:t>
      </w:r>
      <w:r w:rsidRPr="00BB11AF">
        <w:t>cation lui-même. Dans les années 1980, les jeunes hommes qui avaient étudié assidûment, souvent en ayant fréquenté des écoles complémentaires le soir et les fins de semaine pour avoir accès aux universités les mieux cotées, étaient sûrs de se trouver un emploi pe</w:t>
      </w:r>
      <w:r w:rsidRPr="00BB11AF">
        <w:t>r</w:t>
      </w:r>
      <w:r w:rsidRPr="00BB11AF">
        <w:t>manent régulier dans une entreprise prest</w:t>
      </w:r>
      <w:r w:rsidRPr="00BB11AF">
        <w:t>i</w:t>
      </w:r>
      <w:r w:rsidRPr="00BB11AF">
        <w:t>gieuse, d'autant plus que les professeurs au fil des ans avaient établi des liens solides avec les c</w:t>
      </w:r>
      <w:r w:rsidRPr="00BB11AF">
        <w:t>a</w:t>
      </w:r>
      <w:r w:rsidRPr="00BB11AF">
        <w:t>dres de plusieurs entreprises et qu'ils recommandaient certains élèves ou étudiants. Les femmes avaient quant à elles plus de difficu</w:t>
      </w:r>
      <w:r w:rsidRPr="00BB11AF">
        <w:t>l</w:t>
      </w:r>
      <w:r w:rsidRPr="00BB11AF">
        <w:t>tés à se trouver un bon emploi, même avec un diplôme d'une université rép</w:t>
      </w:r>
      <w:r w:rsidRPr="00BB11AF">
        <w:t>u</w:t>
      </w:r>
      <w:r w:rsidRPr="00BB11AF">
        <w:t>tée. Dans les années 1980, chaque jeune homme finissant ses études universitaires ou techniques, ou même secondaires avait le choix en moyenne entre trois emplois. Les entreprises se faisaient une concu</w:t>
      </w:r>
      <w:r w:rsidRPr="00BB11AF">
        <w:t>r</w:t>
      </w:r>
      <w:r w:rsidRPr="00BB11AF">
        <w:t>rence féroce pour embaucher les diplômés des meilleures un</w:t>
      </w:r>
      <w:r w:rsidRPr="00BB11AF">
        <w:t>i</w:t>
      </w:r>
      <w:r w:rsidRPr="00BB11AF">
        <w:t>versités ou écoles.</w:t>
      </w:r>
    </w:p>
    <w:p w:rsidR="003A3061" w:rsidRPr="00BB11AF" w:rsidRDefault="003A3061" w:rsidP="003A3061">
      <w:pPr>
        <w:spacing w:before="120" w:after="120"/>
        <w:jc w:val="both"/>
      </w:pPr>
      <w:r w:rsidRPr="00BB11AF">
        <w:t>Tout cela a changé dans les années 1990. Avec la baisse de l'e</w:t>
      </w:r>
      <w:r w:rsidRPr="00BB11AF">
        <w:t>m</w:t>
      </w:r>
      <w:r w:rsidRPr="00BB11AF">
        <w:t>ba</w:t>
      </w:r>
      <w:r w:rsidRPr="00BB11AF">
        <w:t>u</w:t>
      </w:r>
      <w:r w:rsidRPr="00BB11AF">
        <w:t>che, le fait de sortir d'une bonne université n'était plus une garantie pour se trouver un bon emploi. Plusieurs, ayant fait tous les efforts requis, n'ont pas eu la possibilité d'être embauchés, même souvent dans une PME. Comme exemple, alors que, en 1990, les entreprises de 100 personnes et plus embauchaient 6,5 millions de jeunes sortant des écoles, en 1999, ce chiffre avait bai</w:t>
      </w:r>
      <w:r w:rsidRPr="00BB11AF">
        <w:t>s</w:t>
      </w:r>
      <w:r w:rsidRPr="00BB11AF">
        <w:t>sé à 4,9 millions. Ces chiffres sont encore plus éloquents pour les entreprises de 1000 salariés et plus, soit celles qui offrent les meilleures conditions de travail, y compris la sécurité d'emploi ; dans ces e</w:t>
      </w:r>
      <w:r w:rsidRPr="00BB11AF">
        <w:t>n</w:t>
      </w:r>
      <w:r w:rsidRPr="00BB11AF">
        <w:t>treprises, les chiffres sont de 3,75 millions en 1990 et de 1,34 mi</w:t>
      </w:r>
      <w:r w:rsidRPr="00BB11AF">
        <w:t>l</w:t>
      </w:r>
      <w:r w:rsidRPr="00BB11AF">
        <w:t>lion en 1999, soit une baisse de 64% (Gouvernement du Japon 2002).</w:t>
      </w:r>
    </w:p>
    <w:p w:rsidR="003A3061" w:rsidRPr="00BB11AF" w:rsidRDefault="003A3061" w:rsidP="003A3061">
      <w:pPr>
        <w:spacing w:before="120" w:after="120"/>
        <w:jc w:val="both"/>
      </w:pPr>
      <w:r w:rsidRPr="00BB11AF">
        <w:t>[77]</w:t>
      </w:r>
    </w:p>
    <w:p w:rsidR="003A3061" w:rsidRPr="00BB11AF" w:rsidRDefault="003A3061" w:rsidP="003A3061">
      <w:pPr>
        <w:spacing w:before="120" w:after="120"/>
        <w:jc w:val="both"/>
      </w:pPr>
      <w:r w:rsidRPr="00BB11AF">
        <w:t>Ce qui veut dire qu'un décalage est apparu entre les aspirations, fondées sur la situation ancienne, et les possibilités réelles déterm</w:t>
      </w:r>
      <w:r w:rsidRPr="00BB11AF">
        <w:t>i</w:t>
      </w:r>
      <w:r w:rsidRPr="00BB11AF">
        <w:t>nées par les difficultés économiques. Dans ce contexte, l'influence des professeurs a fortement diminué ; leurs relations avec les cadres des e</w:t>
      </w:r>
      <w:r w:rsidRPr="00BB11AF">
        <w:t>n</w:t>
      </w:r>
      <w:r w:rsidRPr="00BB11AF">
        <w:t>treprises ne pouvaient plus permettre de trouver de bons emplois à leurs étudiants. En même temps, plusieurs jeunes ont commencé à s'interroger sur la pertinence de mettre tant d'e</w:t>
      </w:r>
      <w:r w:rsidRPr="00BB11AF">
        <w:t>f</w:t>
      </w:r>
      <w:r w:rsidRPr="00BB11AF">
        <w:t>fort dans l'éducation si on risquait à la fin de se trouver au chômage ou dans un emploi pr</w:t>
      </w:r>
      <w:r w:rsidRPr="00BB11AF">
        <w:t>é</w:t>
      </w:r>
      <w:r w:rsidRPr="00BB11AF">
        <w:t>caire et mal payé. Le lien entre éducation et milieu du tr</w:t>
      </w:r>
      <w:r w:rsidRPr="00BB11AF">
        <w:t>a</w:t>
      </w:r>
      <w:r w:rsidRPr="00BB11AF">
        <w:t>vail a donc été perturbé.</w:t>
      </w:r>
    </w:p>
    <w:p w:rsidR="003A3061" w:rsidRPr="00BB11AF" w:rsidRDefault="003A3061" w:rsidP="003A3061">
      <w:pPr>
        <w:spacing w:before="120" w:after="120"/>
        <w:jc w:val="both"/>
      </w:pPr>
      <w:r w:rsidRPr="00BB11AF">
        <w:t>Dans les familles, qui pour plusieurs d'entre elles avaient dépensé de fortes sommes pour assurer une éducation de première classe à leurs enfants (écoles privées, écoles complémentaires de haut niveau à prix élevés, etc.), certains parents ont commencé à se demander si ces d</w:t>
      </w:r>
      <w:r w:rsidRPr="00BB11AF">
        <w:t>é</w:t>
      </w:r>
      <w:r w:rsidRPr="00BB11AF">
        <w:t>penses, menant à un avenir incertain, étaient vraiment nécessaires. D'autant plus que plusieurs d'entre eux ont vu leurs revenus diminuer, à cause des retraites anticipées, des baisses de bonus ou d'échelles de salaires, ou bien de fin de rém</w:t>
      </w:r>
      <w:r w:rsidRPr="00BB11AF">
        <w:t>u</w:t>
      </w:r>
      <w:r w:rsidRPr="00BB11AF">
        <w:t>nération des heures supplémentaires. On a donc vu une chute dans le nombre de jeunes fréquentant les éc</w:t>
      </w:r>
      <w:r w:rsidRPr="00BB11AF">
        <w:t>o</w:t>
      </w:r>
      <w:r w:rsidRPr="00BB11AF">
        <w:t>les complémentaires.</w:t>
      </w:r>
    </w:p>
    <w:p w:rsidR="003A3061" w:rsidRPr="00BB11AF" w:rsidRDefault="003A3061" w:rsidP="003A3061">
      <w:pPr>
        <w:spacing w:before="120" w:after="120"/>
        <w:jc w:val="both"/>
      </w:pPr>
    </w:p>
    <w:p w:rsidR="003A3061" w:rsidRPr="00BB11AF" w:rsidRDefault="003A3061" w:rsidP="003A3061">
      <w:pPr>
        <w:pStyle w:val="planche"/>
      </w:pPr>
      <w:r w:rsidRPr="00BB11AF">
        <w:t>Nouvelle période de crise, 2008-2012</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De 2003 à 2007, le Japon a connu un répit, avec une croissance faible du PIB (environ 1% annuellement en moyenne selon les chi</w:t>
      </w:r>
      <w:r w:rsidRPr="00BB11AF">
        <w:t>f</w:t>
      </w:r>
      <w:r w:rsidRPr="00BB11AF">
        <w:t>fres du gouvernement japonais, ce qui se compare mal au 8% en moyenne pendant 17 ans de 1955 à 1972). Mais cela devait se term</w:t>
      </w:r>
      <w:r w:rsidRPr="00BB11AF">
        <w:t>i</w:t>
      </w:r>
      <w:r w:rsidRPr="00BB11AF">
        <w:t>ner en 2008, quand les conséquences de la crise financière américaine des « </w:t>
      </w:r>
      <w:r w:rsidRPr="00BB11AF">
        <w:rPr>
          <w:i/>
        </w:rPr>
        <w:t>subprimes </w:t>
      </w:r>
      <w:r w:rsidRPr="00BB11AF">
        <w:t>» ont frappé le Japon (baisse des e</w:t>
      </w:r>
      <w:r w:rsidRPr="00BB11AF">
        <w:t>x</w:t>
      </w:r>
      <w:r w:rsidRPr="00BB11AF">
        <w:t>portations vers les États-Unis, baisse des exportations vers la Chine, à cause de la dim</w:t>
      </w:r>
      <w:r w:rsidRPr="00BB11AF">
        <w:t>i</w:t>
      </w:r>
      <w:r w:rsidRPr="00BB11AF">
        <w:t>nution des ventes des produits chinois sur le marché américain), le plongeant de nouveau dans la récession. Le taux de croissance du PIB a baissé sous zéro (-4,6% en 2008, -3,7% en 2009), le taux de chôm</w:t>
      </w:r>
      <w:r w:rsidRPr="00BB11AF">
        <w:t>a</w:t>
      </w:r>
      <w:r w:rsidRPr="00BB11AF">
        <w:t>ge est monté à 5,8%, dépassant celui de 2000. Des faillites, surtout de PME, sont apparues en s</w:t>
      </w:r>
      <w:r w:rsidRPr="00BB11AF">
        <w:t>é</w:t>
      </w:r>
      <w:r w:rsidRPr="00BB11AF">
        <w:t>rie. Certaines grandes entreprises, comme Sony ou NEC, ont connu des difficultés. Malgré une baisse du taux d'intérêt à 0,25%, les entreprises, n'entrevoyant pas d'expansion des débo</w:t>
      </w:r>
      <w:r w:rsidRPr="00BB11AF">
        <w:t>u</w:t>
      </w:r>
      <w:r w:rsidRPr="00BB11AF">
        <w:t>chés, ont tardé à emprunter. Les grandes entreprises, qui avaient quelque peu haussé l'embauche des jeunes entre 2003 et 2008, en sont rev</w:t>
      </w:r>
      <w:r w:rsidRPr="00BB11AF">
        <w:t>e</w:t>
      </w:r>
      <w:r w:rsidRPr="00BB11AF">
        <w:t>nues aux pratiques antérieures à 2003 et ont abaissé le nombre de jeunes embauchés dès la sortie de l'école. Toutes ces pratiques ont a</w:t>
      </w:r>
      <w:r w:rsidRPr="00BB11AF">
        <w:t>c</w:t>
      </w:r>
      <w:r w:rsidRPr="00BB11AF">
        <w:t>ce</w:t>
      </w:r>
      <w:r w:rsidRPr="00BB11AF">
        <w:t>n</w:t>
      </w:r>
      <w:r w:rsidRPr="00BB11AF">
        <w:t>tué les problèmes de l'économie japonaise qui est entrée dans une spirale à la baisse : chômage, endettement du gouvernement (la dette publique accumulée a dépassé 250% du PIB annuel en 2013), au</w:t>
      </w:r>
      <w:r w:rsidRPr="00BB11AF">
        <w:t>g</w:t>
      </w:r>
      <w:r w:rsidRPr="00BB11AF">
        <w:t>mentation du travail précaire, baisse du revenu moyen, baisse de la consommation, déflation.</w:t>
      </w:r>
    </w:p>
    <w:p w:rsidR="003A3061" w:rsidRPr="00BB11AF" w:rsidRDefault="003A3061" w:rsidP="003A3061">
      <w:pPr>
        <w:spacing w:before="120" w:after="120"/>
        <w:jc w:val="both"/>
      </w:pPr>
      <w:r w:rsidRPr="00BB11AF">
        <w:t>[78]</w:t>
      </w:r>
    </w:p>
    <w:p w:rsidR="003A3061" w:rsidRPr="00BB11AF" w:rsidRDefault="003A3061" w:rsidP="003A3061">
      <w:pPr>
        <w:spacing w:before="120" w:after="120"/>
        <w:jc w:val="both"/>
      </w:pPr>
      <w:r w:rsidRPr="00BB11AF">
        <w:t>C'est dans cette situation difficile qu'a frappé la catastrophe du 11 mars 2011 : un tremblement de terre d'une magnitude de 9,1, suivi d'un tsunami qui a causé un désastre nucléaire. La destruction ca</w:t>
      </w:r>
      <w:r w:rsidRPr="00BB11AF">
        <w:t>u</w:t>
      </w:r>
      <w:r w:rsidRPr="00BB11AF">
        <w:t>sée par le tremblement de terre puis par le tsunami a fortement frappé l'économie japonaise, sans parler des plus de 15000 morts, des 3 300 disparus et des nombreux édifices détruits. Les conséquences écon</w:t>
      </w:r>
      <w:r w:rsidRPr="00BB11AF">
        <w:t>o</w:t>
      </w:r>
      <w:r w:rsidRPr="00BB11AF">
        <w:t>miques immédiates de ce désastre sont no</w:t>
      </w:r>
      <w:r w:rsidRPr="00BB11AF">
        <w:t>m</w:t>
      </w:r>
      <w:r w:rsidRPr="00BB11AF">
        <w:t>breuses : fermeture de la centrale de Fukushima (affectant l'approvisionn</w:t>
      </w:r>
      <w:r w:rsidRPr="00BB11AF">
        <w:t>e</w:t>
      </w:r>
      <w:r w:rsidRPr="00BB11AF">
        <w:t>ment en électricité de Tokyo) ; destruction des terres et de la pr</w:t>
      </w:r>
      <w:r w:rsidRPr="00BB11AF">
        <w:t>o</w:t>
      </w:r>
      <w:r w:rsidRPr="00BB11AF">
        <w:t>duction agricole de toute la région, production affectée, comme les pêcheries, par les dévers</w:t>
      </w:r>
      <w:r w:rsidRPr="00BB11AF">
        <w:t>e</w:t>
      </w:r>
      <w:r w:rsidRPr="00BB11AF">
        <w:t>ments nucléaires de la centrale de Fuku</w:t>
      </w:r>
      <w:r w:rsidRPr="00BB11AF">
        <w:t>s</w:t>
      </w:r>
      <w:r w:rsidRPr="00BB11AF">
        <w:t>hima ; destruction totale ou partielle d'usines, spécialement dans l'électronique (les dommages à des usines de produits électroniques pour l'industrie automobile ont nui à la production mondiale pui</w:t>
      </w:r>
      <w:r w:rsidRPr="00BB11AF">
        <w:t>s</w:t>
      </w:r>
      <w:r w:rsidRPr="00BB11AF">
        <w:t>que 60% de la production mondiale de certaines composantes v</w:t>
      </w:r>
      <w:r w:rsidRPr="00BB11AF">
        <w:t>e</w:t>
      </w:r>
      <w:r w:rsidRPr="00BB11AF">
        <w:t>naient de la région de Sendai, fortement frappée par le tsunami). Les coûts de la reconstruction sont év</w:t>
      </w:r>
      <w:r w:rsidRPr="00BB11AF">
        <w:t>a</w:t>
      </w:r>
      <w:r w:rsidRPr="00BB11AF">
        <w:t>lués à 300 milliards de do</w:t>
      </w:r>
      <w:r w:rsidRPr="00BB11AF">
        <w:t>l</w:t>
      </w:r>
      <w:r w:rsidRPr="00BB11AF">
        <w:t>lars US.</w:t>
      </w:r>
    </w:p>
    <w:p w:rsidR="003A3061" w:rsidRPr="00BB11AF" w:rsidRDefault="003A3061" w:rsidP="003A3061">
      <w:pPr>
        <w:spacing w:before="120" w:after="120"/>
        <w:jc w:val="both"/>
      </w:pPr>
      <w:r w:rsidRPr="00BB11AF">
        <w:t>Cependant, la catastrophe a également affecté l'économie j</w:t>
      </w:r>
      <w:r w:rsidRPr="00BB11AF">
        <w:t>a</w:t>
      </w:r>
      <w:r w:rsidRPr="00BB11AF">
        <w:t>ponaise à plus long terme : baisse du PIB en 2011, mais reprise pa</w:t>
      </w:r>
      <w:r w:rsidRPr="00BB11AF">
        <w:t>r</w:t>
      </w:r>
      <w:r w:rsidRPr="00BB11AF">
        <w:t>tielle en 2012 et 2013 (à cause de la reconstruction, avec fortes dépenses go</w:t>
      </w:r>
      <w:r w:rsidRPr="00BB11AF">
        <w:t>u</w:t>
      </w:r>
      <w:r w:rsidRPr="00BB11AF">
        <w:t>vern</w:t>
      </w:r>
      <w:r w:rsidRPr="00BB11AF">
        <w:t>e</w:t>
      </w:r>
      <w:r w:rsidRPr="00BB11AF">
        <w:t>mentales) ; fermeture de tous les réacteurs nucléaires dans tout le pays, avec réouverture de deux réacteurs en 2012 et d'autres qui étaient prévus pour 2013, mais qui n'ont pas eu lieu ; importations de gaz naturel pour produire de l'électricité et ainsi compenser la ferm</w:t>
      </w:r>
      <w:r w:rsidRPr="00BB11AF">
        <w:t>e</w:t>
      </w:r>
      <w:r w:rsidRPr="00BB11AF">
        <w:t>ture des réacteurs ; déficit de la balance co</w:t>
      </w:r>
      <w:r w:rsidRPr="00BB11AF">
        <w:t>m</w:t>
      </w:r>
      <w:r w:rsidRPr="00BB11AF">
        <w:t>merciale en 2011 (pour la première fois depuis 30 ans), à cause de la hausse des importations d'hydrocarbures.</w:t>
      </w:r>
    </w:p>
    <w:p w:rsidR="003A3061" w:rsidRPr="00BB11AF" w:rsidRDefault="003A3061" w:rsidP="003A3061">
      <w:pPr>
        <w:spacing w:before="120" w:after="120"/>
        <w:jc w:val="both"/>
      </w:pPr>
      <w:r w:rsidRPr="00BB11AF">
        <w:t>Ces effets de la catastrophe ont amplifié certains problèmes pr</w:t>
      </w:r>
      <w:r w:rsidRPr="00BB11AF">
        <w:t>é</w:t>
      </w:r>
      <w:r w:rsidRPr="00BB11AF">
        <w:t>sents auparavant : taux de chômage élevé, déflation, augmentation du déficit du budget du gouvernement à cause des coûts de reconstru</w:t>
      </w:r>
      <w:r w:rsidRPr="00BB11AF">
        <w:t>c</w:t>
      </w:r>
      <w:r w:rsidRPr="00BB11AF">
        <w:t>tion, augmentation de la dette accumulée du gouvernement qui atteint 250% du PIB annuel. Du point de vue des travai</w:t>
      </w:r>
      <w:r w:rsidRPr="00BB11AF">
        <w:t>l</w:t>
      </w:r>
      <w:r w:rsidRPr="00BB11AF">
        <w:t>leurs, les difficultés pour se trouver un emploi sans précarité ont continué et ont même augmenté.</w:t>
      </w:r>
    </w:p>
    <w:p w:rsidR="003A3061" w:rsidRPr="00BB11AF" w:rsidRDefault="003A3061" w:rsidP="003A3061">
      <w:pPr>
        <w:spacing w:before="120" w:after="120"/>
        <w:jc w:val="both"/>
      </w:pPr>
      <w:r w:rsidRPr="00BB11AF">
        <w:t>La situation actuelle de l'emploi a momentanément retardé le pr</w:t>
      </w:r>
      <w:r w:rsidRPr="00BB11AF">
        <w:t>o</w:t>
      </w:r>
      <w:r w:rsidRPr="00BB11AF">
        <w:t>blème posé à l'économie japonaise par le vieillissement de la popul</w:t>
      </w:r>
      <w:r w:rsidRPr="00BB11AF">
        <w:t>a</w:t>
      </w:r>
      <w:r w:rsidRPr="00BB11AF">
        <w:t>tion. En effet, avec un faible taux de natalité, autour de 1,30, et avec l'espérance de vie la plus élevée au monde pour les ho</w:t>
      </w:r>
      <w:r w:rsidRPr="00BB11AF">
        <w:t>m</w:t>
      </w:r>
      <w:r w:rsidRPr="00BB11AF">
        <w:t>mes comme pour les femmes, le pays connaît depuis deux décennies une augme</w:t>
      </w:r>
      <w:r w:rsidRPr="00BB11AF">
        <w:t>n</w:t>
      </w:r>
      <w:r w:rsidRPr="00BB11AF">
        <w:t>tation des personnes au-dessus de 65 ans, au moment où le nombre de naissances ne peut assurer le remplac</w:t>
      </w:r>
      <w:r w:rsidRPr="00BB11AF">
        <w:t>e</w:t>
      </w:r>
      <w:r w:rsidRPr="00BB11AF">
        <w:t>ment de la population. De ce point de vue, les difficultés économ</w:t>
      </w:r>
      <w:r w:rsidRPr="00BB11AF">
        <w:t>i</w:t>
      </w:r>
      <w:r w:rsidRPr="00BB11AF">
        <w:t>ques ont retardé l'effet conjugué sur le marché du travail des fa</w:t>
      </w:r>
      <w:r w:rsidRPr="00BB11AF">
        <w:t>i</w:t>
      </w:r>
      <w:r w:rsidRPr="00BB11AF">
        <w:t>bles naissances et de la forte espérance de vie, puisqu'elles ont amenuisé fortement les chances d'emploi pe</w:t>
      </w:r>
      <w:r w:rsidRPr="00BB11AF">
        <w:t>r</w:t>
      </w:r>
      <w:r w:rsidRPr="00BB11AF">
        <w:t>m</w:t>
      </w:r>
      <w:r w:rsidRPr="00BB11AF">
        <w:t>a</w:t>
      </w:r>
      <w:r w:rsidRPr="00BB11AF">
        <w:t>nent. Autrement dit, la stagnation a limité l'expansion du marché du travail, ce qui a retardé les effets du faible nombre de nouveaux salariés se che</w:t>
      </w:r>
      <w:r w:rsidRPr="00BB11AF">
        <w:t>r</w:t>
      </w:r>
      <w:r w:rsidRPr="00BB11AF">
        <w:t>chant un emploi. Le Japon se retrouve maintenant avec un</w:t>
      </w:r>
      <w:r>
        <w:t xml:space="preserve"> </w:t>
      </w:r>
      <w:r w:rsidRPr="00BB11AF">
        <w:t>[79]</w:t>
      </w:r>
      <w:r>
        <w:t xml:space="preserve"> </w:t>
      </w:r>
      <w:r w:rsidRPr="00BB11AF">
        <w:t>surplus de jeunes avec des emplois précaires. Cette situation co</w:t>
      </w:r>
      <w:r w:rsidRPr="00BB11AF">
        <w:t>n</w:t>
      </w:r>
      <w:r w:rsidRPr="00BB11AF">
        <w:t>traste avec celle des années 1980, où le pays manquait de jeunes pour re</w:t>
      </w:r>
      <w:r w:rsidRPr="00BB11AF">
        <w:t>m</w:t>
      </w:r>
      <w:r w:rsidRPr="00BB11AF">
        <w:t>plir les emplois disponibles.</w:t>
      </w:r>
    </w:p>
    <w:p w:rsidR="003A3061" w:rsidRPr="00BB11AF" w:rsidRDefault="003A3061" w:rsidP="003A3061">
      <w:pPr>
        <w:spacing w:before="120" w:after="120"/>
        <w:jc w:val="both"/>
      </w:pPr>
      <w:r w:rsidRPr="00BB11AF">
        <w:t>La crise a aussi repoussé le débat sur l'immigration. Dans les a</w:t>
      </w:r>
      <w:r w:rsidRPr="00BB11AF">
        <w:t>n</w:t>
      </w:r>
      <w:r w:rsidRPr="00BB11AF">
        <w:t xml:space="preserve">nées 1980, avec une pénurie de jeunes hommes entrant sur le marché du travail, avec aussi le refus de plusieurs japonais de faire le travail qualifié de sale, difficile et dangereux (les trois K : </w:t>
      </w:r>
      <w:r w:rsidRPr="00BB11AF">
        <w:rPr>
          <w:i/>
        </w:rPr>
        <w:t>kitanai</w:t>
      </w:r>
      <w:r w:rsidRPr="00BB11AF">
        <w:t xml:space="preserve">, </w:t>
      </w:r>
      <w:r w:rsidRPr="00BB11AF">
        <w:rPr>
          <w:i/>
        </w:rPr>
        <w:t>kitsui</w:t>
      </w:r>
      <w:r w:rsidRPr="00BB11AF">
        <w:t xml:space="preserve">, </w:t>
      </w:r>
      <w:r w:rsidRPr="00BB11AF">
        <w:rPr>
          <w:i/>
        </w:rPr>
        <w:t>k</w:t>
      </w:r>
      <w:r w:rsidRPr="00BB11AF">
        <w:rPr>
          <w:i/>
        </w:rPr>
        <w:t>i</w:t>
      </w:r>
      <w:r w:rsidRPr="00BB11AF">
        <w:rPr>
          <w:i/>
        </w:rPr>
        <w:t>ken</w:t>
      </w:r>
      <w:r w:rsidRPr="00BB11AF">
        <w:t>), le gouvernement avait toléré l'entrée d'i</w:t>
      </w:r>
      <w:r w:rsidRPr="00BB11AF">
        <w:t>m</w:t>
      </w:r>
      <w:r w:rsidRPr="00BB11AF">
        <w:t>migrants illégaux, pour la grande majorité issus des pays asiat</w:t>
      </w:r>
      <w:r w:rsidRPr="00BB11AF">
        <w:t>i</w:t>
      </w:r>
      <w:r w:rsidRPr="00BB11AF">
        <w:t>ques. Mais la crise a changé la donne. En effet, les faillites de PME, la diminution des mises en cha</w:t>
      </w:r>
      <w:r w:rsidRPr="00BB11AF">
        <w:t>n</w:t>
      </w:r>
      <w:r w:rsidRPr="00BB11AF">
        <w:t>tier dans la construction (sauf dans les périodes de dépenses d'infra</w:t>
      </w:r>
      <w:r w:rsidRPr="00BB11AF">
        <w:t>s</w:t>
      </w:r>
      <w:r w:rsidRPr="00BB11AF">
        <w:t>tructure) et la disponibilité de pl</w:t>
      </w:r>
      <w:r w:rsidRPr="00BB11AF">
        <w:t>u</w:t>
      </w:r>
      <w:r w:rsidRPr="00BB11AF">
        <w:t>sieurs jeunes prêts à faire ce genre de travail ont entraîné une pol</w:t>
      </w:r>
      <w:r w:rsidRPr="00BB11AF">
        <w:t>i</w:t>
      </w:r>
      <w:r w:rsidRPr="00BB11AF">
        <w:t>tique plus restrictive. Donc, à court terme, avec un besoin moindre de travailleurs, le problème de l'immigration s'est atténué. Mais il se posera sans aucun doute de nouveau avec acu</w:t>
      </w:r>
      <w:r w:rsidRPr="00BB11AF">
        <w:t>i</w:t>
      </w:r>
      <w:r w:rsidRPr="00BB11AF">
        <w:t>té, étant donné la diminution constante de jeunes entrant sur le marché du travail et l'augmentation du nombre de personnes âgées. Selon Chapple (2004), le ratio du nombre de personnes au travail par rapport à une personne âgée était de 12 en 1950, il était passé à 5,5 en 1990 et l'on prévoit qu'il se situera à 2,3 en 2020. Il est bien clair que, si les Japonais veulent au minimum maintenir le niveau actuel des services et de la production man</w:t>
      </w:r>
      <w:r w:rsidRPr="00BB11AF">
        <w:t>u</w:t>
      </w:r>
      <w:r w:rsidRPr="00BB11AF">
        <w:t>facturière, le pays devra accueillir de nouveaux immigrants à l'avenir.</w:t>
      </w:r>
    </w:p>
    <w:p w:rsidR="003A3061" w:rsidRPr="00BB11AF" w:rsidRDefault="003A3061" w:rsidP="003A3061">
      <w:pPr>
        <w:spacing w:before="120" w:after="120"/>
        <w:jc w:val="both"/>
      </w:pPr>
    </w:p>
    <w:p w:rsidR="003A3061" w:rsidRPr="00BB11AF" w:rsidRDefault="003A3061" w:rsidP="003A3061">
      <w:pPr>
        <w:pStyle w:val="planche"/>
      </w:pPr>
      <w:r w:rsidRPr="00BB11AF">
        <w:t>Conclusion</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Le Japon a connu des difficultés économiques inédites à cause de la crise financière, difficultés qui ont été amplifiées par la c</w:t>
      </w:r>
      <w:r w:rsidRPr="00BB11AF">
        <w:t>a</w:t>
      </w:r>
      <w:r w:rsidRPr="00BB11AF">
        <w:t>tastrophe de mars 2011. Mais peut-on parler de crise économique ou de crise soci</w:t>
      </w:r>
      <w:r w:rsidRPr="00BB11AF">
        <w:t>a</w:t>
      </w:r>
      <w:r w:rsidRPr="00BB11AF">
        <w:t>le ? À mon avis oui, pour les raisons suivantes. Premièrement, au n</w:t>
      </w:r>
      <w:r w:rsidRPr="00BB11AF">
        <w:t>i</w:t>
      </w:r>
      <w:r w:rsidRPr="00BB11AF">
        <w:t>veau économique, la croissance négative ou nulle pendant plusieurs années, la déflation, la baisse du revenu moyen, le chômage en hau</w:t>
      </w:r>
      <w:r w:rsidRPr="00BB11AF">
        <w:t>s</w:t>
      </w:r>
      <w:r w:rsidRPr="00BB11AF">
        <w:t>se, l'augmentation du travail précaire peuvent être considérés comme des indices qu'une véritable crise a frappé le Japon, surtout de 1997 à 2003 et de 2008 à 2012. Deuxièmement, cette crise économique a e</w:t>
      </w:r>
      <w:r w:rsidRPr="00BB11AF">
        <w:t>n</w:t>
      </w:r>
      <w:r w:rsidRPr="00BB11AF">
        <w:t>trainé une crise sociale : hausse dramatique du taux de suicide, en pa</w:t>
      </w:r>
      <w:r w:rsidRPr="00BB11AF">
        <w:t>r</w:t>
      </w:r>
      <w:r w:rsidRPr="00BB11AF">
        <w:t>ticulier chez les hommes entre 40 et 60 ans, baisse du nombre de m</w:t>
      </w:r>
      <w:r w:rsidRPr="00BB11AF">
        <w:t>a</w:t>
      </w:r>
      <w:r w:rsidRPr="00BB11AF">
        <w:t>riages à cause de la situation économique précaire des jeunes, nouve</w:t>
      </w:r>
      <w:r w:rsidRPr="00BB11AF">
        <w:t>l</w:t>
      </w:r>
      <w:r w:rsidRPr="00BB11AF">
        <w:t>le baisse de la natalité. Il faut aussi noter les modifications des aspir</w:t>
      </w:r>
      <w:r w:rsidRPr="00BB11AF">
        <w:t>a</w:t>
      </w:r>
      <w:r w:rsidRPr="00BB11AF">
        <w:t>tions de plusieurs jeunes quant à l'éducation. Avant 1990, une bonne éducation g</w:t>
      </w:r>
      <w:r w:rsidRPr="00BB11AF">
        <w:t>a</w:t>
      </w:r>
      <w:r w:rsidRPr="00BB11AF">
        <w:t>rantissait un bon emploi. Ce n'est plus le cas en 2014. Étant donné ce fait, plusieurs familles hésitent à dépenser autant qu'auparavant pour l'éducation des enfants. C'est là un chang</w:t>
      </w:r>
      <w:r w:rsidRPr="00BB11AF">
        <w:t>e</w:t>
      </w:r>
      <w:r w:rsidRPr="00BB11AF">
        <w:t>ment important dans l'organisation institutionnelle du Japon. En effet, ju</w:t>
      </w:r>
      <w:r w:rsidRPr="00BB11AF">
        <w:t>s</w:t>
      </w:r>
      <w:r w:rsidRPr="00BB11AF">
        <w:t>que dans les années 1990, les familles japonaises dépe</w:t>
      </w:r>
      <w:r w:rsidRPr="00BB11AF">
        <w:t>n</w:t>
      </w:r>
      <w:r w:rsidRPr="00BB11AF">
        <w:t>saient des sommes importantes pour l'éducation, afin d'assurer l'avenir des e</w:t>
      </w:r>
      <w:r w:rsidRPr="00BB11AF">
        <w:t>n</w:t>
      </w:r>
      <w:r w:rsidRPr="00BB11AF">
        <w:t>fants. L'avenir n'étant plus assuré par l'éducation, autrement dit, le lien si fort entre éducation et travail étant affaibli, le comportent des fami</w:t>
      </w:r>
      <w:r w:rsidRPr="00BB11AF">
        <w:t>l</w:t>
      </w:r>
      <w:r w:rsidRPr="00BB11AF">
        <w:t>les en a été modifié.</w:t>
      </w:r>
    </w:p>
    <w:p w:rsidR="003A3061" w:rsidRPr="00BB11AF" w:rsidRDefault="003A3061" w:rsidP="003A3061">
      <w:pPr>
        <w:spacing w:before="120" w:after="120"/>
        <w:jc w:val="both"/>
      </w:pPr>
      <w:r w:rsidRPr="00BB11AF">
        <w:t>[80]</w:t>
      </w:r>
    </w:p>
    <w:p w:rsidR="003A3061" w:rsidRPr="00BB11AF" w:rsidRDefault="003A3061" w:rsidP="003A3061">
      <w:pPr>
        <w:spacing w:before="120" w:after="120"/>
        <w:jc w:val="both"/>
      </w:pPr>
      <w:r w:rsidRPr="00BB11AF">
        <w:t>D'autres changements peuvent aussi se percevoir, par exemple, la perte de confiance dans les trois piliers de la période de croi</w:t>
      </w:r>
      <w:r w:rsidRPr="00BB11AF">
        <w:t>s</w:t>
      </w:r>
      <w:r w:rsidRPr="00BB11AF">
        <w:t>sance, soit les partis politiques (au premier chef le Parti libéral-démocrate, PLD, au pouvoir sans arrêt de 1955, au moment de sa fondation, à 1993, puis de nouveau de 1997 à 2010 et encore en 2013), la burea</w:t>
      </w:r>
      <w:r w:rsidRPr="00BB11AF">
        <w:t>u</w:t>
      </w:r>
      <w:r w:rsidRPr="00BB11AF">
        <w:t>cratie et les grandes entreprises. Ces trois doma</w:t>
      </w:r>
      <w:r w:rsidRPr="00BB11AF">
        <w:t>i</w:t>
      </w:r>
      <w:r w:rsidRPr="00BB11AF">
        <w:t>nes ont été frappés par divers scandales qui ont miné la confiance des Jap</w:t>
      </w:r>
      <w:r w:rsidRPr="00BB11AF">
        <w:t>o</w:t>
      </w:r>
      <w:r w:rsidRPr="00BB11AF">
        <w:t>nais. S'il est vrai qu'il existait une sorte de cynisme e</w:t>
      </w:r>
      <w:r w:rsidRPr="00BB11AF">
        <w:t>n</w:t>
      </w:r>
      <w:r w:rsidRPr="00BB11AF">
        <w:t>vers le PLD, on ne peut en dire autant dans le cas de l'opinion des gens face aux fonctionnaires et aux ho</w:t>
      </w:r>
      <w:r w:rsidRPr="00BB11AF">
        <w:t>m</w:t>
      </w:r>
      <w:r w:rsidRPr="00BB11AF">
        <w:t>mes d'affaires avant 1990. Mais la crise et les scandales ont miné la confiance populaire dans ces secteurs et l'ont abaissée à un niveau comparable à celui des politiciens, du moins si on se fie aux sondages.</w:t>
      </w:r>
    </w:p>
    <w:p w:rsidR="003A3061" w:rsidRPr="00BB11AF" w:rsidRDefault="003A3061" w:rsidP="003A3061">
      <w:pPr>
        <w:spacing w:before="120" w:after="120"/>
        <w:jc w:val="both"/>
      </w:pPr>
      <w:r w:rsidRPr="00BB11AF">
        <w:t>Le Japon de 2014 n'est plus celui de 1989. Les Japonais, qui pe</w:t>
      </w:r>
      <w:r w:rsidRPr="00BB11AF">
        <w:t>n</w:t>
      </w:r>
      <w:r w:rsidRPr="00BB11AF">
        <w:t>saient que leur pays allait devenir le leader économique mo</w:t>
      </w:r>
      <w:r w:rsidRPr="00BB11AF">
        <w:t>n</w:t>
      </w:r>
      <w:r w:rsidRPr="00BB11AF">
        <w:t>dial (voir, parmi plusieurs autres, Nakamura 1988 ; Takenaka 1989), ont fort</w:t>
      </w:r>
      <w:r w:rsidRPr="00BB11AF">
        <w:t>e</w:t>
      </w:r>
      <w:r w:rsidRPr="00BB11AF">
        <w:t>ment d</w:t>
      </w:r>
      <w:r w:rsidRPr="00BB11AF">
        <w:t>é</w:t>
      </w:r>
      <w:r w:rsidRPr="00BB11AF">
        <w:t>chanté avec la crise financière qui s'est transformée en crise économ</w:t>
      </w:r>
      <w:r w:rsidRPr="00BB11AF">
        <w:t>i</w:t>
      </w:r>
      <w:r w:rsidRPr="00BB11AF">
        <w:t>que et sociale. Ce qui est peut-être surprenant, c'est qu'il y a eu peu de protestation pendant la longue période de difficulté écon</w:t>
      </w:r>
      <w:r w:rsidRPr="00BB11AF">
        <w:t>o</w:t>
      </w:r>
      <w:r w:rsidRPr="00BB11AF">
        <w:t>mique de 1990 à 2003. Cette situation a changé durant l'été 2012, quand des manifestations de grande envergure ont eu lieu pour s'opp</w:t>
      </w:r>
      <w:r w:rsidRPr="00BB11AF">
        <w:t>o</w:t>
      </w:r>
      <w:r w:rsidRPr="00BB11AF">
        <w:t>ser à la remise en fon</w:t>
      </w:r>
      <w:r w:rsidRPr="00BB11AF">
        <w:t>c</w:t>
      </w:r>
      <w:r w:rsidRPr="00BB11AF">
        <w:t>tion d'une centrale nucléaire et d'un plan pour en rouvrir d'autres. Depuis le 3 août 2012, date à laquelle plus de 200 000 pe</w:t>
      </w:r>
      <w:r w:rsidRPr="00BB11AF">
        <w:t>r</w:t>
      </w:r>
      <w:r w:rsidRPr="00BB11AF">
        <w:t>sonnes se sont rassemblées devant la résidence du premier mini</w:t>
      </w:r>
      <w:r w:rsidRPr="00BB11AF">
        <w:t>s</w:t>
      </w:r>
      <w:r w:rsidRPr="00BB11AF">
        <w:t>tre à Tokyo, des manifestations se sont tenues tous les vendredis. Le nombre de participants a baissé, mais l'effort a continué ju</w:t>
      </w:r>
      <w:r w:rsidRPr="00BB11AF">
        <w:t>s</w:t>
      </w:r>
      <w:r w:rsidRPr="00BB11AF">
        <w:t>qu'à la fin de 2012. D'autres moyens de contestations ont été développés d</w:t>
      </w:r>
      <w:r w:rsidRPr="00BB11AF">
        <w:t>e</w:t>
      </w:r>
      <w:r w:rsidRPr="00BB11AF">
        <w:t>puis une dizaine d'années, comme la mise en place de syndicats de travailleurs temporaires (voir Mirza 2014) ou de syndicats de journ</w:t>
      </w:r>
      <w:r w:rsidRPr="00BB11AF">
        <w:t>a</w:t>
      </w:r>
      <w:r w:rsidRPr="00BB11AF">
        <w:t>liers (Malinas 2011). Cependant, il s'agit d'e</w:t>
      </w:r>
      <w:r w:rsidRPr="00BB11AF">
        <w:t>x</w:t>
      </w:r>
      <w:r w:rsidRPr="00BB11AF">
        <w:t>ceptions qui portent sur des nombres restreints de participants.</w:t>
      </w:r>
    </w:p>
    <w:p w:rsidR="003A3061" w:rsidRPr="00BB11AF" w:rsidRDefault="003A3061" w:rsidP="003A3061">
      <w:pPr>
        <w:spacing w:before="120" w:after="120"/>
        <w:jc w:val="both"/>
      </w:pPr>
      <w:r w:rsidRPr="00BB11AF">
        <w:t>[81]</w:t>
      </w:r>
    </w:p>
    <w:p w:rsidR="003A3061" w:rsidRPr="00BB11AF" w:rsidRDefault="003A3061" w:rsidP="003A3061">
      <w:pPr>
        <w:spacing w:before="120" w:after="120"/>
        <w:jc w:val="both"/>
      </w:pPr>
    </w:p>
    <w:p w:rsidR="003A3061" w:rsidRPr="00BB11AF" w:rsidRDefault="003A3061" w:rsidP="003A3061">
      <w:pPr>
        <w:pStyle w:val="a"/>
      </w:pPr>
      <w:r w:rsidRPr="00BB11AF">
        <w:t>Références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Chapple, J. 2004. « The Dilemma posed by Japan's Population D</w:t>
      </w:r>
      <w:r w:rsidRPr="00BB11AF">
        <w:t>é</w:t>
      </w:r>
      <w:r w:rsidRPr="00BB11AF">
        <w:t>cline », Electronic Journal of Contemporary Japanese Studies, Discu</w:t>
      </w:r>
      <w:r w:rsidRPr="00BB11AF">
        <w:t>s</w:t>
      </w:r>
      <w:r w:rsidRPr="00BB11AF">
        <w:t xml:space="preserve">sion Paper n° 5, 2004. Document électronique, </w:t>
      </w:r>
      <w:hyperlink r:id="rId31" w:history="1">
        <w:r w:rsidRPr="00BB11AF">
          <w:rPr>
            <w:rStyle w:val="Lienhypertexte"/>
            <w:lang w:bidi="en-US"/>
          </w:rPr>
          <w:t>http://www.japanesestudies.org.uk/discussionpapers/Chapple.html</w:t>
        </w:r>
      </w:hyperlink>
      <w:r w:rsidRPr="00BB11AF">
        <w:rPr>
          <w:lang w:bidi="en-US"/>
        </w:rPr>
        <w:t xml:space="preserve">, </w:t>
      </w:r>
      <w:r w:rsidRPr="00BB11AF">
        <w:t>consulté le 28 novembre 2012.</w:t>
      </w:r>
    </w:p>
    <w:p w:rsidR="003A3061" w:rsidRPr="00BB11AF" w:rsidRDefault="003A3061" w:rsidP="003A3061">
      <w:pPr>
        <w:spacing w:before="120" w:after="120"/>
        <w:jc w:val="both"/>
      </w:pPr>
      <w:r w:rsidRPr="00BB11AF">
        <w:t>Cole, R. E. 1979. Work, Mobility, and Participation : A Compart</w:t>
      </w:r>
      <w:r w:rsidRPr="00BB11AF">
        <w:t>i</w:t>
      </w:r>
      <w:r w:rsidRPr="00BB11AF">
        <w:t>ve Study of American and Japanese Industry. Berkeley/Los A</w:t>
      </w:r>
      <w:r w:rsidRPr="00BB11AF">
        <w:t>n</w:t>
      </w:r>
      <w:r w:rsidRPr="00BB11AF">
        <w:t>geles : University of California Press.</w:t>
      </w:r>
    </w:p>
    <w:p w:rsidR="003A3061" w:rsidRPr="00BB11AF" w:rsidRDefault="003A3061" w:rsidP="003A3061">
      <w:pPr>
        <w:spacing w:before="120" w:after="120"/>
        <w:jc w:val="both"/>
      </w:pPr>
      <w:r w:rsidRPr="00BB11AF">
        <w:t>Curtiss, G. 2013. « The Government of Modem Japan : The Jap</w:t>
      </w:r>
      <w:r w:rsidRPr="00BB11AF">
        <w:t>a</w:t>
      </w:r>
      <w:r w:rsidRPr="00BB11AF">
        <w:t>nese Bureaucracy. Corruption Scandais (1990s) ». Document électr</w:t>
      </w:r>
      <w:r w:rsidRPr="00BB11AF">
        <w:t>o</w:t>
      </w:r>
      <w:r w:rsidRPr="00BB11AF">
        <w:t xml:space="preserve">nique, </w:t>
      </w:r>
      <w:hyperlink r:id="rId32" w:history="1">
        <w:r w:rsidRPr="008A7C9A">
          <w:rPr>
            <w:rStyle w:val="Lienhypertexte"/>
            <w:lang w:bidi="en-US"/>
          </w:rPr>
          <w:t>http://afe.easia.columbia.edu/at/jp_bureau/govtjb13.html</w:t>
        </w:r>
      </w:hyperlink>
      <w:r w:rsidRPr="00BB11AF">
        <w:rPr>
          <w:lang w:bidi="en-US"/>
        </w:rPr>
        <w:t xml:space="preserve">, </w:t>
      </w:r>
      <w:r w:rsidRPr="00BB11AF">
        <w:t>consu</w:t>
      </w:r>
      <w:r w:rsidRPr="00BB11AF">
        <w:t>l</w:t>
      </w:r>
      <w:r w:rsidRPr="00BB11AF">
        <w:t>té le 18 août 2013.</w:t>
      </w:r>
    </w:p>
    <w:p w:rsidR="003A3061" w:rsidRPr="00BB11AF" w:rsidRDefault="003A3061" w:rsidP="003A3061">
      <w:pPr>
        <w:spacing w:before="120" w:after="120"/>
        <w:jc w:val="both"/>
      </w:pPr>
      <w:r w:rsidRPr="00BB11AF">
        <w:t>Fujii, M. and M. Kawai. 2010. « Lessons from Japan's Banking Crisis, 1991-2005 », Asian Development Bank Insitute Working P</w:t>
      </w:r>
      <w:r w:rsidRPr="00BB11AF">
        <w:t>a</w:t>
      </w:r>
      <w:r w:rsidRPr="00BB11AF">
        <w:t xml:space="preserve">per Series, n°222, June 2010. Document électronique, </w:t>
      </w:r>
      <w:r w:rsidRPr="00BB11AF">
        <w:rPr>
          <w:lang w:bidi="en-US"/>
        </w:rPr>
        <w:t xml:space="preserve">http ://www.adbi.0rg/files/2010.06.29.wp222.lessons.japan.banking.crisis.1991.2005.pdf, </w:t>
      </w:r>
      <w:r w:rsidRPr="00BB11AF">
        <w:t>consulté le 20 août 2013.</w:t>
      </w:r>
    </w:p>
    <w:p w:rsidR="003A3061" w:rsidRPr="00BB11AF" w:rsidRDefault="003A3061" w:rsidP="003A3061">
      <w:pPr>
        <w:spacing w:before="120" w:after="120"/>
        <w:jc w:val="both"/>
      </w:pPr>
      <w:r w:rsidRPr="00BB11AF">
        <w:t xml:space="preserve">Gouvernement du Japon. 2002. </w:t>
      </w:r>
      <w:r w:rsidRPr="00BB11AF">
        <w:rPr>
          <w:i/>
        </w:rPr>
        <w:t>Statistical Yearbook of Japan</w:t>
      </w:r>
      <w:r w:rsidRPr="00BB11AF">
        <w:t>. T</w:t>
      </w:r>
      <w:r w:rsidRPr="00BB11AF">
        <w:t>o</w:t>
      </w:r>
      <w:r w:rsidRPr="00BB11AF">
        <w:t>kyo : Bureau du Premier Ministre.</w:t>
      </w:r>
    </w:p>
    <w:p w:rsidR="003A3061" w:rsidRPr="00BB11AF" w:rsidRDefault="003A3061" w:rsidP="003A3061">
      <w:pPr>
        <w:spacing w:before="120" w:after="120"/>
        <w:jc w:val="both"/>
      </w:pPr>
      <w:r w:rsidRPr="00BB11AF">
        <w:t xml:space="preserve">_____, 2012. </w:t>
      </w:r>
      <w:r w:rsidRPr="00BB11AF">
        <w:rPr>
          <w:i/>
        </w:rPr>
        <w:t>Statistical Yearbookof Japan</w:t>
      </w:r>
      <w:r w:rsidRPr="00BB11AF">
        <w:t>. Tokyo : Bureau du Premier Ministre.</w:t>
      </w:r>
    </w:p>
    <w:p w:rsidR="003A3061" w:rsidRPr="00BB11AF" w:rsidRDefault="003A3061" w:rsidP="003A3061">
      <w:pPr>
        <w:spacing w:before="120" w:after="120"/>
        <w:jc w:val="both"/>
      </w:pPr>
      <w:r w:rsidRPr="00BB11AF">
        <w:t xml:space="preserve">Guichard, S. 1999. </w:t>
      </w:r>
      <w:r w:rsidRPr="00BB11AF">
        <w:rPr>
          <w:i/>
        </w:rPr>
        <w:t>La défaite financière du Japon</w:t>
      </w:r>
      <w:r w:rsidRPr="00BB11AF">
        <w:t>. Paris : Econ</w:t>
      </w:r>
      <w:r w:rsidRPr="00BB11AF">
        <w:t>o</w:t>
      </w:r>
      <w:r w:rsidRPr="00BB11AF">
        <w:t>mica.</w:t>
      </w:r>
    </w:p>
    <w:p w:rsidR="003A3061" w:rsidRPr="00BB11AF" w:rsidRDefault="003A3061" w:rsidP="003A3061">
      <w:pPr>
        <w:spacing w:before="120" w:after="120"/>
        <w:jc w:val="both"/>
      </w:pPr>
      <w:r w:rsidRPr="00BB11AF">
        <w:t xml:space="preserve">Johnson, C. 1982. </w:t>
      </w:r>
      <w:r w:rsidRPr="00BB11AF">
        <w:rPr>
          <w:i/>
        </w:rPr>
        <w:t>MITI and the Japanese Miracle : The Growth of Industrial Policy, 1925-1975</w:t>
      </w:r>
      <w:r w:rsidRPr="00BB11AF">
        <w:t>. Stanford : Stanford University Press.</w:t>
      </w:r>
    </w:p>
    <w:p w:rsidR="003A3061" w:rsidRPr="00BB11AF" w:rsidRDefault="003A3061" w:rsidP="003A3061">
      <w:pPr>
        <w:spacing w:before="120" w:after="120"/>
        <w:jc w:val="both"/>
      </w:pPr>
      <w:r w:rsidRPr="00BB11AF">
        <w:t xml:space="preserve">Malinas, D.-A. 2011. </w:t>
      </w:r>
      <w:r w:rsidRPr="00BB11AF">
        <w:rPr>
          <w:i/>
        </w:rPr>
        <w:t>La lutte des sans-abri au Japon. Le reno</w:t>
      </w:r>
      <w:r w:rsidRPr="00BB11AF">
        <w:rPr>
          <w:i/>
        </w:rPr>
        <w:t>u</w:t>
      </w:r>
      <w:r w:rsidRPr="00BB11AF">
        <w:rPr>
          <w:i/>
        </w:rPr>
        <w:t>veau du militantisme</w:t>
      </w:r>
      <w:r w:rsidRPr="00BB11AF">
        <w:t>. Paris : L'Harmattan.</w:t>
      </w:r>
    </w:p>
    <w:p w:rsidR="003A3061" w:rsidRPr="00BB11AF" w:rsidRDefault="003A3061" w:rsidP="003A3061">
      <w:pPr>
        <w:spacing w:before="120" w:after="120"/>
        <w:jc w:val="both"/>
      </w:pPr>
      <w:r w:rsidRPr="00BB11AF">
        <w:t>Mirza, V. 2014. « Japan Temporary Workers' Unions and P</w:t>
      </w:r>
      <w:r w:rsidRPr="00BB11AF">
        <w:t>o</w:t>
      </w:r>
      <w:r w:rsidRPr="00BB11AF">
        <w:t xml:space="preserve">litical Représentation », In </w:t>
      </w:r>
      <w:r w:rsidRPr="00BB11AF">
        <w:rPr>
          <w:i/>
        </w:rPr>
        <w:t>Japanese Youth in the Conservative Elite Soci</w:t>
      </w:r>
      <w:r w:rsidRPr="00BB11AF">
        <w:rPr>
          <w:i/>
        </w:rPr>
        <w:t>e</w:t>
      </w:r>
      <w:r w:rsidRPr="00BB11AF">
        <w:rPr>
          <w:i/>
        </w:rPr>
        <w:t>ty : Essays on the Liberal Young Superachievers</w:t>
      </w:r>
      <w:r w:rsidRPr="00BB11AF">
        <w:t>. H. Itoh and B. Be</w:t>
      </w:r>
      <w:r w:rsidRPr="00BB11AF">
        <w:t>r</w:t>
      </w:r>
      <w:r w:rsidRPr="00BB11AF">
        <w:t>nier, eds. Pp. 53-70. Lewiston : Edwin Mellen Press.</w:t>
      </w:r>
    </w:p>
    <w:p w:rsidR="003A3061" w:rsidRPr="00BB11AF" w:rsidRDefault="003A3061" w:rsidP="003A3061">
      <w:pPr>
        <w:spacing w:before="120" w:after="120"/>
        <w:jc w:val="both"/>
      </w:pPr>
      <w:r w:rsidRPr="00BB11AF">
        <w:t xml:space="preserve">Nakamura, J. 1988. « Stormy Sailing, Good Swing ». </w:t>
      </w:r>
      <w:r w:rsidRPr="00BB11AF">
        <w:rPr>
          <w:i/>
        </w:rPr>
        <w:t>Look J</w:t>
      </w:r>
      <w:r w:rsidRPr="00BB11AF">
        <w:rPr>
          <w:i/>
        </w:rPr>
        <w:t>a</w:t>
      </w:r>
      <w:r w:rsidRPr="00BB11AF">
        <w:rPr>
          <w:i/>
        </w:rPr>
        <w:t>pan,</w:t>
      </w:r>
      <w:r w:rsidRPr="00BB11AF">
        <w:t xml:space="preserve"> 34 (386) : 10-11.</w:t>
      </w:r>
    </w:p>
    <w:p w:rsidR="003A3061" w:rsidRPr="00BB11AF" w:rsidRDefault="003A3061" w:rsidP="003A3061">
      <w:pPr>
        <w:spacing w:before="120" w:after="120"/>
        <w:jc w:val="both"/>
      </w:pPr>
      <w:r w:rsidRPr="00BB11AF">
        <w:t>Rae, J. B. 1984. The American Automobile Industry. Boston : Twayne Publishers.</w:t>
      </w:r>
    </w:p>
    <w:p w:rsidR="003A3061" w:rsidRPr="00BB11AF" w:rsidRDefault="003A3061" w:rsidP="003A3061">
      <w:pPr>
        <w:spacing w:before="120" w:after="120"/>
        <w:jc w:val="both"/>
      </w:pPr>
      <w:r w:rsidRPr="00BB11AF">
        <w:t>Takenaka, H. 1989. « Looking to the Heisei Boom ». Look Japan 34(396) : 24.</w:t>
      </w:r>
    </w:p>
    <w:p w:rsidR="003A3061" w:rsidRPr="00BB11AF" w:rsidRDefault="003A3061" w:rsidP="003A3061">
      <w:pPr>
        <w:spacing w:before="120" w:after="120"/>
        <w:jc w:val="both"/>
      </w:pPr>
      <w:r w:rsidRPr="00BB11AF">
        <w:t>Totsuka, H. et T. Hyôdô. 2001. Rôshi kankei no tenkan tose</w:t>
      </w:r>
      <w:r w:rsidRPr="00BB11AF">
        <w:t>n</w:t>
      </w:r>
      <w:r w:rsidRPr="00BB11AF">
        <w:t>taku. Tokyo : Nihon Hyôronsha.</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[82]</w:t>
      </w:r>
    </w:p>
    <w:p w:rsidR="003A3061" w:rsidRPr="00BB11AF" w:rsidRDefault="003A3061" w:rsidP="003A3061">
      <w:pPr>
        <w:pStyle w:val="p"/>
      </w:pPr>
      <w:r w:rsidRPr="00BB11AF">
        <w:br w:type="page"/>
        <w:t>[83]</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hanging="20"/>
        <w:jc w:val="center"/>
        <w:rPr>
          <w:b/>
          <w:sz w:val="24"/>
        </w:rPr>
      </w:pPr>
      <w:bookmarkStart w:id="9" w:name="Crise_et_mise_en_crise_texte_06"/>
      <w:r w:rsidRPr="00BB11AF">
        <w:rPr>
          <w:b/>
          <w:i/>
          <w:color w:val="FF0000"/>
          <w:sz w:val="24"/>
        </w:rPr>
        <w:t>Crise</w:t>
      </w:r>
      <w:r w:rsidRPr="00BB11AF">
        <w:rPr>
          <w:b/>
          <w:sz w:val="24"/>
        </w:rPr>
        <w:t xml:space="preserve"> et mise en </w:t>
      </w:r>
      <w:r w:rsidRPr="00BB11AF">
        <w:rPr>
          <w:b/>
          <w:i/>
          <w:color w:val="FF0000"/>
          <w:sz w:val="24"/>
        </w:rPr>
        <w:t>crise</w:t>
      </w:r>
      <w:r w:rsidRPr="00BB11AF">
        <w:rPr>
          <w:b/>
          <w:sz w:val="24"/>
        </w:rPr>
        <w:t>.</w:t>
      </w:r>
    </w:p>
    <w:p w:rsidR="003A3061" w:rsidRPr="00BB11AF" w:rsidRDefault="003A3061" w:rsidP="003A3061">
      <w:pPr>
        <w:spacing w:after="120"/>
        <w:jc w:val="center"/>
        <w:rPr>
          <w:sz w:val="24"/>
        </w:rPr>
      </w:pPr>
      <w:r w:rsidRPr="00BB11AF">
        <w:rPr>
          <w:sz w:val="24"/>
        </w:rPr>
        <w:t>Actes du colloque annuel de l’ACSALF 2012.</w:t>
      </w:r>
    </w:p>
    <w:p w:rsidR="003A3061" w:rsidRPr="00BB11AF" w:rsidRDefault="003A3061" w:rsidP="003A3061">
      <w:pPr>
        <w:pStyle w:val="Titreniveau1"/>
      </w:pPr>
      <w:r w:rsidRPr="00BB11AF">
        <w:t>6</w:t>
      </w:r>
    </w:p>
    <w:p w:rsidR="003A3061" w:rsidRPr="00BB11AF" w:rsidRDefault="003A3061" w:rsidP="003A3061">
      <w:pPr>
        <w:pStyle w:val="Titreniveau2"/>
      </w:pPr>
      <w:r w:rsidRPr="00BB11AF">
        <w:t>“Travail flexible et vie flexible.</w:t>
      </w:r>
      <w:r w:rsidRPr="00BB11AF">
        <w:br/>
        <w:t>L’expérience des jeunes femmes</w:t>
      </w:r>
      <w:r w:rsidRPr="00BB11AF">
        <w:br/>
        <w:t>tokyoïtes en période de</w:t>
      </w:r>
      <w:r w:rsidRPr="00BB11AF">
        <w:br/>
        <w:t>crise économique.”</w:t>
      </w:r>
    </w:p>
    <w:bookmarkEnd w:id="9"/>
    <w:p w:rsidR="003A3061" w:rsidRPr="00BB11AF" w:rsidRDefault="003A3061" w:rsidP="003A3061">
      <w:pPr>
        <w:jc w:val="both"/>
        <w:rPr>
          <w:szCs w:val="36"/>
        </w:rPr>
      </w:pPr>
    </w:p>
    <w:p w:rsidR="003A3061" w:rsidRPr="00BB11AF" w:rsidRDefault="003A3061" w:rsidP="003A3061">
      <w:pPr>
        <w:pStyle w:val="suite"/>
      </w:pPr>
      <w:r w:rsidRPr="00BB11AF">
        <w:t>Par Vincent MIRZA</w:t>
      </w:r>
    </w:p>
    <w:p w:rsidR="003A3061" w:rsidRPr="00BB11AF" w:rsidRDefault="003A3061" w:rsidP="003A3061">
      <w:pPr>
        <w:pStyle w:val="auteurst"/>
      </w:pPr>
      <w:r w:rsidRPr="00BB11AF">
        <w:t>Université d’Ottawa</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right="90" w:firstLine="0"/>
        <w:jc w:val="both"/>
        <w:rPr>
          <w:sz w:val="20"/>
        </w:rPr>
      </w:pPr>
      <w:hyperlink w:anchor="tdm" w:history="1">
        <w:r w:rsidRPr="00BB11AF">
          <w:rPr>
            <w:rStyle w:val="Lienhypertexte"/>
            <w:sz w:val="20"/>
          </w:rPr>
          <w:t>Retour à la table des matières</w:t>
        </w:r>
      </w:hyperlink>
    </w:p>
    <w:p w:rsidR="003A3061" w:rsidRPr="00BB11AF" w:rsidRDefault="00356B29" w:rsidP="003A3061">
      <w:pPr>
        <w:spacing w:before="120" w:after="120"/>
        <w:jc w:val="both"/>
      </w:pPr>
      <w:r w:rsidRPr="00BB11AF">
        <w:rPr>
          <w:noProof/>
          <w:lang w:val="fr-FR" w:eastAsia="fr-FR"/>
        </w:rPr>
        <w:drawing>
          <wp:anchor distT="0" distB="0" distL="63500" distR="182880" simplePos="0" relativeHeight="251657728" behindDoc="1" locked="0" layoutInCell="1" allowOverlap="0">
            <wp:simplePos x="0" y="0"/>
            <wp:positionH relativeFrom="margin">
              <wp:posOffset>51435</wp:posOffset>
            </wp:positionH>
            <wp:positionV relativeFrom="margin">
              <wp:posOffset>4358640</wp:posOffset>
            </wp:positionV>
            <wp:extent cx="1130300" cy="787400"/>
            <wp:effectExtent l="25400" t="25400" r="12700" b="12700"/>
            <wp:wrapTight wrapText="bothSides">
              <wp:wrapPolygon edited="0">
                <wp:start x="-485" y="-697"/>
                <wp:lineTo x="-485" y="21948"/>
                <wp:lineTo x="21843" y="21948"/>
                <wp:lineTo x="21843" y="-697"/>
                <wp:lineTo x="-485" y="-697"/>
              </wp:wrapPolygon>
            </wp:wrapTight>
            <wp:docPr id="22" name="Image 14"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image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0300" cy="7874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3A3061" w:rsidRPr="00BB11AF">
        <w:t>Le Japon se remet à peine d'une des crises les plus importantes de son histoire. Non seulement a-t-il subi un tremblement de terre, un tsun</w:t>
      </w:r>
      <w:r w:rsidR="003A3061" w:rsidRPr="00BB11AF">
        <w:t>a</w:t>
      </w:r>
      <w:r w:rsidR="003A3061" w:rsidRPr="00BB11AF">
        <w:t>mi, mais à cela s'ajoute la catastrophe nucléaire de mars 2011. Tous ont eu des répercussions majeures sur les plans humains, matériels et écologiques. C</w:t>
      </w:r>
      <w:r w:rsidR="003A3061" w:rsidRPr="00BB11AF">
        <w:t>e</w:t>
      </w:r>
      <w:r w:rsidR="003A3061" w:rsidRPr="00BB11AF">
        <w:t>pendant, cette crise ou plutôt devrait-on dire ces crises majeures ont aussi accentué des diff</w:t>
      </w:r>
      <w:r w:rsidR="003A3061" w:rsidRPr="00BB11AF">
        <w:t>i</w:t>
      </w:r>
      <w:r w:rsidR="003A3061" w:rsidRPr="00BB11AF">
        <w:t>cultés économ</w:t>
      </w:r>
      <w:r w:rsidR="003A3061" w:rsidRPr="00BB11AF">
        <w:t>i</w:t>
      </w:r>
      <w:r w:rsidR="003A3061" w:rsidRPr="00BB11AF">
        <w:t>ques qui perdurent au Japon depuis plus de 15 ans</w:t>
      </w:r>
      <w:r w:rsidR="003A3061">
        <w:t> </w:t>
      </w:r>
      <w:r w:rsidR="003A3061">
        <w:rPr>
          <w:rStyle w:val="Appelnotedebasdep"/>
        </w:rPr>
        <w:footnoteReference w:id="42"/>
      </w:r>
      <w:r w:rsidR="003A3061" w:rsidRPr="00BB11AF">
        <w:t>. Ces dernières ont eu des conséquences importantes sur le régime de travail des entreprises et, notamment, sur la flexibilis</w:t>
      </w:r>
      <w:r w:rsidR="003A3061" w:rsidRPr="00BB11AF">
        <w:t>a</w:t>
      </w:r>
      <w:r w:rsidR="003A3061" w:rsidRPr="00BB11AF">
        <w:t>tion de la main-d'œuvre.</w:t>
      </w:r>
    </w:p>
    <w:p w:rsidR="003A3061" w:rsidRPr="00BB11AF" w:rsidRDefault="003A3061" w:rsidP="003A3061">
      <w:pPr>
        <w:spacing w:before="120" w:after="120"/>
        <w:jc w:val="both"/>
      </w:pPr>
      <w:r w:rsidRPr="00BB11AF">
        <w:t>La recherche sur laquelle se développe ce texte vise à expliquer comment, au Japon, les transformations de l'économie et ses représe</w:t>
      </w:r>
      <w:r w:rsidRPr="00BB11AF">
        <w:t>n</w:t>
      </w:r>
      <w:r w:rsidRPr="00BB11AF">
        <w:t>tations ont affecté les expériences individuelles. Plus particuli</w:t>
      </w:r>
      <w:r w:rsidRPr="00BB11AF">
        <w:t>è</w:t>
      </w:r>
      <w:r w:rsidRPr="00BB11AF">
        <w:t>rement, il s'agit de voir comment, dans un contexte de crise éc</w:t>
      </w:r>
      <w:r w:rsidRPr="00BB11AF">
        <w:t>o</w:t>
      </w:r>
      <w:r w:rsidRPr="00BB11AF">
        <w:t>nomique et de flexibilisation croissante de la main-d'œuvre, les jeunes femmes jap</w:t>
      </w:r>
      <w:r w:rsidRPr="00BB11AF">
        <w:t>o</w:t>
      </w:r>
      <w:r w:rsidRPr="00BB11AF">
        <w:t>naises en arrivent à développer un sentiment de participation à la s</w:t>
      </w:r>
      <w:r w:rsidRPr="00BB11AF">
        <w:t>o</w:t>
      </w:r>
      <w:r w:rsidRPr="00BB11AF">
        <w:t>ciété qui ne se définit plus seulement à travers le prisme de la famille, mais aussi par celui du travail. Pour ce fa</w:t>
      </w:r>
      <w:r w:rsidRPr="00BB11AF">
        <w:t>i</w:t>
      </w:r>
      <w:r w:rsidRPr="00BB11AF">
        <w:t>re, je m'appuierai sur les données d'entrevues</w:t>
      </w:r>
      <w:r>
        <w:t> </w:t>
      </w:r>
      <w:r>
        <w:rPr>
          <w:rStyle w:val="Appelnotedebasdep"/>
        </w:rPr>
        <w:footnoteReference w:id="43"/>
      </w:r>
      <w:r w:rsidRPr="00BB11AF">
        <w:t xml:space="preserve"> réalisées à Tokyo entre 2010 et 2012 auprès de 32 jeunes femmes de 25 à 30 ans qui visaient à comprendre les tran</w:t>
      </w:r>
      <w:r w:rsidRPr="00BB11AF">
        <w:t>s</w:t>
      </w:r>
      <w:r w:rsidRPr="00BB11AF">
        <w:t>formations du sens du travail chez les jeunes adultes et les représent</w:t>
      </w:r>
      <w:r w:rsidRPr="00BB11AF">
        <w:t>a</w:t>
      </w:r>
      <w:r w:rsidRPr="00BB11AF">
        <w:t>tions de l'économie en période de crise chez les jeunes femmes au J</w:t>
      </w:r>
      <w:r w:rsidRPr="00BB11AF">
        <w:t>a</w:t>
      </w:r>
      <w:r w:rsidRPr="00BB11AF">
        <w:t>pon. Ces dernières ont toutes un diplôme universitaire de quatre ans et sont toutes employées à temps partiel</w:t>
      </w:r>
      <w:r>
        <w:t> </w:t>
      </w:r>
      <w:r>
        <w:rPr>
          <w:rStyle w:val="Appelnotedebasdep"/>
        </w:rPr>
        <w:footnoteReference w:id="44"/>
      </w:r>
      <w:r w:rsidRPr="00BB11AF">
        <w:t xml:space="preserve"> dans des PME ou de gra</w:t>
      </w:r>
      <w:r w:rsidRPr="00BB11AF">
        <w:t>n</w:t>
      </w:r>
      <w:r w:rsidRPr="00BB11AF">
        <w:t>des entreprises à l'exception de trois d'entre elles qui sont des e</w:t>
      </w:r>
      <w:r w:rsidRPr="00BB11AF">
        <w:t>m</w:t>
      </w:r>
      <w:r w:rsidRPr="00BB11AF">
        <w:t>ployées régulières et qui ont un poste permanent à temps plein. Si pl</w:t>
      </w:r>
      <w:r w:rsidRPr="00BB11AF">
        <w:t>u</w:t>
      </w:r>
      <w:r w:rsidRPr="00BB11AF">
        <w:t>sieurs d'entre elles ont un petit ami, aucune n'est mariée. Enfin, soul</w:t>
      </w:r>
      <w:r w:rsidRPr="00BB11AF">
        <w:t>i</w:t>
      </w:r>
      <w:r w:rsidRPr="00BB11AF">
        <w:t>gnons également le caractère exploratoire de cette étude qui ne saurait être représent</w:t>
      </w:r>
      <w:r w:rsidRPr="00BB11AF">
        <w:t>a</w:t>
      </w:r>
      <w:r w:rsidRPr="00BB11AF">
        <w:t>tive, mais qui nous informe cependant sur un ensemble de prat</w:t>
      </w:r>
      <w:r w:rsidRPr="00BB11AF">
        <w:t>i</w:t>
      </w:r>
      <w:r w:rsidRPr="00BB11AF">
        <w:t>ques et de représentations qui sont de plus en plus importantes dans le contexte tokyoïte. Cette étude nous permettra d'offrir une mei</w:t>
      </w:r>
      <w:r w:rsidRPr="00BB11AF">
        <w:t>l</w:t>
      </w:r>
      <w:r w:rsidRPr="00BB11AF">
        <w:t>leure compréhension de la manière dont ces</w:t>
      </w:r>
      <w:r>
        <w:t xml:space="preserve"> </w:t>
      </w:r>
      <w:r w:rsidRPr="00BB11AF">
        <w:t>[84]</w:t>
      </w:r>
      <w:r>
        <w:t xml:space="preserve"> </w:t>
      </w:r>
      <w:r w:rsidRPr="00BB11AF">
        <w:t>jeunes femmes déploient des stratégies d'appropriation de leur ca</w:t>
      </w:r>
      <w:r w:rsidRPr="00BB11AF">
        <w:t>r</w:t>
      </w:r>
      <w:r w:rsidRPr="00BB11AF">
        <w:t>rière que ce soit comme employées à temps partiel ou encore devant faire face au pl</w:t>
      </w:r>
      <w:r w:rsidRPr="00BB11AF">
        <w:t>a</w:t>
      </w:r>
      <w:r w:rsidRPr="00BB11AF">
        <w:t>fond de verre. Nous verrons également, à travers leurs di</w:t>
      </w:r>
      <w:r w:rsidRPr="00BB11AF">
        <w:t>s</w:t>
      </w:r>
      <w:r w:rsidRPr="00BB11AF">
        <w:t>cours, qu'en insistant sur l'idée de réalisation de soi, elles acceptent le jeu de la flexibilisation de la main-d'œuvre et en viennent à réifier, par le fait même, le discours néolibéral.</w:t>
      </w:r>
    </w:p>
    <w:p w:rsidR="003A3061" w:rsidRPr="00BB11AF" w:rsidRDefault="003A3061" w:rsidP="003A3061">
      <w:pPr>
        <w:spacing w:before="120" w:after="120"/>
        <w:jc w:val="both"/>
      </w:pPr>
      <w:r w:rsidRPr="00BB11AF">
        <w:t>Tout en cherchant à mieux comprendre les effets des difficultés économiques des 20 dernières années, je fais l'hypothèse que les r</w:t>
      </w:r>
      <w:r w:rsidRPr="00BB11AF">
        <w:t>e</w:t>
      </w:r>
      <w:r w:rsidRPr="00BB11AF">
        <w:t>configurations actuelles du capitalisme créent des discontinuités i</w:t>
      </w:r>
      <w:r w:rsidRPr="00BB11AF">
        <w:t>m</w:t>
      </w:r>
      <w:r w:rsidRPr="00BB11AF">
        <w:t>portantes à la fois dans les structures sociales existantes et dans les pratiques sociales et culturelles. En effet, les déréglementations des années 1990, mais surtout les modifications des pratiques dans les e</w:t>
      </w:r>
      <w:r w:rsidRPr="00BB11AF">
        <w:t>n</w:t>
      </w:r>
      <w:r w:rsidRPr="00BB11AF">
        <w:t>treprises au niveau du recrutement, de la permanence et des prom</w:t>
      </w:r>
      <w:r w:rsidRPr="00BB11AF">
        <w:t>o</w:t>
      </w:r>
      <w:r w:rsidRPr="00BB11AF">
        <w:t>tions, ont eu un impact important sur les attentes des jeunes qui e</w:t>
      </w:r>
      <w:r w:rsidRPr="00BB11AF">
        <w:t>n</w:t>
      </w:r>
      <w:r w:rsidRPr="00BB11AF">
        <w:t>trent, ou qui sont, sur le marché du travail. Je suppose également que la crise économique des années 1990 a fragmenté le cadre hégémon</w:t>
      </w:r>
      <w:r w:rsidRPr="00BB11AF">
        <w:t>i</w:t>
      </w:r>
      <w:r w:rsidRPr="00BB11AF">
        <w:t>que mis en place dans l'après-guerre ; un système dominant ayant structuré l'e</w:t>
      </w:r>
      <w:r w:rsidRPr="00BB11AF">
        <w:t>n</w:t>
      </w:r>
      <w:r w:rsidRPr="00BB11AF">
        <w:t>semble des rapports-économiques, sociaux, politiques, culturels. Ici, je conçois l'hégémonie en suivant la définition qu'en donnent C</w:t>
      </w:r>
      <w:r w:rsidRPr="00BB11AF">
        <w:t>o</w:t>
      </w:r>
      <w:r w:rsidRPr="00BB11AF">
        <w:t>maroff et Comaroff, c'est-à-dire comme « un ordre des choses où symboles et pratiques, relations et dissociations, images et épistémologies prennent corps à partir d'un terreau culturel histor</w:t>
      </w:r>
      <w:r w:rsidRPr="00BB11AF">
        <w:t>i</w:t>
      </w:r>
      <w:r w:rsidRPr="00BB11AF">
        <w:t>quement s</w:t>
      </w:r>
      <w:r w:rsidRPr="00BB11AF">
        <w:t>i</w:t>
      </w:r>
      <w:r w:rsidRPr="00BB11AF">
        <w:t>tué et qui est considéré à priori comme étant la forme à la fois nat</w:t>
      </w:r>
      <w:r w:rsidRPr="00BB11AF">
        <w:t>u</w:t>
      </w:r>
      <w:r w:rsidRPr="00BB11AF">
        <w:t>relle et imaginée que prend le monde et tout ce qui l'habite » (1991 :23, traduction l</w:t>
      </w:r>
      <w:r w:rsidRPr="00BB11AF">
        <w:t>i</w:t>
      </w:r>
      <w:r w:rsidRPr="00BB11AF">
        <w:t>bre)</w:t>
      </w:r>
      <w:r>
        <w:t> </w:t>
      </w:r>
      <w:r>
        <w:rPr>
          <w:rStyle w:val="Appelnotedebasdep"/>
        </w:rPr>
        <w:footnoteReference w:id="45"/>
      </w:r>
      <w:r w:rsidRPr="00BB11AF">
        <w:t>.</w:t>
      </w:r>
    </w:p>
    <w:p w:rsidR="003A3061" w:rsidRPr="00BB11AF" w:rsidRDefault="003A3061" w:rsidP="003A3061">
      <w:pPr>
        <w:spacing w:before="120" w:after="120"/>
        <w:jc w:val="both"/>
      </w:pPr>
      <w:r w:rsidRPr="00BB11AF">
        <w:t>Ce cadre, que l'on peut qualifier d'hégémonique, s'est constitué a</w:t>
      </w:r>
      <w:r w:rsidRPr="00BB11AF">
        <w:t>u</w:t>
      </w:r>
      <w:r w:rsidRPr="00BB11AF">
        <w:t>tour de la collaboration entre les grandes entreprises, le milieu de l'éduc</w:t>
      </w:r>
      <w:r w:rsidRPr="00BB11AF">
        <w:t>a</w:t>
      </w:r>
      <w:r w:rsidRPr="00BB11AF">
        <w:t>tion, le politique et la bureaucratie ; il s'agit de ce que l'on peut qual</w:t>
      </w:r>
      <w:r w:rsidRPr="00BB11AF">
        <w:t>i</w:t>
      </w:r>
      <w:r w:rsidRPr="00BB11AF">
        <w:t>fier de « système de 1955 ». Ce dernier a joué un rôle majeur dans la constitution des parcours de vie et des attentes dans l'après-guerre en articulant étroitement le système scolaire au monde du tr</w:t>
      </w:r>
      <w:r w:rsidRPr="00BB11AF">
        <w:t>a</w:t>
      </w:r>
      <w:r w:rsidRPr="00BB11AF">
        <w:t>vail. Il était fondé, du moins en partie, sur l'idée qu'une bonne éduc</w:t>
      </w:r>
      <w:r w:rsidRPr="00BB11AF">
        <w:t>a</w:t>
      </w:r>
      <w:r w:rsidRPr="00BB11AF">
        <w:t>tion menait à un bon emploi et qu'en échange du dévouement à l'e</w:t>
      </w:r>
      <w:r w:rsidRPr="00BB11AF">
        <w:t>n</w:t>
      </w:r>
      <w:r w:rsidRPr="00BB11AF">
        <w:t>treprise, cette dernière assurerait la sécurité d'emploi. Notons que même si ce modèle n'a été bénéfique que pour une minorité d'e</w:t>
      </w:r>
      <w:r w:rsidRPr="00BB11AF">
        <w:t>m</w:t>
      </w:r>
      <w:r w:rsidRPr="00BB11AF">
        <w:t>ployés, ce dernier n'en a pas moins été dominant dans le discours, orientant du même coup les pratiques sociales et culturelles tout en modifiant les structures sociales. Ainsi, ce système a fortement part</w:t>
      </w:r>
      <w:r w:rsidRPr="00BB11AF">
        <w:t>i</w:t>
      </w:r>
      <w:r w:rsidRPr="00BB11AF">
        <w:t>cipé à la constru</w:t>
      </w:r>
      <w:r w:rsidRPr="00BB11AF">
        <w:t>c</w:t>
      </w:r>
      <w:r w:rsidRPr="00BB11AF">
        <w:t>tion « du cadre d'intelligibilité », élaboré avec des objectifs de croissance éc</w:t>
      </w:r>
      <w:r w:rsidRPr="00BB11AF">
        <w:t>o</w:t>
      </w:r>
      <w:r w:rsidRPr="00BB11AF">
        <w:t>nomique, qui a été maintenu, mis en forme, reproduit et réifié à tr</w:t>
      </w:r>
      <w:r w:rsidRPr="00BB11AF">
        <w:t>a</w:t>
      </w:r>
      <w:r w:rsidRPr="00BB11AF">
        <w:t>vers l'articulation institutionnelle famille-éducation-travail. La sta</w:t>
      </w:r>
      <w:r w:rsidRPr="00BB11AF">
        <w:t>n</w:t>
      </w:r>
      <w:r w:rsidRPr="00BB11AF">
        <w:t>dardisation des pratiques à l'intérieur des éléments de ce triptyque, et entre eux, a grandement favorisé la rég</w:t>
      </w:r>
      <w:r w:rsidRPr="00BB11AF">
        <w:t>u</w:t>
      </w:r>
      <w:r w:rsidRPr="00BB11AF">
        <w:t>lation des parcours de vie (Kelly 2002) et l'incorporation de certaines formes de « typific</w:t>
      </w:r>
      <w:r w:rsidRPr="00BB11AF">
        <w:t>a</w:t>
      </w:r>
      <w:r w:rsidRPr="00BB11AF">
        <w:t>tion ».</w:t>
      </w:r>
      <w:r>
        <w:t> </w:t>
      </w:r>
      <w:r>
        <w:rPr>
          <w:rStyle w:val="Appelnotedebasdep"/>
        </w:rPr>
        <w:footnoteReference w:id="46"/>
      </w:r>
      <w:r w:rsidRPr="00BB11AF">
        <w:t xml:space="preserve"> J'insiste sur le fait qu'il ne s'agit pas d'une forme d'homog</w:t>
      </w:r>
      <w:r w:rsidRPr="00BB11AF">
        <w:t>é</w:t>
      </w:r>
      <w:r w:rsidRPr="00BB11AF">
        <w:t>néisation des représentations et des conduites, mais bien plus de l'él</w:t>
      </w:r>
      <w:r w:rsidRPr="00BB11AF">
        <w:t>a</w:t>
      </w:r>
      <w:r w:rsidRPr="00BB11AF">
        <w:t>boration de standards idéaux de vie, d'attentes et de consommation.</w:t>
      </w:r>
    </w:p>
    <w:p w:rsidR="003A3061" w:rsidRPr="00BB11AF" w:rsidRDefault="003A3061" w:rsidP="003A3061">
      <w:pPr>
        <w:spacing w:before="120" w:after="120"/>
        <w:jc w:val="both"/>
      </w:pPr>
      <w:r w:rsidRPr="00BB11AF">
        <w:t>[85]</w:t>
      </w:r>
    </w:p>
    <w:p w:rsidR="003A3061" w:rsidRPr="00BB11AF" w:rsidRDefault="003A3061" w:rsidP="003A3061">
      <w:pPr>
        <w:spacing w:before="120" w:after="120"/>
        <w:jc w:val="both"/>
      </w:pPr>
      <w:r w:rsidRPr="00BB11AF">
        <w:t>Néanmoins, ce cadre qui a trouvé sa légitimité et fut justifié par le succès économique du Japon à parti des années 1960 est devenu bea</w:t>
      </w:r>
      <w:r w:rsidRPr="00BB11AF">
        <w:t>u</w:t>
      </w:r>
      <w:r w:rsidRPr="00BB11AF">
        <w:t>coup plus difficile à défendre en période de crise économique. En e</w:t>
      </w:r>
      <w:r w:rsidRPr="00BB11AF">
        <w:t>f</w:t>
      </w:r>
      <w:r w:rsidRPr="00BB11AF">
        <w:t>fet, la crise des années 1990 a fait ressurgir ce que ce cadre hégém</w:t>
      </w:r>
      <w:r w:rsidRPr="00BB11AF">
        <w:t>o</w:t>
      </w:r>
      <w:r w:rsidRPr="00BB11AF">
        <w:t>nique tendait à dissimuler, c'est-à-dire une diversité importante de pr</w:t>
      </w:r>
      <w:r w:rsidRPr="00BB11AF">
        <w:t>a</w:t>
      </w:r>
      <w:r w:rsidRPr="00BB11AF">
        <w:t>tiques et de représentations qui varient selon la position que les ind</w:t>
      </w:r>
      <w:r w:rsidRPr="00BB11AF">
        <w:t>i</w:t>
      </w:r>
      <w:r w:rsidRPr="00BB11AF">
        <w:t>vidus occupent dans l'organisation sociale. La crise a non seul</w:t>
      </w:r>
      <w:r w:rsidRPr="00BB11AF">
        <w:t>e</w:t>
      </w:r>
      <w:r w:rsidRPr="00BB11AF">
        <w:t>ment fait ressortir les inégalités sociales, mais aussi des différences dans les conditions de travail, les aspirations et les choix de vie qui ont lon</w:t>
      </w:r>
      <w:r w:rsidRPr="00BB11AF">
        <w:t>g</w:t>
      </w:r>
      <w:r w:rsidRPr="00BB11AF">
        <w:t>temps été subsumés sous le terme shûryû (courant principal) et sous l'idéologie d'une grande classe moye</w:t>
      </w:r>
      <w:r w:rsidRPr="00BB11AF">
        <w:t>n</w:t>
      </w:r>
      <w:r w:rsidRPr="00BB11AF">
        <w:t>ne</w:t>
      </w:r>
      <w:r>
        <w:t> </w:t>
      </w:r>
      <w:r>
        <w:rPr>
          <w:rStyle w:val="Appelnotedebasdep"/>
        </w:rPr>
        <w:footnoteReference w:id="47"/>
      </w:r>
      <w:r w:rsidRPr="00BB11AF">
        <w:t>.</w:t>
      </w:r>
    </w:p>
    <w:p w:rsidR="003A3061" w:rsidRPr="00BB11AF" w:rsidRDefault="003A3061" w:rsidP="003A3061">
      <w:pPr>
        <w:spacing w:before="120" w:after="120"/>
        <w:jc w:val="both"/>
      </w:pPr>
      <w:r w:rsidRPr="00BB11AF">
        <w:t>Enfin, les tensions résultant des pratiques émergentes et des repr</w:t>
      </w:r>
      <w:r w:rsidRPr="00BB11AF">
        <w:t>é</w:t>
      </w:r>
      <w:r w:rsidRPr="00BB11AF">
        <w:t>se</w:t>
      </w:r>
      <w:r w:rsidRPr="00BB11AF">
        <w:t>n</w:t>
      </w:r>
      <w:r w:rsidRPr="00BB11AF">
        <w:t>tations dominantes nous conduiront à nous interroger sur le sens du travail et sur ce que j'appellerais la vie flexible.</w:t>
      </w:r>
      <w:r>
        <w:t> </w:t>
      </w:r>
      <w:r>
        <w:rPr>
          <w:rStyle w:val="Appelnotedebasdep"/>
        </w:rPr>
        <w:footnoteReference w:id="48"/>
      </w:r>
      <w:r w:rsidRPr="00BB11AF">
        <w:t xml:space="preserve"> Ici, j'emprunterai l'idée de Henrietta Moore (2011) en soulignant que ces reconfigur</w:t>
      </w:r>
      <w:r w:rsidRPr="00BB11AF">
        <w:t>a</w:t>
      </w:r>
      <w:r w:rsidRPr="00BB11AF">
        <w:t>tions influencent nos « façons d'être », c'est-à-dire les manières part</w:t>
      </w:r>
      <w:r w:rsidRPr="00BB11AF">
        <w:t>i</w:t>
      </w:r>
      <w:r w:rsidRPr="00BB11AF">
        <w:t>culières de penser, de sentir et d'agir dans les rel</w:t>
      </w:r>
      <w:r w:rsidRPr="00BB11AF">
        <w:t>a</w:t>
      </w:r>
      <w:r w:rsidRPr="00BB11AF">
        <w:t>tions avec les choses, avec autrui et avec nous-mêmes. En effet, comme le soutient Moore « les changements politiques et écon</w:t>
      </w:r>
      <w:r w:rsidRPr="00BB11AF">
        <w:t>o</w:t>
      </w:r>
      <w:r w:rsidRPr="00BB11AF">
        <w:t>miques modifient ces manières d'être et de nouvelles façons de voir le monde et de le comprendre amènent des possibilités de changement » (Moore 2011 :10, tradu</w:t>
      </w:r>
      <w:r w:rsidRPr="00BB11AF">
        <w:t>c</w:t>
      </w:r>
      <w:r w:rsidRPr="00BB11AF">
        <w:t>tion libre). En ce sens, la vie flexible serait, dans ce contexte, la n</w:t>
      </w:r>
      <w:r w:rsidRPr="00BB11AF">
        <w:t>é</w:t>
      </w:r>
      <w:r w:rsidRPr="00BB11AF">
        <w:t>cessité de s'adapter aux contrai</w:t>
      </w:r>
      <w:r w:rsidRPr="00BB11AF">
        <w:t>n</w:t>
      </w:r>
      <w:r w:rsidRPr="00BB11AF">
        <w:t>tes du marché de l'emploi et du milieu de travail, mais aussi la manière de faire sens de cette nouvelle co</w:t>
      </w:r>
      <w:r w:rsidRPr="00BB11AF">
        <w:t>n</w:t>
      </w:r>
      <w:r w:rsidRPr="00BB11AF">
        <w:t>joncture.</w:t>
      </w:r>
    </w:p>
    <w:p w:rsidR="003A3061" w:rsidRPr="00BB11AF" w:rsidRDefault="003A3061" w:rsidP="003A3061">
      <w:pPr>
        <w:spacing w:before="120" w:after="120"/>
        <w:jc w:val="both"/>
      </w:pPr>
      <w:r w:rsidRPr="00BB11AF">
        <w:t>Ce sont ces possibilités, ces ambiguïtés et ces reconfigurations que je souhaite examiner pour comprendre comment se traduisent, chez ces jeunes femmes, les expériences individuelles à travers l'articul</w:t>
      </w:r>
      <w:r w:rsidRPr="00BB11AF">
        <w:t>a</w:t>
      </w:r>
      <w:r w:rsidRPr="00BB11AF">
        <w:t>tion d'une nouvelle définition du travail. En mettant l'accent sur ces moments qui traduisent cette expérience, c'est-à-dire la crise et l'a</w:t>
      </w:r>
      <w:r w:rsidRPr="00BB11AF">
        <w:t>p</w:t>
      </w:r>
      <w:r w:rsidRPr="00BB11AF">
        <w:t>propriation d'un travail « qui vaut la peine d'être fait », nous pourrons ainsi mieux comprendre la relation entre les repr</w:t>
      </w:r>
      <w:r w:rsidRPr="00BB11AF">
        <w:t>é</w:t>
      </w:r>
      <w:r w:rsidRPr="00BB11AF">
        <w:t>sentations sociales de l'économie, le sens du travail et de la partic</w:t>
      </w:r>
      <w:r w:rsidRPr="00BB11AF">
        <w:t>i</w:t>
      </w:r>
      <w:r w:rsidRPr="00BB11AF">
        <w:t>pation à la société de ces jeunes femmes tokyoïtes en contexte de difficultés économiques.</w:t>
      </w:r>
    </w:p>
    <w:p w:rsidR="003A3061" w:rsidRPr="00BB11AF" w:rsidRDefault="003A3061" w:rsidP="003A3061">
      <w:pPr>
        <w:spacing w:before="120" w:after="120"/>
        <w:jc w:val="both"/>
      </w:pPr>
    </w:p>
    <w:p w:rsidR="003A3061" w:rsidRPr="00BB11AF" w:rsidRDefault="003A3061" w:rsidP="003A3061">
      <w:pPr>
        <w:pStyle w:val="planche"/>
      </w:pPr>
      <w:r w:rsidRPr="00BB11AF">
        <w:t>La crise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Depuis le milieu des années 1990, les difficultés économiques qu'a rencontrées le Japon ont transformé la configuration du ma</w:t>
      </w:r>
      <w:r w:rsidRPr="00BB11AF">
        <w:t>r</w:t>
      </w:r>
      <w:r w:rsidRPr="00BB11AF">
        <w:t>ché du travail et les pratiques des entreprises. L'idéologie de l'« emploi à vie » soutenue par une croissance économique très fo</w:t>
      </w:r>
      <w:r w:rsidRPr="00BB11AF">
        <w:t>r</w:t>
      </w:r>
      <w:r w:rsidRPr="00BB11AF">
        <w:t>te a désormais fait place à une grande période de remise en que</w:t>
      </w:r>
      <w:r w:rsidRPr="00BB11AF">
        <w:t>s</w:t>
      </w:r>
      <w:r w:rsidRPr="00BB11AF">
        <w:t xml:space="preserve">tion et d'incertitude. En effet, l'idée de </w:t>
      </w:r>
      <w:r w:rsidRPr="00BB11AF">
        <w:rPr>
          <w:i/>
        </w:rPr>
        <w:t>kygyo shakai</w:t>
      </w:r>
      <w:r w:rsidRPr="00BB11AF">
        <w:t>, c'est-à-dire que l'idée d'une « société centrée sur l'entreprise », idéologie pr</w:t>
      </w:r>
      <w:r w:rsidRPr="00BB11AF">
        <w:t>o</w:t>
      </w:r>
      <w:r w:rsidRPr="00BB11AF">
        <w:t>clamée et acclamée durant la période de haute croissance économ</w:t>
      </w:r>
      <w:r w:rsidRPr="00BB11AF">
        <w:t>i</w:t>
      </w:r>
      <w:r w:rsidRPr="00BB11AF">
        <w:t>que, est de plus en plus en plus difficile à soutenir</w:t>
      </w:r>
      <w:r>
        <w:t> </w:t>
      </w:r>
      <w:r>
        <w:rPr>
          <w:rStyle w:val="Appelnotedebasdep"/>
        </w:rPr>
        <w:footnoteReference w:id="49"/>
      </w:r>
      <w:r w:rsidRPr="00BB11AF">
        <w:t>. C'est aussi pendant cette</w:t>
      </w:r>
      <w:r>
        <w:t xml:space="preserve"> </w:t>
      </w:r>
      <w:r w:rsidRPr="00BB11AF">
        <w:t>[86]</w:t>
      </w:r>
      <w:r>
        <w:t xml:space="preserve"> </w:t>
      </w:r>
      <w:r w:rsidRPr="00BB11AF">
        <w:t>période que l'on a constaté une expansion importante du travail à temps partiel et temp</w:t>
      </w:r>
      <w:r w:rsidRPr="00BB11AF">
        <w:t>o</w:t>
      </w:r>
      <w:r w:rsidRPr="00BB11AF">
        <w:t>raire chez les jeunes femmes. Plus particulièrement, les agences d'e</w:t>
      </w:r>
      <w:r w:rsidRPr="00BB11AF">
        <w:t>m</w:t>
      </w:r>
      <w:r w:rsidRPr="00BB11AF">
        <w:t>plois temporaires embauchent 95% de fe</w:t>
      </w:r>
      <w:r w:rsidRPr="00BB11AF">
        <w:t>m</w:t>
      </w:r>
      <w:r w:rsidRPr="00BB11AF">
        <w:t>mes et la main-d'œuvre à temps partiel, elle, a augmenté de 15% en 10 ans.</w:t>
      </w:r>
    </w:p>
    <w:p w:rsidR="003A3061" w:rsidRPr="00BB11AF" w:rsidRDefault="003A3061" w:rsidP="003A3061">
      <w:pPr>
        <w:spacing w:before="120" w:after="120"/>
        <w:jc w:val="both"/>
      </w:pPr>
      <w:r w:rsidRPr="00BB11AF">
        <w:t>Pourtant, à partir des années 1980, plusieurs observateurs avaient noté une augmentation de l'embauche des jeunes femmes dans des e</w:t>
      </w:r>
      <w:r w:rsidRPr="00BB11AF">
        <w:t>m</w:t>
      </w:r>
      <w:r w:rsidRPr="00BB11AF">
        <w:t>plois réguliers auparavant réservés aux hommes. Les entreprises ayant un besoin important d'employés et les jeunes hommes se faisant moins nombreux, la main-d'œuvre régulière et féminine avait donc augme</w:t>
      </w:r>
      <w:r w:rsidRPr="00BB11AF">
        <w:t>n</w:t>
      </w:r>
      <w:r w:rsidRPr="00BB11AF">
        <w:t>té. Cependant, depuis la crise les entreprises ont eu besoin d'une main-d'œuvre bon marché et flexible (Bernier et Mirza 2001). Il en résulte une baisse du nombre des emplois stables alors que la main-d'œuvre flexible, elle, croit. De même, les femmes ont été la première cible du gel des recrut</w:t>
      </w:r>
      <w:r w:rsidRPr="00BB11AF">
        <w:t>e</w:t>
      </w:r>
      <w:r w:rsidRPr="00BB11AF">
        <w:t>ments pour les postes assurant une sécurité de l'emploi durant les années 1990 (Roberts 2005). Il est important de noter que</w:t>
      </w:r>
      <w:r w:rsidRPr="00BB11AF">
        <w:t>l</w:t>
      </w:r>
      <w:r w:rsidRPr="00BB11AF">
        <w:t>ques points. Tout d'abord, avec la baisse des recrutements dans les collèges (High-School) et dans les universités, les entreprises ont a</w:t>
      </w:r>
      <w:r w:rsidRPr="00BB11AF">
        <w:t>f</w:t>
      </w:r>
      <w:r w:rsidRPr="00BB11AF">
        <w:t>faibli considérablement les liens qu'elles avaient avec le monde de l'éducation. Ces liens permettaient aux jeunes d'obtenir un travail rapidement et chaque établissement entretenait des relations privil</w:t>
      </w:r>
      <w:r w:rsidRPr="00BB11AF">
        <w:t>é</w:t>
      </w:r>
      <w:r w:rsidRPr="00BB11AF">
        <w:t>giées avec un certain nombre d'entreprises, en particulier grâce à un système d'orientation professionnelle. C'est par le biais des « unités d'orient</w:t>
      </w:r>
      <w:r w:rsidRPr="00BB11AF">
        <w:t>a</w:t>
      </w:r>
      <w:r w:rsidRPr="00BB11AF">
        <w:t>tion et de conseil » que les compagnies recrutaient souvent à tous les niveaux dans les écoles (Brinton 2011 ; Kosugi 2004). Dans ce syst</w:t>
      </w:r>
      <w:r w:rsidRPr="00BB11AF">
        <w:t>è</w:t>
      </w:r>
      <w:r w:rsidRPr="00BB11AF">
        <w:t>me, les professeurs aident les étudiants à trouver un travail, nota</w:t>
      </w:r>
      <w:r w:rsidRPr="00BB11AF">
        <w:t>m</w:t>
      </w:r>
      <w:r w:rsidRPr="00BB11AF">
        <w:t>ment en utilisant leurs réseaux. Toutefois, dans un contexte de diff</w:t>
      </w:r>
      <w:r w:rsidRPr="00BB11AF">
        <w:t>i</w:t>
      </w:r>
      <w:r w:rsidRPr="00BB11AF">
        <w:t>cultés économiques, il est plus ardu de maintenir la validité d'un tel système et encore plus de dissimuler les importantes variations e</w:t>
      </w:r>
      <w:r w:rsidRPr="00BB11AF">
        <w:t>n</w:t>
      </w:r>
      <w:r w:rsidRPr="00BB11AF">
        <w:t>tre les diverses écoles et les univers</w:t>
      </w:r>
      <w:r w:rsidRPr="00BB11AF">
        <w:t>i</w:t>
      </w:r>
      <w:r w:rsidRPr="00BB11AF">
        <w:t>tés (Brinton 2011). En outre, il faut remarquer que les entreprises ont tendance à s'orienter de plus en plus vers des embauches contractuelles à durée déterminée. Cette te</w:t>
      </w:r>
      <w:r w:rsidRPr="00BB11AF">
        <w:t>n</w:t>
      </w:r>
      <w:r w:rsidRPr="00BB11AF">
        <w:t>dance est clairement mentionnée dans le discours des dirigeants d'e</w:t>
      </w:r>
      <w:r w:rsidRPr="00BB11AF">
        <w:t>n</w:t>
      </w:r>
      <w:r w:rsidRPr="00BB11AF">
        <w:t>treprises qui ont commencé à insister, dans une certaine mesure, sur la réalisation de soi dans le travail et sur la mobilité au travail. Cette i</w:t>
      </w:r>
      <w:r w:rsidRPr="00BB11AF">
        <w:t>n</w:t>
      </w:r>
      <w:r w:rsidRPr="00BB11AF">
        <w:t>sistance est tout à fait nouvelle au Japon. Paradoxalement, le compo</w:t>
      </w:r>
      <w:r w:rsidRPr="00BB11AF">
        <w:t>r</w:t>
      </w:r>
      <w:r w:rsidRPr="00BB11AF">
        <w:t>tement des jeunes adultes qui refusent d'« entrer dans le système » est aussi dénoncé dans l'espace public. Autrement dit, les jeunes sont a</w:t>
      </w:r>
      <w:r w:rsidRPr="00BB11AF">
        <w:t>c</w:t>
      </w:r>
      <w:r w:rsidRPr="00BB11AF">
        <w:t>cusés de réaliser leur propre parcours et de faire des choix indépe</w:t>
      </w:r>
      <w:r w:rsidRPr="00BB11AF">
        <w:t>n</w:t>
      </w:r>
      <w:r w:rsidRPr="00BB11AF">
        <w:t>damment des contraintes institutionnelles en revendiquant une forme de liberté financière et existentielle.</w:t>
      </w:r>
    </w:p>
    <w:p w:rsidR="003A3061" w:rsidRPr="00BB11AF" w:rsidRDefault="003A3061" w:rsidP="003A3061">
      <w:pPr>
        <w:spacing w:before="120" w:after="120"/>
        <w:jc w:val="both"/>
      </w:pPr>
      <w:r w:rsidRPr="00BB11AF">
        <w:t>C'est également dans ce contexte que je me suis entretenu avec des jeunes femmes au sujet de la signification qu'elles accordent à leur travail et sur la relation qu'elles entretiennent avec l'idée d'avoir une carrière. Au-delà des dénonciations morales, l'une des conséquences directes des modifications du régime de travail des entreprises et de la difficulté corollaire de trouver un emploi chez les jeunes se traduit par le sentiment qu'ils ont d'être contraints de modifier leurs pratiques et leurs attentes en</w:t>
      </w:r>
      <w:r>
        <w:t xml:space="preserve"> </w:t>
      </w:r>
      <w:r w:rsidRPr="00BB11AF">
        <w:t>[87]</w:t>
      </w:r>
      <w:r>
        <w:t xml:space="preserve"> </w:t>
      </w:r>
      <w:r w:rsidRPr="00BB11AF">
        <w:t>fonction du monde du travail et de la carrière à laquelle elles asp</w:t>
      </w:r>
      <w:r w:rsidRPr="00BB11AF">
        <w:t>i</w:t>
      </w:r>
      <w:r w:rsidRPr="00BB11AF">
        <w:t>rent. Ainsi, le modèle dominant qui définissait les rôles et les a</w:t>
      </w:r>
      <w:r w:rsidRPr="00BB11AF">
        <w:t>t</w:t>
      </w:r>
      <w:r w:rsidRPr="00BB11AF">
        <w:t>tentes de chacun semble de moins en moins suivi.</w:t>
      </w:r>
    </w:p>
    <w:p w:rsidR="003A3061" w:rsidRPr="00BB11AF" w:rsidRDefault="003A3061" w:rsidP="003A3061">
      <w:pPr>
        <w:spacing w:before="120" w:after="120"/>
        <w:jc w:val="both"/>
      </w:pPr>
      <w:r w:rsidRPr="00BB11AF">
        <w:t>Ce modèle s'appuyait sur une division sexuelle du travail où les hommes consacraient leur temps à la fois au travail et à la vie de l'e</w:t>
      </w:r>
      <w:r w:rsidRPr="00BB11AF">
        <w:t>n</w:t>
      </w:r>
      <w:r w:rsidRPr="00BB11AF">
        <w:t>treprise et où il était attendu des jeunes femmes qu'une fois m</w:t>
      </w:r>
      <w:r w:rsidRPr="00BB11AF">
        <w:t>a</w:t>
      </w:r>
      <w:r w:rsidRPr="00BB11AF">
        <w:t>riées, elles quittent leur emploi afin de se consacrer à la vie familiale. Ces attentes ont été renforcées par un discours moral ence</w:t>
      </w:r>
      <w:r w:rsidRPr="00BB11AF">
        <w:t>n</w:t>
      </w:r>
      <w:r w:rsidRPr="00BB11AF">
        <w:t>sant le rôle de la mère et son importance dans l'éducation des e</w:t>
      </w:r>
      <w:r w:rsidRPr="00BB11AF">
        <w:t>n</w:t>
      </w:r>
      <w:r w:rsidRPr="00BB11AF">
        <w:t>fants. Ainsi, par ce modus operandi les entreprises encouragent (et souvent poussent) les jeunes femmes à quitter leur emploi au moment du mariage ou lor</w:t>
      </w:r>
      <w:r w:rsidRPr="00BB11AF">
        <w:t>s</w:t>
      </w:r>
      <w:r w:rsidRPr="00BB11AF">
        <w:t>qu'elles ont un enfant (Ogasawara 2002 ; Shire 2000). Le mariage s'inscrit donc comme une étape importante dans les processus de déc</w:t>
      </w:r>
      <w:r w:rsidRPr="00BB11AF">
        <w:t>i</w:t>
      </w:r>
      <w:r w:rsidRPr="00BB11AF">
        <w:t>sions ayant trait à l'avenir professio</w:t>
      </w:r>
      <w:r w:rsidRPr="00BB11AF">
        <w:t>n</w:t>
      </w:r>
      <w:r w:rsidRPr="00BB11AF">
        <w:t>nel des jeunes femmes. Il signifie le retrait, du moins pour un ce</w:t>
      </w:r>
      <w:r w:rsidRPr="00BB11AF">
        <w:t>r</w:t>
      </w:r>
      <w:r w:rsidRPr="00BB11AF">
        <w:t>tain temps, de la vie professionnelle et le début de la prise en charge de la vie familiale (Imamura 1996 ; White 2002). De plus, les entreprises découragent le retour des fe</w:t>
      </w:r>
      <w:r w:rsidRPr="00BB11AF">
        <w:t>m</w:t>
      </w:r>
      <w:r w:rsidRPr="00BB11AF">
        <w:t>mes au travail après le congé de maternité.</w:t>
      </w:r>
      <w:r>
        <w:t> </w:t>
      </w:r>
      <w:r>
        <w:rPr>
          <w:rStyle w:val="Appelnotedebasdep"/>
        </w:rPr>
        <w:footnoteReference w:id="50"/>
      </w:r>
      <w:r>
        <w:t xml:space="preserve"> </w:t>
      </w:r>
      <w:r w:rsidRPr="00BB11AF">
        <w:t>Cependant, on s'a</w:t>
      </w:r>
      <w:r w:rsidRPr="00BB11AF">
        <w:t>t</w:t>
      </w:r>
      <w:r w:rsidRPr="00BB11AF">
        <w:t>tend à ce que la majorité des femmes retournent travailler quand les enfants entrent à l'école secondaire. Ce parcours professionnel est i</w:t>
      </w:r>
      <w:r w:rsidRPr="00BB11AF">
        <w:t>l</w:t>
      </w:r>
      <w:r w:rsidRPr="00BB11AF">
        <w:t>lustré par une courbe de participation des femmes au marché du tr</w:t>
      </w:r>
      <w:r w:rsidRPr="00BB11AF">
        <w:t>a</w:t>
      </w:r>
      <w:r w:rsidRPr="00BB11AF">
        <w:t>vail en forme de « M », avec des sommets correspondants aux âges de 28 ans et de 45 ans. Notons également que cette division sexuelle du travail a contribué à la rationalisation des cycles de vie et à la standa</w:t>
      </w:r>
      <w:r w:rsidRPr="00BB11AF">
        <w:t>r</w:t>
      </w:r>
      <w:r w:rsidRPr="00BB11AF">
        <w:t>disation des a</w:t>
      </w:r>
      <w:r w:rsidRPr="00BB11AF">
        <w:t>t</w:t>
      </w:r>
      <w:r w:rsidRPr="00BB11AF">
        <w:t>tentes de la classe moyenne (Kelly 2002 ; White 2002).</w:t>
      </w:r>
    </w:p>
    <w:p w:rsidR="003A3061" w:rsidRPr="00BB11AF" w:rsidRDefault="003A3061" w:rsidP="003A3061">
      <w:pPr>
        <w:spacing w:before="120" w:after="120"/>
        <w:jc w:val="both"/>
      </w:pPr>
    </w:p>
    <w:p w:rsidR="003A3061" w:rsidRPr="00BB11AF" w:rsidRDefault="003A3061" w:rsidP="003A3061">
      <w:pPr>
        <w:pStyle w:val="planche"/>
      </w:pPr>
      <w:r w:rsidRPr="00BB11AF">
        <w:t>Un travail qui vaut la peine d'être fait</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Les difficultés que les jeunes femmes rencontrent sur le marché du travail sont perçues et négociées différemment selon la valeur qu'elles attribuent à leur carrière. Ainsi, la question de la mobilité d'emploi révèle un ensemble de revendications et de choix qui sont faits autour du contenu du travail. Le discours qu'elles construisent s'appuie sur une conception du travail qui s'articule autour de l'idée d'un acco</w:t>
      </w:r>
      <w:r w:rsidRPr="00BB11AF">
        <w:t>m</w:t>
      </w:r>
      <w:r w:rsidRPr="00BB11AF">
        <w:t>plissement personnel, de la participation à la société, de l'acquisition d'une forme d'autonomie, permettant ainsi d'avoir plus de marge de manœuvre par rapport aux attentes et aux contraintes du milieu pr</w:t>
      </w:r>
      <w:r w:rsidRPr="00BB11AF">
        <w:t>o</w:t>
      </w:r>
      <w:r w:rsidRPr="00BB11AF">
        <w:t>fessionnel.</w:t>
      </w:r>
    </w:p>
    <w:p w:rsidR="003A3061" w:rsidRPr="00BB11AF" w:rsidRDefault="003A3061" w:rsidP="003A3061">
      <w:pPr>
        <w:spacing w:before="120" w:after="120"/>
        <w:jc w:val="both"/>
      </w:pPr>
      <w:r w:rsidRPr="00BB11AF">
        <w:t>La multiplication des choix et le fait que les femmes soient plus qualifiées et diplômées qu'auparavant ne doivent pas nous faire o</w:t>
      </w:r>
      <w:r w:rsidRPr="00BB11AF">
        <w:t>u</w:t>
      </w:r>
      <w:r w:rsidRPr="00BB11AF">
        <w:t>blier que les conditions de travail demeurent très difficiles, surtout dans la conjoncture actuelle. Les contraintes liées au régime de travail sont e</w:t>
      </w:r>
      <w:r w:rsidRPr="00BB11AF">
        <w:t>n</w:t>
      </w:r>
      <w:r w:rsidRPr="00BB11AF">
        <w:t>core très fortes. Cependant, la mobilité d'emploi peut s'exercer comme un choix, même si ce dernier se fait dans un cadre relativ</w:t>
      </w:r>
      <w:r w:rsidRPr="00BB11AF">
        <w:t>e</w:t>
      </w:r>
      <w:r w:rsidRPr="00BB11AF">
        <w:t>ment limité par les pratiques des entreprises, il s'agit tout de même d'un choix. Conséquemment, l'aspect parfois temporaire d'un emploi relève aussi d'une démarche active de la part des je</w:t>
      </w:r>
      <w:r w:rsidRPr="00BB11AF">
        <w:t>u</w:t>
      </w:r>
      <w:r w:rsidRPr="00BB11AF">
        <w:t>nes femmes. Cette démarche s'articule en particulier autour de la définition de la qualité</w:t>
      </w:r>
      <w:r>
        <w:t xml:space="preserve"> </w:t>
      </w:r>
      <w:r w:rsidRPr="00BB11AF">
        <w:t>[88]</w:t>
      </w:r>
      <w:r>
        <w:t xml:space="preserve"> </w:t>
      </w:r>
      <w:r w:rsidRPr="00BB11AF">
        <w:t xml:space="preserve">du travail, c'est-à-dire d'un travail qui vaut la peine d'être fait, </w:t>
      </w:r>
      <w:r w:rsidRPr="00A7799E">
        <w:rPr>
          <w:i/>
        </w:rPr>
        <w:t>yar</w:t>
      </w:r>
      <w:r w:rsidRPr="00A7799E">
        <w:rPr>
          <w:i/>
        </w:rPr>
        <w:t>i</w:t>
      </w:r>
      <w:r w:rsidRPr="00A7799E">
        <w:rPr>
          <w:i/>
        </w:rPr>
        <w:t>gai</w:t>
      </w:r>
      <w:r>
        <w:t> </w:t>
      </w:r>
      <w:r>
        <w:rPr>
          <w:rStyle w:val="Appelnotedebasdep"/>
        </w:rPr>
        <w:footnoteReference w:id="51"/>
      </w:r>
      <w:r w:rsidRPr="00BB11AF">
        <w:t> ; pour reprendre une expression communément utilisée au cours des discussions et des entretiens. Dans ce contexte, ce terme traduit une conception de la valeur du travail qui serait plus indiv</w:t>
      </w:r>
      <w:r w:rsidRPr="00BB11AF">
        <w:t>i</w:t>
      </w:r>
      <w:r w:rsidRPr="00BB11AF">
        <w:t>duelle et moins orientée vers l'identification à l'entreprise. Ainsi, ma</w:t>
      </w:r>
      <w:r w:rsidRPr="00BB11AF">
        <w:t>l</w:t>
      </w:r>
      <w:r w:rsidRPr="00BB11AF">
        <w:t>gré les co</w:t>
      </w:r>
      <w:r w:rsidRPr="00BB11AF">
        <w:t>n</w:t>
      </w:r>
      <w:r w:rsidRPr="00BB11AF">
        <w:t>traintes existantes, mais aussi à cause d'elles, beaucoup de jeunes femmes construisent une carrière ou recherchent un métier qui leur permet de s'épanouir et leur apporte de la satisfaction. Il faut par ailleurs noter que si l'identification à l'entreprise est moindre, la volo</w:t>
      </w:r>
      <w:r w:rsidRPr="00BB11AF">
        <w:t>n</w:t>
      </w:r>
      <w:r w:rsidRPr="00BB11AF">
        <w:t>té de participer à la société à travers l'emploi o</w:t>
      </w:r>
      <w:r w:rsidRPr="00BB11AF">
        <w:t>c</w:t>
      </w:r>
      <w:r w:rsidRPr="00BB11AF">
        <w:t>cupé reste importante.</w:t>
      </w:r>
    </w:p>
    <w:p w:rsidR="003A3061" w:rsidRPr="00BB11AF" w:rsidRDefault="003A3061" w:rsidP="003A3061">
      <w:pPr>
        <w:spacing w:before="120" w:after="120"/>
        <w:jc w:val="both"/>
      </w:pPr>
      <w:r w:rsidRPr="00BB11AF">
        <w:t>Comme je l'ai mentionné plus haut, les jeunes femmes font des choix qui sont en partie fondés sur la volonté de rentabiliser « l'investiss</w:t>
      </w:r>
      <w:r w:rsidRPr="00BB11AF">
        <w:t>e</w:t>
      </w:r>
      <w:r w:rsidRPr="00BB11AF">
        <w:t>ment universitaire » - non pas en terme monétaire, mais en terme d'énergie et de temps, comme l'a montré Osawa (2000, 2001), et qui s'appuient également sur l'évitement (pas forcément pa</w:t>
      </w:r>
      <w:r w:rsidRPr="00BB11AF">
        <w:t>s</w:t>
      </w:r>
      <w:r w:rsidRPr="00BB11AF">
        <w:t>sif) et la contestation d'éléments dits « traditionnels ». Plus particuli</w:t>
      </w:r>
      <w:r w:rsidRPr="00BB11AF">
        <w:t>è</w:t>
      </w:r>
      <w:r w:rsidRPr="00BB11AF">
        <w:t>rement, les choix professionnels s'expriment à tr</w:t>
      </w:r>
      <w:r w:rsidRPr="00BB11AF">
        <w:t>a</w:t>
      </w:r>
      <w:r w:rsidRPr="00BB11AF">
        <w:t>vers la volonté d'une réalisation de soi et la mobilité au travail révèle qu'il y a une déno</w:t>
      </w:r>
      <w:r w:rsidRPr="00BB11AF">
        <w:t>n</w:t>
      </w:r>
      <w:r w:rsidRPr="00BB11AF">
        <w:t>ciation des modes de faire, c'est-à-dire la dénonciation d'une forme de domination qui est définie dans les attentes sociales à l'intérieur et à l'extérieur de l'entreprise.</w:t>
      </w:r>
    </w:p>
    <w:p w:rsidR="003A3061" w:rsidRPr="00BB11AF" w:rsidRDefault="003A3061" w:rsidP="003A3061">
      <w:pPr>
        <w:spacing w:before="120" w:after="120"/>
        <w:jc w:val="both"/>
      </w:pPr>
      <w:r w:rsidRPr="00BB11AF">
        <w:t>Il faut aussi remarquer qu'il y a une mise à distance par rapport au modèle dominant de la grande entreprise, essentiellement ma</w:t>
      </w:r>
      <w:r w:rsidRPr="00BB11AF">
        <w:t>s</w:t>
      </w:r>
      <w:r w:rsidRPr="00BB11AF">
        <w:t>culin, qui sous-entend souvent la permanence d'emploi pour les hommes et une situation précaire pour les femmes. D'ailleurs, les entrevues effe</w:t>
      </w:r>
      <w:r w:rsidRPr="00BB11AF">
        <w:t>c</w:t>
      </w:r>
      <w:r w:rsidRPr="00BB11AF">
        <w:t>tuées avec les jeunes femmes révèlent que les gra</w:t>
      </w:r>
      <w:r w:rsidRPr="00BB11AF">
        <w:t>n</w:t>
      </w:r>
      <w:r w:rsidRPr="00BB11AF">
        <w:t>des entreprises ne sont pas perçues comme une cible privilégiée pour réaliser une carri</w:t>
      </w:r>
      <w:r w:rsidRPr="00BB11AF">
        <w:t>è</w:t>
      </w:r>
      <w:r w:rsidRPr="00BB11AF">
        <w:t>re. Au-delà du fait qu'elles sont difficiles d'accès pour les femmes, elles sont aussi vues par ces dernières comme des espaces imperso</w:t>
      </w:r>
      <w:r w:rsidRPr="00BB11AF">
        <w:t>n</w:t>
      </w:r>
      <w:r w:rsidRPr="00BB11AF">
        <w:t>nels au sein desquelles il est très difficile d'obtenir des postes de c</w:t>
      </w:r>
      <w:r w:rsidRPr="00BB11AF">
        <w:t>a</w:t>
      </w:r>
      <w:r w:rsidRPr="00BB11AF">
        <w:t>dres. Les choix professionnels sont donc le résultat d'un ensemble de considérations conjuguant aspirations professionnelles et réalis</w:t>
      </w:r>
      <w:r w:rsidRPr="00BB11AF">
        <w:t>a</w:t>
      </w:r>
      <w:r w:rsidRPr="00BB11AF">
        <w:t>tions personnelles.</w:t>
      </w:r>
    </w:p>
    <w:p w:rsidR="003A3061" w:rsidRPr="00BB11AF" w:rsidRDefault="003A3061" w:rsidP="003A3061">
      <w:pPr>
        <w:spacing w:before="120" w:after="120"/>
        <w:jc w:val="both"/>
      </w:pPr>
    </w:p>
    <w:p w:rsidR="003A3061" w:rsidRPr="00BB11AF" w:rsidRDefault="003A3061" w:rsidP="003A3061">
      <w:pPr>
        <w:pStyle w:val="planche"/>
      </w:pPr>
      <w:r w:rsidRPr="00BB11AF">
        <w:t>La réalisation de soi</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Dans le choix d'un travail considéré intéressant, l'accent est mis sur la qualité des relations personnelles et les possibilités d'expressions personnelles dans le milieu de travail au détriment d'une forme de st</w:t>
      </w:r>
      <w:r w:rsidRPr="00BB11AF">
        <w:t>a</w:t>
      </w:r>
      <w:r w:rsidRPr="00BB11AF">
        <w:t>bilité d'emploi. Cette attitude dénote une transformation des attentes reliées au travail, en particulier en ce qui concerne l'ordre des prior</w:t>
      </w:r>
      <w:r w:rsidRPr="00BB11AF">
        <w:t>i</w:t>
      </w:r>
      <w:r w:rsidRPr="00BB11AF">
        <w:t>tés. Par exemple, les expressions « à la recherche de soi » ou « jiko jits</w:t>
      </w:r>
      <w:r w:rsidRPr="00BB11AF">
        <w:t>u</w:t>
      </w:r>
      <w:r w:rsidRPr="00BB11AF">
        <w:t>gen » (« réalisation de soi », « se réaliser ») sont très à la mode ces dernières années autant chez les hommes que chez les femmes. Ce nouvel ordre de priorités contraste fortement avec la génération pr</w:t>
      </w:r>
      <w:r w:rsidRPr="00BB11AF">
        <w:t>é</w:t>
      </w:r>
      <w:r w:rsidRPr="00BB11AF">
        <w:t>cédente comme le remarque T-San, une jeune femme de 25 ans qui travaille à temps partiel dans une ONG : « Maintenant beaucoup de personnes pensent qu'elles tr</w:t>
      </w:r>
      <w:r w:rsidRPr="00BB11AF">
        <w:t>a</w:t>
      </w:r>
      <w:r w:rsidRPr="00BB11AF">
        <w:t>vaillent pour eux-mêmes</w:t>
      </w:r>
      <w:r>
        <w:t xml:space="preserve"> </w:t>
      </w:r>
      <w:r w:rsidRPr="00BB11AF">
        <w:t>[89] alors que dans le cas de la génération précédente j'ai l'impression que l'individu existait pour son entreprise » (ma tradu</w:t>
      </w:r>
      <w:r w:rsidRPr="00BB11AF">
        <w:t>c</w:t>
      </w:r>
      <w:r w:rsidRPr="00BB11AF">
        <w:t>tion).</w:t>
      </w:r>
    </w:p>
    <w:p w:rsidR="003A3061" w:rsidRPr="00BB11AF" w:rsidRDefault="003A3061" w:rsidP="003A3061">
      <w:pPr>
        <w:spacing w:before="120" w:after="120"/>
        <w:jc w:val="both"/>
      </w:pPr>
      <w:r w:rsidRPr="00BB11AF">
        <w:t>Cependant, l'insistance sur la réalisation de soi ou la volonté de pouvoir s'exprimer au travail est très souvent limitée, par les contrai</w:t>
      </w:r>
      <w:r w:rsidRPr="00BB11AF">
        <w:t>n</w:t>
      </w:r>
      <w:r w:rsidRPr="00BB11AF">
        <w:t>tes existantes. Par exemple, il est difficile pour les jeunes femmes d'obt</w:t>
      </w:r>
      <w:r w:rsidRPr="00BB11AF">
        <w:t>e</w:t>
      </w:r>
      <w:r w:rsidRPr="00BB11AF">
        <w:t>nir des tâches importantes en gestion ou encore leur avis n'est pas pris en compte au sujet de dossiers en cours. Ce manque de reco</w:t>
      </w:r>
      <w:r w:rsidRPr="00BB11AF">
        <w:t>n</w:t>
      </w:r>
      <w:r w:rsidRPr="00BB11AF">
        <w:t>naissance dans l'entreprise et l'attribution de t</w:t>
      </w:r>
      <w:r w:rsidRPr="00BB11AF">
        <w:t>â</w:t>
      </w:r>
      <w:r w:rsidRPr="00BB11AF">
        <w:t>ches peu intéressantes sont aussi à la base de conflits et d'insatisfaction ressentis par les je</w:t>
      </w:r>
      <w:r w:rsidRPr="00BB11AF">
        <w:t>u</w:t>
      </w:r>
      <w:r w:rsidRPr="00BB11AF">
        <w:t>nes femmes. Aussi, même si plusieurs grandes compagnies mettent en place de nouvelles politiques pour que ces dernières aient plus de chances d'avancement, il reste somme toute un long chemin à parco</w:t>
      </w:r>
      <w:r w:rsidRPr="00BB11AF">
        <w:t>u</w:t>
      </w:r>
      <w:r w:rsidRPr="00BB11AF">
        <w:t>rir. De plus, cette division sexuelle des tâches se retrouve souvent dans le discours des hommes sur le travail des femmes et dans le di</w:t>
      </w:r>
      <w:r w:rsidRPr="00BB11AF">
        <w:t>s</w:t>
      </w:r>
      <w:r w:rsidRPr="00BB11AF">
        <w:t>cours des femmes sur la reconnaissance de leur travail au sein de la compagnie.</w:t>
      </w:r>
    </w:p>
    <w:p w:rsidR="003A3061" w:rsidRPr="00BB11AF" w:rsidRDefault="003A3061" w:rsidP="003A3061">
      <w:pPr>
        <w:spacing w:before="120" w:after="120"/>
        <w:jc w:val="both"/>
      </w:pPr>
      <w:r w:rsidRPr="00BB11AF">
        <w:t>Les récits au sujet des difficultés rencontrées dans les grandes e</w:t>
      </w:r>
      <w:r w:rsidRPr="00BB11AF">
        <w:t>n</w:t>
      </w:r>
      <w:r w:rsidRPr="00BB11AF">
        <w:t>treprises sont monnaie courante dans les conversations que j'ai r</w:t>
      </w:r>
      <w:r w:rsidRPr="00BB11AF">
        <w:t>e</w:t>
      </w:r>
      <w:r w:rsidRPr="00BB11AF">
        <w:t>cueillies. Ils traduisent la volonté de pouvoir s'exprimer au sein de son activité professionnelle, mais aussi la volonté d'être reco</w:t>
      </w:r>
      <w:r w:rsidRPr="00BB11AF">
        <w:t>n</w:t>
      </w:r>
      <w:r w:rsidRPr="00BB11AF">
        <w:t>nues comme des personnes qualifiées et compétentes comme le souligne S-San</w:t>
      </w:r>
      <w:r>
        <w:t> </w:t>
      </w:r>
      <w:r>
        <w:rPr>
          <w:rStyle w:val="Appelnotedebasdep"/>
        </w:rPr>
        <w:footnoteReference w:id="52"/>
      </w:r>
      <w:r w:rsidRPr="00BB11AF">
        <w:t>, une jeune femme de 27 ans, employée d'une grande entreprise :</w:t>
      </w:r>
    </w:p>
    <w:p w:rsidR="003A3061" w:rsidRDefault="003A3061" w:rsidP="003A3061">
      <w:pPr>
        <w:pStyle w:val="Grillecouleur-Accent1"/>
      </w:pPr>
    </w:p>
    <w:p w:rsidR="003A3061" w:rsidRDefault="003A3061" w:rsidP="003A3061">
      <w:pPr>
        <w:pStyle w:val="Grillecouleur-Accent1"/>
      </w:pPr>
      <w:r w:rsidRPr="00BB11AF">
        <w:t>C'est très difficile de se faire respecter dans l'entreprise en tant que femme. Même si, dans la compagnie où je travaille, les choses vont bien, parfois c'est avec des clients que nous avons des problèmes. Par exemple, je venais d'être no</w:t>
      </w:r>
      <w:r w:rsidRPr="00BB11AF">
        <w:t>m</w:t>
      </w:r>
      <w:r w:rsidRPr="00BB11AF">
        <w:t>mée à un poste avec des responsabilités. Suite à ma nomination, j'ai décidé que nous ne ferions plus affaire avec une firme de consultants que mon prédéce</w:t>
      </w:r>
      <w:r w:rsidRPr="00BB11AF">
        <w:t>s</w:t>
      </w:r>
      <w:r w:rsidRPr="00BB11AF">
        <w:t>seur avait employée. Un jour, le consultant appelle et il voulait des explications que je lui ai données. Mais il ne m'a pas crue, il a demandé à parler au responsable. Je lui ai dit que le respo</w:t>
      </w:r>
      <w:r w:rsidRPr="00BB11AF">
        <w:t>n</w:t>
      </w:r>
      <w:r w:rsidRPr="00BB11AF">
        <w:t>sable c'était moi. Le lendemain, il a téléph</w:t>
      </w:r>
      <w:r w:rsidRPr="00BB11AF">
        <w:t>o</w:t>
      </w:r>
      <w:r w:rsidRPr="00BB11AF">
        <w:t>né encore, mais à un de mes collègues. Il lui a dit qu'il ne voulait pas discuter avec une fe</w:t>
      </w:r>
      <w:r w:rsidRPr="00BB11AF">
        <w:t>m</w:t>
      </w:r>
      <w:r w:rsidRPr="00BB11AF">
        <w:t>me. Mon collègue m'a appuyée et lui a dit qu'il n'y avait rien à faire que c'était moi qui prenais les décisions. J'ai trouvé ce comportement extrêmement insu</w:t>
      </w:r>
      <w:r w:rsidRPr="00BB11AF">
        <w:t>l</w:t>
      </w:r>
      <w:r w:rsidRPr="00BB11AF">
        <w:t>tant (ma traduction).</w:t>
      </w:r>
    </w:p>
    <w:p w:rsidR="003A3061" w:rsidRPr="00BB11AF" w:rsidRDefault="003A3061" w:rsidP="003A3061">
      <w:pPr>
        <w:pStyle w:val="Grillecouleur-Accent1"/>
      </w:pPr>
    </w:p>
    <w:p w:rsidR="003A3061" w:rsidRPr="00BB11AF" w:rsidRDefault="003A3061" w:rsidP="003A3061">
      <w:pPr>
        <w:spacing w:before="120" w:after="120"/>
        <w:jc w:val="both"/>
      </w:pPr>
      <w:r w:rsidRPr="00BB11AF">
        <w:t>Ce témoignage nous montre que, même pour des femmes qui ont des postes de gestion, la vie quotidienne au travail est difficile. Cette difficulté s'inscrit dans les rapports qu'elles ont avec les att</w:t>
      </w:r>
      <w:r w:rsidRPr="00BB11AF">
        <w:t>i</w:t>
      </w:r>
      <w:r w:rsidRPr="00BB11AF">
        <w:t>tudes et les attentes des hommes, comme l'a montré par exemple Claude-Ève D</w:t>
      </w:r>
      <w:r w:rsidRPr="00BB11AF">
        <w:t>u</w:t>
      </w:r>
      <w:r w:rsidRPr="00BB11AF">
        <w:t>buc (2009) dans le cas de l'utilisation de la langue en milieu de travail.</w:t>
      </w:r>
    </w:p>
    <w:p w:rsidR="003A3061" w:rsidRPr="00BB11AF" w:rsidRDefault="003A3061" w:rsidP="003A3061">
      <w:pPr>
        <w:spacing w:before="120" w:after="120"/>
        <w:jc w:val="both"/>
      </w:pPr>
      <w:r w:rsidRPr="00BB11AF">
        <w:t>[90]</w:t>
      </w:r>
    </w:p>
    <w:p w:rsidR="003A3061" w:rsidRPr="00BB11AF" w:rsidRDefault="003A3061" w:rsidP="003A3061">
      <w:pPr>
        <w:spacing w:before="120" w:after="120"/>
        <w:jc w:val="both"/>
      </w:pPr>
    </w:p>
    <w:p w:rsidR="003A3061" w:rsidRPr="00BB11AF" w:rsidRDefault="003A3061" w:rsidP="003A3061">
      <w:pPr>
        <w:pStyle w:val="planche"/>
      </w:pPr>
      <w:r w:rsidRPr="00BB11AF">
        <w:t>Entre autonomie</w:t>
      </w:r>
      <w:r>
        <w:br/>
      </w:r>
      <w:r w:rsidRPr="00BB11AF">
        <w:t>et participation à la société</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La volonté de reconnaissance s'accompagne souvent d'un discours portant sur le salaire ; lequel est vu, dans la plupart des r</w:t>
      </w:r>
      <w:r w:rsidRPr="00BB11AF">
        <w:t>é</w:t>
      </w:r>
      <w:r w:rsidRPr="00BB11AF">
        <w:t>ponses de mes interlocutrices, non pas comme une source de prestige, mais pl</w:t>
      </w:r>
      <w:r w:rsidRPr="00BB11AF">
        <w:t>u</w:t>
      </w:r>
      <w:r w:rsidRPr="00BB11AF">
        <w:t>tôt comme un outil d'autonomie. Remarquons que l'idée d'autonomie financière des femmes est relativement nouvelle au Japon. Cette idée a souvent été obscurcie par le fait que, d'une manière générale, ce sont les femmes qui gèrent les finances familiales et qui même parfois a</w:t>
      </w:r>
      <w:r w:rsidRPr="00BB11AF">
        <w:t>l</w:t>
      </w:r>
      <w:r w:rsidRPr="00BB11AF">
        <w:t>louent de l'argent de poche à leur mari. Il est pourtant clair qu'il s'agit d'un pouvoir financier très limité qui peut tout simplement disparaître en cas de divorce ou encore qui traduit l'incorporation des valeurs de la rationalisation de la vie quotidienne, notamment en ce qui concerne l'épargne. De même, il est possible que l'autonomie financière soit un critère dans la déf</w:t>
      </w:r>
      <w:r w:rsidRPr="00BB11AF">
        <w:t>i</w:t>
      </w:r>
      <w:r w:rsidRPr="00BB11AF">
        <w:t>nition du travail parce qu'il s'agit, en fait, de ne plus être une épo</w:t>
      </w:r>
      <w:r w:rsidRPr="00BB11AF">
        <w:t>u</w:t>
      </w:r>
      <w:r w:rsidRPr="00BB11AF">
        <w:t>se gestionnaire, mais d'être une personne autonome qui dispose d'un capital financier personnel.</w:t>
      </w:r>
    </w:p>
    <w:p w:rsidR="003A3061" w:rsidRPr="00BB11AF" w:rsidRDefault="003A3061" w:rsidP="003A3061">
      <w:pPr>
        <w:spacing w:before="120" w:after="120"/>
        <w:jc w:val="both"/>
      </w:pPr>
      <w:r w:rsidRPr="00BB11AF">
        <w:t>Ainsi, plusieurs points importants se dessinent et orientent le di</w:t>
      </w:r>
      <w:r w:rsidRPr="00BB11AF">
        <w:t>s</w:t>
      </w:r>
      <w:r w:rsidRPr="00BB11AF">
        <w:t>cours et les pratiques au sujet des jeunes femmes, à savoir : leur aut</w:t>
      </w:r>
      <w:r w:rsidRPr="00BB11AF">
        <w:t>o</w:t>
      </w:r>
      <w:r w:rsidRPr="00BB11AF">
        <w:t>nomie financière, l'utilisation de leurs compétences et la reconnai</w:t>
      </w:r>
      <w:r w:rsidRPr="00BB11AF">
        <w:t>s</w:t>
      </w:r>
      <w:r w:rsidRPr="00BB11AF">
        <w:t>sance de ces dernières. Ces éléments apparaissent souvent lorsqu'il s'agit de définir une vie réussie et la signification que l'on donne au travail. En effet, ces derniers ressortent dans plusieurs entrevues de jeunes fe</w:t>
      </w:r>
      <w:r w:rsidRPr="00BB11AF">
        <w:t>m</w:t>
      </w:r>
      <w:r w:rsidRPr="00BB11AF">
        <w:t>mes comme en témoigne cet extrait d'une discussion avec C-San 28 ans, employée à temps partiel dans une ONG :</w:t>
      </w:r>
    </w:p>
    <w:p w:rsidR="003A3061" w:rsidRDefault="003A3061" w:rsidP="003A3061">
      <w:pPr>
        <w:pStyle w:val="Grillecouleur-Accent1"/>
      </w:pPr>
    </w:p>
    <w:p w:rsidR="003A3061" w:rsidRDefault="003A3061" w:rsidP="003A3061">
      <w:pPr>
        <w:pStyle w:val="Grillecouleur-Accent1"/>
      </w:pPr>
      <w:r w:rsidRPr="00BB11AF">
        <w:t>Pour moi [une vie réussie] c'est avoir un travail que l'on aime et de pouvoir vivre de ce travail. Pouvoir trouver du prestige dans son tr</w:t>
      </w:r>
      <w:r w:rsidRPr="00BB11AF">
        <w:t>a</w:t>
      </w:r>
      <w:r w:rsidRPr="00BB11AF">
        <w:t>vail et l'aimer au point de vouloir le faire toute sa vie sont plus impo</w:t>
      </w:r>
      <w:r w:rsidRPr="00BB11AF">
        <w:t>r</w:t>
      </w:r>
      <w:r w:rsidRPr="00BB11AF">
        <w:t>tants qu'un salaire élevé. Ce n'est que lorsqu'on trouve un tel travail que l'on peut pa</w:t>
      </w:r>
      <w:r w:rsidRPr="00BB11AF">
        <w:t>r</w:t>
      </w:r>
      <w:r w:rsidRPr="00BB11AF">
        <w:t>ler de réussite. Le travail, c'est la vie. On travaille bien sûr pour gagner de l'argent, mais même si je devenais millionna</w:t>
      </w:r>
      <w:r w:rsidRPr="00BB11AF">
        <w:t>i</w:t>
      </w:r>
      <w:r w:rsidRPr="00BB11AF">
        <w:t>re, je voudrais continuer mon travail, parce que c'est le travail qui donne une couleur à ma vie. Grâce au travail, tout ce que je fais est empli de sentiments, chaque journée est dr</w:t>
      </w:r>
      <w:r w:rsidRPr="00BB11AF">
        <w:t>a</w:t>
      </w:r>
      <w:r w:rsidRPr="00BB11AF">
        <w:t>matique (ma traduction).</w:t>
      </w:r>
    </w:p>
    <w:p w:rsidR="003A3061" w:rsidRPr="00BB11AF" w:rsidRDefault="003A3061" w:rsidP="003A3061">
      <w:pPr>
        <w:pStyle w:val="Grillecouleur-Accent1"/>
      </w:pPr>
    </w:p>
    <w:p w:rsidR="003A3061" w:rsidRPr="00BB11AF" w:rsidRDefault="003A3061" w:rsidP="003A3061">
      <w:pPr>
        <w:spacing w:before="120" w:after="120"/>
        <w:jc w:val="both"/>
      </w:pPr>
      <w:r w:rsidRPr="00BB11AF">
        <w:t>Insistons sur le fait qu'il s'agit la plupart du temps d'autonomie f</w:t>
      </w:r>
      <w:r w:rsidRPr="00BB11AF">
        <w:t>i</w:t>
      </w:r>
      <w:r w:rsidRPr="00BB11AF">
        <w:t>nancière et non du fait de travailler que pour des raisons écon</w:t>
      </w:r>
      <w:r w:rsidRPr="00BB11AF">
        <w:t>o</w:t>
      </w:r>
      <w:r w:rsidRPr="00BB11AF">
        <w:t>miques. En effet, souvent l'aspect économique du travail est nuancé par des remarques portant sur le respect de la vocation professionnelle et la qu</w:t>
      </w:r>
      <w:r w:rsidRPr="00BB11AF">
        <w:t>a</w:t>
      </w:r>
      <w:r w:rsidRPr="00BB11AF">
        <w:t>lité des relations au travail.</w:t>
      </w:r>
    </w:p>
    <w:p w:rsidR="003A3061" w:rsidRPr="00BB11AF" w:rsidRDefault="003A3061" w:rsidP="003A3061">
      <w:pPr>
        <w:spacing w:before="120" w:after="120"/>
        <w:jc w:val="both"/>
      </w:pPr>
      <w:r w:rsidRPr="00BB11AF">
        <w:t>[91]</w:t>
      </w:r>
    </w:p>
    <w:p w:rsidR="003A3061" w:rsidRPr="00BB11AF" w:rsidRDefault="003A3061" w:rsidP="003A3061">
      <w:pPr>
        <w:spacing w:before="120" w:after="120"/>
        <w:jc w:val="both"/>
      </w:pPr>
      <w:r w:rsidRPr="00BB11AF">
        <w:t>De même, certains témoignages nous font remarquer qu'il n'existe aucune baisse de l'éthique du travail, seulement un cha</w:t>
      </w:r>
      <w:r w:rsidRPr="00BB11AF">
        <w:t>n</w:t>
      </w:r>
      <w:r w:rsidRPr="00BB11AF">
        <w:t>gement dans la conception de cette dernière. Voici ce que V-San répond lorsque je lui demande quel serait son travail idéal :</w:t>
      </w:r>
    </w:p>
    <w:p w:rsidR="003A3061" w:rsidRDefault="003A3061" w:rsidP="003A3061">
      <w:pPr>
        <w:pStyle w:val="Grillecouleur-Accent1"/>
      </w:pPr>
    </w:p>
    <w:p w:rsidR="003A3061" w:rsidRDefault="003A3061" w:rsidP="003A3061">
      <w:pPr>
        <w:pStyle w:val="Grillecouleur-Accent1"/>
      </w:pPr>
      <w:r w:rsidRPr="00BB11AF">
        <w:t>L'idéal, c'est que mon travail corresponde à ma vocation, que je puisse m'améliorer en ne perdant jamais la volonté de progresser. Si je trouvais un emploi correspondant à ma vocation, et même si aux yeux des autres cela semblait pénible et trop prenant, je ne pense pas que je trouverais ce travail difficile. En une journée, nous travaillons plus de la moitié du temps. Ce serait douloureux de ne le faire que pour g</w:t>
      </w:r>
      <w:r w:rsidRPr="00BB11AF">
        <w:t>a</w:t>
      </w:r>
      <w:r w:rsidRPr="00BB11AF">
        <w:t>gner de l'argent. Donc, travailler c'est un moyen de satisfaire ses int</w:t>
      </w:r>
      <w:r w:rsidRPr="00BB11AF">
        <w:t>é</w:t>
      </w:r>
      <w:r w:rsidRPr="00BB11AF">
        <w:t>rêts jusqu'à un certain point, d'obtenir un sentiment d'accomplissement et de prendre plaisir à la vie. Toutefois, la réalité est difficile et je n’ai pas en ce moment de sent</w:t>
      </w:r>
      <w:r w:rsidRPr="00BB11AF">
        <w:t>i</w:t>
      </w:r>
      <w:r w:rsidRPr="00BB11AF">
        <w:t>ment de satisfaction envers mon travail. Le travail c'est aussi une respo</w:t>
      </w:r>
      <w:r w:rsidRPr="00BB11AF">
        <w:t>n</w:t>
      </w:r>
      <w:r w:rsidRPr="00BB11AF">
        <w:t>sabilité envers la société (ma traduction).</w:t>
      </w:r>
    </w:p>
    <w:p w:rsidR="003A3061" w:rsidRPr="00BB11AF" w:rsidRDefault="003A3061" w:rsidP="003A3061">
      <w:pPr>
        <w:pStyle w:val="Grillecouleur-Accent1"/>
      </w:pPr>
    </w:p>
    <w:p w:rsidR="003A3061" w:rsidRPr="00BB11AF" w:rsidRDefault="003A3061" w:rsidP="003A3061">
      <w:pPr>
        <w:spacing w:before="120" w:after="120"/>
        <w:jc w:val="both"/>
      </w:pPr>
      <w:r w:rsidRPr="00BB11AF">
        <w:t>Plusieurs jeunes femmes interviewées soulignent l'importance de gagner sa vie et insistent sur l'idée que la contribution à la société pa</w:t>
      </w:r>
      <w:r w:rsidRPr="00BB11AF">
        <w:t>s</w:t>
      </w:r>
      <w:r w:rsidRPr="00BB11AF">
        <w:t>se par le travail. Cette conception n'est pas nouvelle au J</w:t>
      </w:r>
      <w:r w:rsidRPr="00BB11AF">
        <w:t>a</w:t>
      </w:r>
      <w:r w:rsidRPr="00BB11AF">
        <w:t>pon, mais ce qui l'est c'est le fait que ces jeunes femmes s'appr</w:t>
      </w:r>
      <w:r w:rsidRPr="00BB11AF">
        <w:t>o</w:t>
      </w:r>
      <w:r w:rsidRPr="00BB11AF">
        <w:t>prient ce rôle du point de vue d'un travail dans une entreprise. De même, l'acquisition d'une autonomie financière et la volonté d'avoir un travail satisfaisant contribuent de façon importante à cette nouvelle définition. Néa</w:t>
      </w:r>
      <w:r w:rsidRPr="00BB11AF">
        <w:t>n</w:t>
      </w:r>
      <w:r w:rsidRPr="00BB11AF">
        <w:t>moins, cette contribution à la société qui passe désormais par la co</w:t>
      </w:r>
      <w:r w:rsidRPr="00BB11AF">
        <w:t>n</w:t>
      </w:r>
      <w:r w:rsidRPr="00BB11AF">
        <w:t>tribution au travail ne les empêche aucunement de continuer à contr</w:t>
      </w:r>
      <w:r w:rsidRPr="00BB11AF">
        <w:t>i</w:t>
      </w:r>
      <w:r w:rsidRPr="00BB11AF">
        <w:t>buer à différentes organisations ou à s'impliquer dans différents organismes communautaires, te</w:t>
      </w:r>
      <w:r w:rsidRPr="00BB11AF">
        <w:t>n</w:t>
      </w:r>
      <w:r w:rsidRPr="00BB11AF">
        <w:t>dances qui se sont confirmées dans les années 1990.</w:t>
      </w:r>
    </w:p>
    <w:p w:rsidR="003A3061" w:rsidRPr="00BB11AF" w:rsidRDefault="003A3061" w:rsidP="003A3061">
      <w:pPr>
        <w:spacing w:before="120" w:after="120"/>
        <w:jc w:val="both"/>
      </w:pPr>
      <w:r w:rsidRPr="00BB11AF">
        <w:t>Si j'ai déjà souligné le rôle du modus operandi des entreprises dans la mobilité et le travail des femmes, parmi les autres facteurs qui i</w:t>
      </w:r>
      <w:r w:rsidRPr="00BB11AF">
        <w:t>n</w:t>
      </w:r>
      <w:r w:rsidRPr="00BB11AF">
        <w:t>fluencent la conception du travail chez les jeunes femmes, la question de la mobilité est aussi à considérer. Cependant, cette dernière doit être comprise du point de vue des jeunes femmes e</w:t>
      </w:r>
      <w:r w:rsidRPr="00BB11AF">
        <w:t>l</w:t>
      </w:r>
      <w:r w:rsidRPr="00BB11AF">
        <w:t>les-mêmes. En effet, la mobilité n'est pas toujours subie, elle relève également de l'élaboration de stratégies professionnelles et de contestations par ra</w:t>
      </w:r>
      <w:r w:rsidRPr="00BB11AF">
        <w:t>p</w:t>
      </w:r>
      <w:r w:rsidRPr="00BB11AF">
        <w:t>port à la façon de faire de certaines entrepr</w:t>
      </w:r>
      <w:r w:rsidRPr="00BB11AF">
        <w:t>i</w:t>
      </w:r>
      <w:r w:rsidRPr="00BB11AF">
        <w:t>ses.</w:t>
      </w:r>
    </w:p>
    <w:p w:rsidR="003A3061" w:rsidRPr="00BB11AF" w:rsidRDefault="003A3061" w:rsidP="003A3061">
      <w:pPr>
        <w:spacing w:before="120" w:after="120"/>
        <w:jc w:val="both"/>
      </w:pPr>
      <w:r w:rsidRPr="00BB11AF">
        <w:t>Très souvent, lors de discussions sur les raisons sous-jacentes à la r</w:t>
      </w:r>
      <w:r w:rsidRPr="00BB11AF">
        <w:t>e</w:t>
      </w:r>
      <w:r w:rsidRPr="00BB11AF">
        <w:t>cherche d'un nouvel emploi, c'est la « culture d'entreprise » qui a été invoquée. D-San 30 ans, employée à temps partiel dans une comp</w:t>
      </w:r>
      <w:r w:rsidRPr="00BB11AF">
        <w:t>a</w:t>
      </w:r>
      <w:r w:rsidRPr="00BB11AF">
        <w:t>gnie d'assurance, nous explique pourquoi elle a quitté son emploi pr</w:t>
      </w:r>
      <w:r w:rsidRPr="00BB11AF">
        <w:t>é</w:t>
      </w:r>
      <w:r w:rsidRPr="00BB11AF">
        <w:t>cédent :</w:t>
      </w:r>
    </w:p>
    <w:p w:rsidR="003A3061" w:rsidRDefault="003A3061" w:rsidP="003A3061">
      <w:pPr>
        <w:pStyle w:val="Grillecouleur-Accent1"/>
      </w:pPr>
    </w:p>
    <w:p w:rsidR="003A3061" w:rsidRDefault="003A3061" w:rsidP="003A3061">
      <w:pPr>
        <w:pStyle w:val="Grillecouleur-Accent1"/>
      </w:pPr>
      <w:r w:rsidRPr="00BB11AF">
        <w:t>J'ai voulu quitter mon ancienne compagnie, parce que la culture d'e</w:t>
      </w:r>
      <w:r w:rsidRPr="00BB11AF">
        <w:t>n</w:t>
      </w:r>
      <w:r w:rsidRPr="00BB11AF">
        <w:t>treprise était antique, que cela soit bon ou mauvais. Le mépris des femmes y était considéré comme normal. Le travail en soi était pla</w:t>
      </w:r>
      <w:r w:rsidRPr="00BB11AF">
        <w:t>i</w:t>
      </w:r>
      <w:r w:rsidRPr="00BB11AF">
        <w:t>sant, mais il n'en valait pas la peine parce que, tout compte fait, ma</w:t>
      </w:r>
      <w:r w:rsidRPr="00BB11AF">
        <w:t>l</w:t>
      </w:r>
      <w:r w:rsidRPr="00BB11AF">
        <w:t>gré mes capacités ce sont toujours les hommes qui obtenaient les</w:t>
      </w:r>
      <w:r>
        <w:t xml:space="preserve"> </w:t>
      </w:r>
      <w:r w:rsidRPr="00BB11AF">
        <w:t>[92]</w:t>
      </w:r>
      <w:r>
        <w:t xml:space="preserve"> </w:t>
      </w:r>
      <w:r w:rsidRPr="00BB11AF">
        <w:t>choses intéressantes. Le niveau de complexité de mon travail était bas [...] et j'étais surestimée juste parce que je faisais ce qui m'app</w:t>
      </w:r>
      <w:r w:rsidRPr="00BB11AF">
        <w:t>a</w:t>
      </w:r>
      <w:r w:rsidRPr="00BB11AF">
        <w:t>raissait normal. Il n'y avait pas d'employés ou de dirigeants v</w:t>
      </w:r>
      <w:r w:rsidRPr="00BB11AF">
        <w:t>a</w:t>
      </w:r>
      <w:r w:rsidRPr="00BB11AF">
        <w:t>lant la peine d'être respectés. L'inefficacité du travail entraînait beaucoup d'heures suppl</w:t>
      </w:r>
      <w:r w:rsidRPr="00BB11AF">
        <w:t>é</w:t>
      </w:r>
      <w:r w:rsidRPr="00BB11AF">
        <w:t>mentaires ; dans les pires cas, je travaillais jusqu'à 23 h. Il n'y avait aucun signe annonçant l'améli</w:t>
      </w:r>
      <w:r w:rsidRPr="00BB11AF">
        <w:t>o</w:t>
      </w:r>
      <w:r w:rsidRPr="00BB11AF">
        <w:t>ration de la situation et je me suis dit que je n'avais pas d'avenir dans cette entreprise » (ma tr</w:t>
      </w:r>
      <w:r w:rsidRPr="00BB11AF">
        <w:t>a</w:t>
      </w:r>
      <w:r w:rsidRPr="00BB11AF">
        <w:t>duction).</w:t>
      </w:r>
    </w:p>
    <w:p w:rsidR="003A3061" w:rsidRPr="00BB11AF" w:rsidRDefault="003A3061" w:rsidP="003A3061">
      <w:pPr>
        <w:pStyle w:val="Grillecouleur-Accent1"/>
      </w:pPr>
    </w:p>
    <w:p w:rsidR="003A3061" w:rsidRPr="00BB11AF" w:rsidRDefault="003A3061" w:rsidP="003A3061">
      <w:pPr>
        <w:spacing w:before="120" w:after="120"/>
        <w:jc w:val="both"/>
      </w:pPr>
      <w:r w:rsidRPr="00BB11AF">
        <w:t>D-San décrit ici ce que la majorité des femmes interviewées re</w:t>
      </w:r>
      <w:r w:rsidRPr="00BB11AF">
        <w:t>s</w:t>
      </w:r>
      <w:r w:rsidRPr="00BB11AF">
        <w:t>sentent dans l'environnement de travail. La nouveauté est la dénonci</w:t>
      </w:r>
      <w:r w:rsidRPr="00BB11AF">
        <w:t>a</w:t>
      </w:r>
      <w:r w:rsidRPr="00BB11AF">
        <w:t>tion ouverte de ces conditions de travail et le fait que les jeunes fe</w:t>
      </w:r>
      <w:r w:rsidRPr="00BB11AF">
        <w:t>m</w:t>
      </w:r>
      <w:r w:rsidRPr="00BB11AF">
        <w:t>mes prennent des dispositions pour changer d'emploi. Ces mesures ne sont pas prises en fonction de la vision selon l</w:t>
      </w:r>
      <w:r w:rsidRPr="00BB11AF">
        <w:t>a</w:t>
      </w:r>
      <w:r w:rsidRPr="00BB11AF">
        <w:t>quelle elles devront de toute façon quitter l'entreprise ou encore se marier, mais bien à pa</w:t>
      </w:r>
      <w:r w:rsidRPr="00BB11AF">
        <w:t>r</w:t>
      </w:r>
      <w:r w:rsidRPr="00BB11AF">
        <w:t>tir de leurs valeurs personnelles et des inju</w:t>
      </w:r>
      <w:r w:rsidRPr="00BB11AF">
        <w:t>s</w:t>
      </w:r>
      <w:r w:rsidRPr="00BB11AF">
        <w:t>tices dont elles font l'objet dans leur milieu de travail. La volonté de ne plus avoir à les subir est i</w:t>
      </w:r>
      <w:r w:rsidRPr="00BB11AF">
        <w:t>m</w:t>
      </w:r>
      <w:r w:rsidRPr="00BB11AF">
        <w:t>portante. D-San soutient aussi que plusieurs jeunes femmes ont les moyens de leur contestation ce qui signifie qu'elles disposent d'un c</w:t>
      </w:r>
      <w:r w:rsidRPr="00BB11AF">
        <w:t>a</w:t>
      </w:r>
      <w:r w:rsidRPr="00BB11AF">
        <w:t>pital culturel (un diplôme universitaire) et d'une petite réserve fina</w:t>
      </w:r>
      <w:r w:rsidRPr="00BB11AF">
        <w:t>n</w:t>
      </w:r>
      <w:r w:rsidRPr="00BB11AF">
        <w:t>cière (ou du soutien financier de leurs parents) qui leur permet d'env</w:t>
      </w:r>
      <w:r w:rsidRPr="00BB11AF">
        <w:t>i</w:t>
      </w:r>
      <w:r w:rsidRPr="00BB11AF">
        <w:t>sager ce genre de changement. Par ailleurs, la contestation qu'elles font de la « culture antique » de l'entreprise dénote une prise de con</w:t>
      </w:r>
      <w:r w:rsidRPr="00BB11AF">
        <w:t>s</w:t>
      </w:r>
      <w:r w:rsidRPr="00BB11AF">
        <w:t>cience qui se situe à l'encontre des attitudes qui, quelques années a</w:t>
      </w:r>
      <w:r w:rsidRPr="00BB11AF">
        <w:t>u</w:t>
      </w:r>
      <w:r w:rsidRPr="00BB11AF">
        <w:t>paravant, étaient considérées comme inévitables et normales.</w:t>
      </w:r>
      <w:r>
        <w:t> </w:t>
      </w:r>
      <w:r>
        <w:rPr>
          <w:rStyle w:val="Appelnotedebasdep"/>
        </w:rPr>
        <w:footnoteReference w:id="53"/>
      </w:r>
      <w:r w:rsidRPr="00BB11AF">
        <w:t xml:space="preserve"> N</w:t>
      </w:r>
      <w:r w:rsidRPr="00BB11AF">
        <w:t>o</w:t>
      </w:r>
      <w:r w:rsidRPr="00BB11AF">
        <w:t>tons que la contestation prend une forme plus explicite lors des entr</w:t>
      </w:r>
      <w:r w:rsidRPr="00BB11AF">
        <w:t>e</w:t>
      </w:r>
      <w:r w:rsidRPr="00BB11AF">
        <w:t>vues, alors que dans la pratique elle se traduit la plupart du temps par une augmentation de la mobilité ou encore par des prises de décisions pr</w:t>
      </w:r>
      <w:r w:rsidRPr="00BB11AF">
        <w:t>o</w:t>
      </w:r>
      <w:r w:rsidRPr="00BB11AF">
        <w:t>actives concernant leur situation.</w:t>
      </w:r>
    </w:p>
    <w:p w:rsidR="003A3061" w:rsidRPr="00BB11AF" w:rsidRDefault="003A3061" w:rsidP="003A3061">
      <w:pPr>
        <w:spacing w:before="120" w:after="120"/>
        <w:jc w:val="both"/>
      </w:pPr>
      <w:r w:rsidRPr="00BB11AF">
        <w:t>Dans plusieurs entrevues, on constate que c'est le caractère rétr</w:t>
      </w:r>
      <w:r w:rsidRPr="00BB11AF">
        <w:t>o</w:t>
      </w:r>
      <w:r w:rsidRPr="00BB11AF">
        <w:t>grade de l'entreprise qui a provoqué un changement d'emploi. Ce point est important parce qu'il nous montre que les formes de dominations ne sont plus toujours acceptées avec résignation au nom de la tradition et qu'un discours contestataire s'est mis en pl</w:t>
      </w:r>
      <w:r w:rsidRPr="00BB11AF">
        <w:t>a</w:t>
      </w:r>
      <w:r w:rsidRPr="00BB11AF">
        <w:t>ce. Dans la pratique, les jeunes femmes n'attendent plus tout si</w:t>
      </w:r>
      <w:r w:rsidRPr="00BB11AF">
        <w:t>m</w:t>
      </w:r>
      <w:r w:rsidRPr="00BB11AF">
        <w:t>plement d'être poussées vers la sortie. Cette forme de contestation, nous l'avons vu, porte en partie sur la reconnaissance de ses habiletés et de faibles chances de prom</w:t>
      </w:r>
      <w:r w:rsidRPr="00BB11AF">
        <w:t>o</w:t>
      </w:r>
      <w:r w:rsidRPr="00BB11AF">
        <w:t>tions, mais comme le montreront les témoignages suivants, elle porte aussi sur le caractère rétrogr</w:t>
      </w:r>
      <w:r w:rsidRPr="00BB11AF">
        <w:t>a</w:t>
      </w:r>
      <w:r w:rsidRPr="00BB11AF">
        <w:t>de, c'est-à-dire sur ce que l'on attend des femmes dans l'entreprise.</w:t>
      </w:r>
    </w:p>
    <w:p w:rsidR="003A3061" w:rsidRPr="00BB11AF" w:rsidRDefault="003A3061" w:rsidP="003A3061">
      <w:pPr>
        <w:spacing w:before="120" w:after="120"/>
        <w:jc w:val="both"/>
      </w:pPr>
      <w:r w:rsidRPr="00BB11AF">
        <w:t>Le terme « traditionnel » qui revient dans le discours des jeunes fe</w:t>
      </w:r>
      <w:r w:rsidRPr="00BB11AF">
        <w:t>m</w:t>
      </w:r>
      <w:r w:rsidRPr="00BB11AF">
        <w:t>mes tokyoïtes fait référence ici à la pratique des entreprises qui consiste à faire pression sur les femmes pour qu'elles quittent leur e</w:t>
      </w:r>
      <w:r w:rsidRPr="00BB11AF">
        <w:t>m</w:t>
      </w:r>
      <w:r w:rsidRPr="00BB11AF">
        <w:t>ploi, une fois mariées ou lorsqu'elles attendent un enfant. Ces prat</w:t>
      </w:r>
      <w:r w:rsidRPr="00BB11AF">
        <w:t>i</w:t>
      </w:r>
      <w:r w:rsidRPr="00BB11AF">
        <w:t>ques font en sorte qu'elles ne sont souvent pas considérées comme des e</w:t>
      </w:r>
      <w:r w:rsidRPr="00BB11AF">
        <w:t>m</w:t>
      </w:r>
      <w:r w:rsidRPr="00BB11AF">
        <w:t>ployées à part entière. En effet, les responsabilités importantes et les prises de décisions dans les compagnies reviennent aux hommes. Il y a donc, dans</w:t>
      </w:r>
      <w:r>
        <w:t xml:space="preserve"> </w:t>
      </w:r>
      <w:r w:rsidRPr="00BB11AF">
        <w:t>[93]</w:t>
      </w:r>
      <w:r>
        <w:t xml:space="preserve"> </w:t>
      </w:r>
      <w:r w:rsidRPr="00BB11AF">
        <w:t>plusieurs cas, une contradiction entre les attentes des jeunes fe</w:t>
      </w:r>
      <w:r w:rsidRPr="00BB11AF">
        <w:t>m</w:t>
      </w:r>
      <w:r w:rsidRPr="00BB11AF">
        <w:t>mes et le fonctionnement de certaines entreprises, donc une te</w:t>
      </w:r>
      <w:r w:rsidRPr="00BB11AF">
        <w:t>n</w:t>
      </w:r>
      <w:r w:rsidRPr="00BB11AF">
        <w:t>sion entre les dispositions et la position occupée.</w:t>
      </w:r>
    </w:p>
    <w:p w:rsidR="003A3061" w:rsidRPr="00BB11AF" w:rsidRDefault="003A3061" w:rsidP="003A3061">
      <w:pPr>
        <w:spacing w:before="120" w:after="120"/>
        <w:jc w:val="both"/>
      </w:pPr>
      <w:r w:rsidRPr="00BB11AF">
        <w:t>La deuxième discordance à souligner porte sur le rapport entre les g</w:t>
      </w:r>
      <w:r w:rsidRPr="00BB11AF">
        <w:t>é</w:t>
      </w:r>
      <w:r w:rsidRPr="00BB11AF">
        <w:t>nérations. Les attentes des personnes plus âgées par rapport au rôle que les jeunes femmes doivent accomplir sont très différentes des a</w:t>
      </w:r>
      <w:r w:rsidRPr="00BB11AF">
        <w:t>t</w:t>
      </w:r>
      <w:r w:rsidRPr="00BB11AF">
        <w:t>tentes que les jeunes femmes ont par rapport à leur travail. Ce décal</w:t>
      </w:r>
      <w:r w:rsidRPr="00BB11AF">
        <w:t>a</w:t>
      </w:r>
      <w:r w:rsidRPr="00BB11AF">
        <w:t>ge est d'autant plus grand avec les hommes de générations précéde</w:t>
      </w:r>
      <w:r w:rsidRPr="00BB11AF">
        <w:t>n</w:t>
      </w:r>
      <w:r w:rsidRPr="00BB11AF">
        <w:t>tes ; cela provient du fait que ceux-ci ont des attentes spécifiques quant aux rôles féminins et qu'il est très difficile pour les femmes de répondre à une personne plus âgée ou de la contr</w:t>
      </w:r>
      <w:r w:rsidRPr="00BB11AF">
        <w:t>e</w:t>
      </w:r>
      <w:r w:rsidRPr="00BB11AF">
        <w:t>dire (Nakano 2004).</w:t>
      </w:r>
    </w:p>
    <w:p w:rsidR="003A3061" w:rsidRPr="00BB11AF" w:rsidRDefault="003A3061" w:rsidP="003A3061">
      <w:pPr>
        <w:spacing w:before="120" w:after="120"/>
        <w:jc w:val="both"/>
      </w:pPr>
      <w:r w:rsidRPr="00BB11AF">
        <w:t>Ceci nous est relaté par S-San, 27 ans, qui bien qu'étant cadre dans l'entreprise où elle travaille doit néanmoins employer des str</w:t>
      </w:r>
      <w:r w:rsidRPr="00BB11AF">
        <w:t>a</w:t>
      </w:r>
      <w:r w:rsidRPr="00BB11AF">
        <w:t>tégies pour participer à certaines réunions :</w:t>
      </w:r>
    </w:p>
    <w:p w:rsidR="003A3061" w:rsidRDefault="003A3061" w:rsidP="003A3061">
      <w:pPr>
        <w:pStyle w:val="Grillecouleur-Accent1"/>
      </w:pPr>
    </w:p>
    <w:p w:rsidR="003A3061" w:rsidRDefault="003A3061" w:rsidP="003A3061">
      <w:pPr>
        <w:pStyle w:val="Grillecouleur-Accent1"/>
      </w:pPr>
      <w:r w:rsidRPr="00BB11AF">
        <w:t>C'est beaucoup plus facile d'avoir des collègues [masculins] qui sont plus jeunes. Ils sont plus ouverts et moins cantonnés dans leur rôle. Oui, bien sûr que l'on attend de moi que je serve le thé [quo</w:t>
      </w:r>
      <w:r w:rsidRPr="00BB11AF">
        <w:t>i</w:t>
      </w:r>
      <w:r w:rsidRPr="00BB11AF">
        <w:t>qu'on le demande plus souvent aux OL</w:t>
      </w:r>
      <w:r>
        <w:t> </w:t>
      </w:r>
      <w:r>
        <w:rPr>
          <w:rStyle w:val="Appelnotedebasdep"/>
        </w:rPr>
        <w:footnoteReference w:id="54"/>
      </w:r>
      <w:r w:rsidRPr="00BB11AF">
        <w:t>]. Mais moi je mets cette pratique rétrograde à mon avantage. Je vais faire du thé et je l'amène dans les réunions. Si le s</w:t>
      </w:r>
      <w:r w:rsidRPr="00BB11AF">
        <w:t>u</w:t>
      </w:r>
      <w:r w:rsidRPr="00BB11AF">
        <w:t>jet est intéressant, j'en profite pour rester alors que je n'ai pas forcément été inv</w:t>
      </w:r>
      <w:r w:rsidRPr="00BB11AF">
        <w:t>i</w:t>
      </w:r>
      <w:r w:rsidRPr="00BB11AF">
        <w:t>tée à cette réunion (ma tradu</w:t>
      </w:r>
      <w:r w:rsidRPr="00BB11AF">
        <w:t>c</w:t>
      </w:r>
      <w:r w:rsidRPr="00BB11AF">
        <w:t>tion).</w:t>
      </w:r>
    </w:p>
    <w:p w:rsidR="003A3061" w:rsidRPr="00BB11AF" w:rsidRDefault="003A3061" w:rsidP="003A3061">
      <w:pPr>
        <w:pStyle w:val="Grillecouleur-Accent1"/>
      </w:pPr>
    </w:p>
    <w:p w:rsidR="003A3061" w:rsidRPr="00BB11AF" w:rsidRDefault="003A3061" w:rsidP="003A3061">
      <w:pPr>
        <w:spacing w:before="120" w:after="120"/>
        <w:jc w:val="both"/>
      </w:pPr>
      <w:r w:rsidRPr="00BB11AF">
        <w:t>Pour se donner un maximum de choix dans un environnement pr</w:t>
      </w:r>
      <w:r w:rsidRPr="00BB11AF">
        <w:t>o</w:t>
      </w:r>
      <w:r w:rsidRPr="00BB11AF">
        <w:t>fessionnel où la mobilité est plus la règle que l'exception, bea</w:t>
      </w:r>
      <w:r w:rsidRPr="00BB11AF">
        <w:t>u</w:t>
      </w:r>
      <w:r w:rsidRPr="00BB11AF">
        <w:t>coup de jeunes femmes continuent, lorsque cela leur est possible, d'acquérir des compétences après leurs études dans le but d'augmenter leurs chances de trouver ou de retrouver un travail. Elles vont suivre des cours de langues, de comptabilité, ou de commerce. Ce qui n'est pas si simple comme le révèle B-San, une jeune femme de 30 ans qui tr</w:t>
      </w:r>
      <w:r w:rsidRPr="00BB11AF">
        <w:t>a</w:t>
      </w:r>
      <w:r w:rsidRPr="00BB11AF">
        <w:t>vaille dans une grande entreprise d'import-export :</w:t>
      </w:r>
    </w:p>
    <w:p w:rsidR="003A3061" w:rsidRDefault="003A3061" w:rsidP="003A3061">
      <w:pPr>
        <w:pStyle w:val="Grillecouleur-Accent1"/>
      </w:pPr>
    </w:p>
    <w:p w:rsidR="003A3061" w:rsidRPr="00BB11AF" w:rsidRDefault="003A3061" w:rsidP="003A3061">
      <w:pPr>
        <w:pStyle w:val="Grillecouleur-Accent1"/>
      </w:pPr>
      <w:r w:rsidRPr="00BB11AF">
        <w:t>Après mes études universitaires, je voulais partir à l'étranger pour am</w:t>
      </w:r>
      <w:r w:rsidRPr="00BB11AF">
        <w:t>é</w:t>
      </w:r>
      <w:r w:rsidRPr="00BB11AF">
        <w:t>liorer mes connaissances en anglais. Ma mère m'a tout de suite encouragée et soutenue dans cette démarche. Par contre, la réaction de mon père a été différente. Il m'a dit que tout cela était une perte de temps et que de toute façon je n'aurais pas besoin de maîtriser une a</w:t>
      </w:r>
      <w:r w:rsidRPr="00BB11AF">
        <w:t>u</w:t>
      </w:r>
      <w:r w:rsidRPr="00BB11AF">
        <w:t xml:space="preserve">tre langue. Je ferais mieux de me concentrer sur ma carrière. Mon père est un </w:t>
      </w:r>
      <w:r w:rsidRPr="00BB11AF">
        <w:rPr>
          <w:bCs/>
          <w:i/>
        </w:rPr>
        <w:t>sarariiman</w:t>
      </w:r>
      <w:r w:rsidRPr="00BB11AF">
        <w:t xml:space="preserve"> qui travaille dans une banque. Il a les anciennes v</w:t>
      </w:r>
      <w:r w:rsidRPr="00BB11AF">
        <w:t>a</w:t>
      </w:r>
      <w:r w:rsidRPr="00BB11AF">
        <w:t>leurs. En plus, il s'inquiète de la nouvelle situation écon</w:t>
      </w:r>
      <w:r w:rsidRPr="00BB11AF">
        <w:t>o</w:t>
      </w:r>
      <w:r w:rsidRPr="00BB11AF">
        <w:t>mique et se dit que je vais peut-être manquer une occasion d'avoir un emploi. Mais je pense que c'est tout le contraire. Si je maîtrise bien une ou deux langues étrangères, alors j'aurai plus de chances d'avoir un e</w:t>
      </w:r>
      <w:r w:rsidRPr="00BB11AF">
        <w:t>m</w:t>
      </w:r>
      <w:r w:rsidRPr="00BB11AF">
        <w:t>ploi (ma traduction).</w:t>
      </w:r>
    </w:p>
    <w:p w:rsidR="003A3061" w:rsidRDefault="003A3061" w:rsidP="003A3061">
      <w:pPr>
        <w:spacing w:before="120" w:after="120"/>
        <w:jc w:val="both"/>
      </w:pPr>
    </w:p>
    <w:p w:rsidR="003A3061" w:rsidRPr="00BB11AF" w:rsidRDefault="003A3061" w:rsidP="003A3061">
      <w:pPr>
        <w:spacing w:before="120" w:after="120"/>
        <w:jc w:val="both"/>
      </w:pPr>
      <w:r w:rsidRPr="00BB11AF">
        <w:t>[94]</w:t>
      </w:r>
    </w:p>
    <w:p w:rsidR="003A3061" w:rsidRPr="00BB11AF" w:rsidRDefault="003A3061" w:rsidP="003A3061">
      <w:pPr>
        <w:spacing w:before="120" w:after="120"/>
        <w:jc w:val="both"/>
      </w:pPr>
      <w:r w:rsidRPr="00BB11AF">
        <w:t>L'apprentissage d'une langue étrangère, même si sa maîtrise d</w:t>
      </w:r>
      <w:r w:rsidRPr="00BB11AF">
        <w:t>e</w:t>
      </w:r>
      <w:r w:rsidRPr="00BB11AF">
        <w:t>meure relative, est utilisé par plusieurs jeunes femmes pour se garantir en quelque sorte une certaine flexibilité d'emploi. La question des co</w:t>
      </w:r>
      <w:r w:rsidRPr="00BB11AF">
        <w:t>m</w:t>
      </w:r>
      <w:r w:rsidRPr="00BB11AF">
        <w:t>pétences linguistiques reflète une tendance prononcée chez les jeunes femmes qui cherchent à acquérir des compétences suppléme</w:t>
      </w:r>
      <w:r w:rsidRPr="00BB11AF">
        <w:t>n</w:t>
      </w:r>
      <w:r w:rsidRPr="00BB11AF">
        <w:t>taires (informatique, comptabilité, etc.) qui leur offrent un plus grand choix. Cette acquisition de compétences reste cepe</w:t>
      </w:r>
      <w:r w:rsidRPr="00BB11AF">
        <w:t>n</w:t>
      </w:r>
      <w:r w:rsidRPr="00BB11AF">
        <w:t>dant un outil et elle a un aspect fonctionnel pour répondre à l'augmentation croissante des emplois temporaires ou à temps partiel. Elle traduit aussi une v</w:t>
      </w:r>
      <w:r w:rsidRPr="00BB11AF">
        <w:t>o</w:t>
      </w:r>
      <w:r w:rsidRPr="00BB11AF">
        <w:t>lonté d'autonomie. Ce désir de vouloir fa</w:t>
      </w:r>
      <w:r w:rsidRPr="00BB11AF">
        <w:t>i</w:t>
      </w:r>
      <w:r w:rsidRPr="00BB11AF">
        <w:t>re une formation continue révèle aussi que les femmes ont une vision assez précise des cond</w:t>
      </w:r>
      <w:r w:rsidRPr="00BB11AF">
        <w:t>i</w:t>
      </w:r>
      <w:r w:rsidRPr="00BB11AF">
        <w:t>tions a</w:t>
      </w:r>
      <w:r w:rsidRPr="00BB11AF">
        <w:t>c</w:t>
      </w:r>
      <w:r w:rsidRPr="00BB11AF">
        <w:t>tuelles du marché du travail et de ce qu'elles veulent ou ne veulent pas.</w:t>
      </w:r>
    </w:p>
    <w:p w:rsidR="003A3061" w:rsidRPr="00BB11AF" w:rsidRDefault="003A3061" w:rsidP="003A3061">
      <w:pPr>
        <w:spacing w:before="120" w:after="120"/>
        <w:jc w:val="both"/>
      </w:pPr>
      <w:r w:rsidRPr="00BB11AF">
        <w:t>Ainsi, outre la dénonciation des pratiques rétrogrades de certaines entreprises et l'élaboration de stratégies qui répondent à la flexibilis</w:t>
      </w:r>
      <w:r w:rsidRPr="00BB11AF">
        <w:t>a</w:t>
      </w:r>
      <w:r w:rsidRPr="00BB11AF">
        <w:t>tion du travail, la mobilité professionnelle se conçoit aussi par rapport à la conjoncture, à ce qui est vécu dans l'entreprise et à l'intérêt pe</w:t>
      </w:r>
      <w:r w:rsidRPr="00BB11AF">
        <w:t>r</w:t>
      </w:r>
      <w:r w:rsidRPr="00BB11AF">
        <w:t>sonnel. Pour ces jeunes femmes, le futur se pense plus en termes de satisfaction personnelle qu'en termes de compétence ou de conjonct</w:t>
      </w:r>
      <w:r w:rsidRPr="00BB11AF">
        <w:t>u</w:t>
      </w:r>
      <w:r w:rsidRPr="00BB11AF">
        <w:t>re économique, bien qu'elles aient fait l'effort d'obtenir une spécialis</w:t>
      </w:r>
      <w:r w:rsidRPr="00BB11AF">
        <w:t>a</w:t>
      </w:r>
      <w:r w:rsidRPr="00BB11AF">
        <w:t>tion recherchée. Les perspectives de travail s'élaborent autour de pr</w:t>
      </w:r>
      <w:r w:rsidRPr="00BB11AF">
        <w:t>o</w:t>
      </w:r>
      <w:r w:rsidRPr="00BB11AF">
        <w:t>jets futurs, le travail n'étant qu'un moyen de construire une carrière int</w:t>
      </w:r>
      <w:r w:rsidRPr="00BB11AF">
        <w:t>é</w:t>
      </w:r>
      <w:r w:rsidRPr="00BB11AF">
        <w:t>ressante. Ici encore, B-San nous parle de ses objectifs de carrière à long terme :</w:t>
      </w:r>
    </w:p>
    <w:p w:rsidR="003A3061" w:rsidRDefault="003A3061" w:rsidP="003A3061">
      <w:pPr>
        <w:pStyle w:val="Grillecouleur-Accent1"/>
      </w:pPr>
    </w:p>
    <w:p w:rsidR="003A3061" w:rsidRDefault="003A3061" w:rsidP="003A3061">
      <w:pPr>
        <w:pStyle w:val="Grillecouleur-Accent1"/>
      </w:pPr>
      <w:r w:rsidRPr="00BB11AF">
        <w:t>Je travaille dans une grande entreprise, mais je sais que si j'ai des e</w:t>
      </w:r>
      <w:r w:rsidRPr="00BB11AF">
        <w:t>n</w:t>
      </w:r>
      <w:r w:rsidRPr="00BB11AF">
        <w:t>fants mon retour sera très difficile. Alors, j'utilise cet emploi pour con</w:t>
      </w:r>
      <w:r w:rsidRPr="00BB11AF">
        <w:t>s</w:t>
      </w:r>
      <w:r w:rsidRPr="00BB11AF">
        <w:t>truire mon CV et obtenir de l'expérience. Ainsi, j'aurai l'expérie</w:t>
      </w:r>
      <w:r w:rsidRPr="00BB11AF">
        <w:t>n</w:t>
      </w:r>
      <w:r w:rsidRPr="00BB11AF">
        <w:t>ce et la flexibilité nécessaires pour obtenir un emploi qui me plaît vraiment. Les grandes entreprises nous utilisent alors nous devons nous aussi utiliser ce</w:t>
      </w:r>
      <w:r w:rsidRPr="00BB11AF">
        <w:t>t</w:t>
      </w:r>
      <w:r w:rsidRPr="00BB11AF">
        <w:t>te expérience et la mettre à profit (ma tradu</w:t>
      </w:r>
      <w:r w:rsidRPr="00BB11AF">
        <w:t>c</w:t>
      </w:r>
      <w:r w:rsidRPr="00BB11AF">
        <w:t>tion).</w:t>
      </w:r>
    </w:p>
    <w:p w:rsidR="003A3061" w:rsidRPr="00BB11AF" w:rsidRDefault="003A3061" w:rsidP="003A3061">
      <w:pPr>
        <w:pStyle w:val="Grillecouleur-Accent1"/>
      </w:pPr>
    </w:p>
    <w:p w:rsidR="003A3061" w:rsidRPr="00BB11AF" w:rsidRDefault="003A3061" w:rsidP="003A3061">
      <w:pPr>
        <w:spacing w:before="120" w:after="120"/>
        <w:jc w:val="both"/>
      </w:pPr>
      <w:r w:rsidRPr="00BB11AF">
        <w:t>Cette jeune femme travaille dans une grande entreprise et bén</w:t>
      </w:r>
      <w:r w:rsidRPr="00BB11AF">
        <w:t>é</w:t>
      </w:r>
      <w:r w:rsidRPr="00BB11AF">
        <w:t>ficie d'un emploi stable avec des perspectives de promotions. To</w:t>
      </w:r>
      <w:r w:rsidRPr="00BB11AF">
        <w:t>u</w:t>
      </w:r>
      <w:r w:rsidRPr="00BB11AF">
        <w:t>tefois, elle considère que, d'une manière ou d'une autre, elle va re</w:t>
      </w:r>
      <w:r w:rsidRPr="00BB11AF">
        <w:t>n</w:t>
      </w:r>
      <w:r w:rsidRPr="00BB11AF">
        <w:t>contrer des obstacles (promotion limitée, retour au travail après la naissance d'e</w:t>
      </w:r>
      <w:r w:rsidRPr="00BB11AF">
        <w:t>n</w:t>
      </w:r>
      <w:r w:rsidRPr="00BB11AF">
        <w:t>fants). Elle est néanmoins consciente du fait qu'elle bénéficie d'une expérience importante qui lui permettra de réaliser ses aspirations dans le futur. En employant cette stratégie, tout en contredisant pa</w:t>
      </w:r>
      <w:r w:rsidRPr="00BB11AF">
        <w:t>r</w:t>
      </w:r>
      <w:r w:rsidRPr="00BB11AF">
        <w:t>tiellement les schémas traditionnels, elle s'engage dans une voie plus mobile qui s'adapte aux conditions actuelles du marché.</w:t>
      </w:r>
    </w:p>
    <w:p w:rsidR="003A3061" w:rsidRPr="00BB11AF" w:rsidRDefault="003A3061" w:rsidP="003A3061">
      <w:pPr>
        <w:spacing w:before="120" w:after="120"/>
        <w:jc w:val="both"/>
      </w:pPr>
    </w:p>
    <w:p w:rsidR="003A3061" w:rsidRPr="00BB11AF" w:rsidRDefault="003A3061" w:rsidP="003A3061">
      <w:pPr>
        <w:pStyle w:val="planche"/>
      </w:pPr>
      <w:r w:rsidRPr="00BB11AF">
        <w:t>Conclusion</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Nous avons pu constater que malgré les contraintes et malgré la volonté des dirigeants d'entreprise qui cherchent à confiner les fe</w:t>
      </w:r>
      <w:r w:rsidRPr="00BB11AF">
        <w:t>m</w:t>
      </w:r>
      <w:r w:rsidRPr="00BB11AF">
        <w:t>mes dans un rôle préalablement défini et communément admis, la</w:t>
      </w:r>
      <w:r>
        <w:t xml:space="preserve"> </w:t>
      </w:r>
      <w:r w:rsidRPr="00BB11AF">
        <w:t>[95]</w:t>
      </w:r>
      <w:r>
        <w:t xml:space="preserve"> </w:t>
      </w:r>
      <w:r w:rsidRPr="00BB11AF">
        <w:t>conjoncture économique et la modification des pratiques et des repr</w:t>
      </w:r>
      <w:r w:rsidRPr="00BB11AF">
        <w:t>é</w:t>
      </w:r>
      <w:r w:rsidRPr="00BB11AF">
        <w:t>sentations se mélangent pour produire un résultat différent. Dans les entreprises, les emplois réguliers et les possibilités de promotion sont difficilement accessibles aux femmes. Ainsi, le terrain gagné dans les années 1980 concernant l'embauche des jeunes femmes à la fin de leurs études universitaires a été perdu en raison de la crise économ</w:t>
      </w:r>
      <w:r w:rsidRPr="00BB11AF">
        <w:t>i</w:t>
      </w:r>
      <w:r w:rsidRPr="00BB11AF">
        <w:t>que et de la flexibilisation de la main-d'œuvre. En effet, l'utilis</w:t>
      </w:r>
      <w:r w:rsidRPr="00BB11AF">
        <w:t>a</w:t>
      </w:r>
      <w:r w:rsidRPr="00BB11AF">
        <w:t>tion de la main-d'œuvre féminine comme main-d'œuvre flexible est le fait d'un modus operandi mis en place par les entreprises. Ce rapport est organisé par un ensemble de valeurs qui conditionnent souvent les attitudes et les attentes des hommes et des femmes dans l'entreprise.</w:t>
      </w:r>
    </w:p>
    <w:p w:rsidR="003A3061" w:rsidRPr="00BB11AF" w:rsidRDefault="003A3061" w:rsidP="003A3061">
      <w:pPr>
        <w:spacing w:before="120" w:after="120"/>
        <w:jc w:val="both"/>
      </w:pPr>
      <w:r w:rsidRPr="00BB11AF">
        <w:t>Du point de vue des représentations, la définition d'un « travail qui vaut la peine d'être fait » révèle un point important dans la conception du travail chez plusieurs jeunes femmes, celui de l'a</w:t>
      </w:r>
      <w:r w:rsidRPr="00BB11AF">
        <w:t>p</w:t>
      </w:r>
      <w:r w:rsidRPr="00BB11AF">
        <w:t>propriation et de la mise en valeur des tâches que ces dernières r</w:t>
      </w:r>
      <w:r w:rsidRPr="00BB11AF">
        <w:t>é</w:t>
      </w:r>
      <w:r w:rsidRPr="00BB11AF">
        <w:t>alisent à travers leur activité professionnelle. Cette appropriation s'oppose à la vision enc</w:t>
      </w:r>
      <w:r w:rsidRPr="00BB11AF">
        <w:t>o</w:t>
      </w:r>
      <w:r w:rsidRPr="00BB11AF">
        <w:t>re présente qui veut que les femmes qui travaillent en entreprise ne soient pas là pour rester et que les t</w:t>
      </w:r>
      <w:r w:rsidRPr="00BB11AF">
        <w:t>â</w:t>
      </w:r>
      <w:r w:rsidRPr="00BB11AF">
        <w:t>ches qui leur sont confiées n'aient que peu d'incidence sur le bon fonctionnement de l'entreprise, c'est-à-dire sur la réussite de celle-ci. Le fait de s'investir dans son travail tr</w:t>
      </w:r>
      <w:r w:rsidRPr="00BB11AF">
        <w:t>a</w:t>
      </w:r>
      <w:r w:rsidRPr="00BB11AF">
        <w:t>duit aussi une volonté d'avoir une carrière, c'est-à-dire une volonté de construire et de d</w:t>
      </w:r>
      <w:r w:rsidRPr="00BB11AF">
        <w:t>é</w:t>
      </w:r>
      <w:r w:rsidRPr="00BB11AF">
        <w:t>velopper un ensemble de représentations concernant l'avenir, mais aussi la vie quotidienne. Cet investissement ne se fait pas sans heurts, même pour celles qui occupent un poste permanent.</w:t>
      </w:r>
    </w:p>
    <w:p w:rsidR="003A3061" w:rsidRPr="00BB11AF" w:rsidRDefault="003A3061" w:rsidP="003A3061">
      <w:pPr>
        <w:spacing w:before="120" w:after="120"/>
        <w:jc w:val="both"/>
      </w:pPr>
      <w:r w:rsidRPr="00BB11AF">
        <w:t>Il est important de souligner le fait que l'investissement dans son tr</w:t>
      </w:r>
      <w:r w:rsidRPr="00BB11AF">
        <w:t>a</w:t>
      </w:r>
      <w:r w:rsidRPr="00BB11AF">
        <w:t>vail envisagé comme stratégie de carrière, comme quelque chose « qui vaut la peine d'être fait », c'est-à-dire une forme proactive d'i</w:t>
      </w:r>
      <w:r w:rsidRPr="00BB11AF">
        <w:t>n</w:t>
      </w:r>
      <w:r w:rsidRPr="00BB11AF">
        <w:t>vesti</w:t>
      </w:r>
      <w:r w:rsidRPr="00BB11AF">
        <w:t>s</w:t>
      </w:r>
      <w:r w:rsidRPr="00BB11AF">
        <w:t>sement, occupe une place importante dans les attentes des jeunes femmes tokyoïtes. En faisant sens de leurs activités professio</w:t>
      </w:r>
      <w:r w:rsidRPr="00BB11AF">
        <w:t>n</w:t>
      </w:r>
      <w:r w:rsidRPr="00BB11AF">
        <w:t>nelles, aussi bien dans la pratique que dans les discours, les jeunes femmes construisent un ensemble de nouvelles significations qui f</w:t>
      </w:r>
      <w:r w:rsidRPr="00BB11AF">
        <w:t>a</w:t>
      </w:r>
      <w:r w:rsidRPr="00BB11AF">
        <w:t>vorisent l'émergence de nouvelles attentes et de nouvelles pratiques, par exe</w:t>
      </w:r>
      <w:r w:rsidRPr="00BB11AF">
        <w:t>m</w:t>
      </w:r>
      <w:r w:rsidRPr="00BB11AF">
        <w:t>ple se marier plus tard et s'investir dans sa carrière. Pour r</w:t>
      </w:r>
      <w:r w:rsidRPr="00BB11AF">
        <w:t>e</w:t>
      </w:r>
      <w:r w:rsidRPr="00BB11AF">
        <w:t>prendre les propos de Henrietta Moore (2011), les transformations de l'économie ont favorisé l'émergence de nouve</w:t>
      </w:r>
      <w:r w:rsidRPr="00BB11AF">
        <w:t>l</w:t>
      </w:r>
      <w:r w:rsidRPr="00BB11AF">
        <w:t>les façons de penser et d'être.</w:t>
      </w:r>
    </w:p>
    <w:p w:rsidR="003A3061" w:rsidRPr="00BB11AF" w:rsidRDefault="003A3061" w:rsidP="003A3061">
      <w:pPr>
        <w:spacing w:before="120" w:after="120"/>
        <w:jc w:val="both"/>
      </w:pPr>
      <w:r w:rsidRPr="00BB11AF">
        <w:t>En outre, j'ai brièvement évoqué la manière dont le cadre hégém</w:t>
      </w:r>
      <w:r w:rsidRPr="00BB11AF">
        <w:t>o</w:t>
      </w:r>
      <w:r w:rsidRPr="00BB11AF">
        <w:t>nique avait permis de standardiser les cycles de vies au Japon. En e</w:t>
      </w:r>
      <w:r w:rsidRPr="00BB11AF">
        <w:t>f</w:t>
      </w:r>
      <w:r w:rsidRPr="00BB11AF">
        <w:t>fet, il y avait un temps et un âge pour chaque chose et les transitions d'une étape à l'autre, par exemple de l'université au monde du travail, se faisaient relativement facilement. Ces trans</w:t>
      </w:r>
      <w:r w:rsidRPr="00BB11AF">
        <w:t>i</w:t>
      </w:r>
      <w:r w:rsidRPr="00BB11AF">
        <w:t>tions étaient organisées à travers des liens institutionnels, mais aussi des liens informels. La crise économique a cependant amené un décalage entre la transition institutionnelle en place et la flexibilisation du capitalisme</w:t>
      </w:r>
      <w:r>
        <w:t> </w:t>
      </w:r>
      <w:r>
        <w:rPr>
          <w:rStyle w:val="Appelnotedebasdep"/>
        </w:rPr>
        <w:footnoteReference w:id="55"/>
      </w:r>
      <w:r w:rsidRPr="00BB11AF">
        <w:t xml:space="preserve"> inhére</w:t>
      </w:r>
      <w:r w:rsidRPr="00BB11AF">
        <w:t>n</w:t>
      </w:r>
      <w:r w:rsidRPr="00BB11AF">
        <w:t>te à la crise. Ces transformations mettent en évidence un décalage e</w:t>
      </w:r>
      <w:r w:rsidRPr="00BB11AF">
        <w:t>n</w:t>
      </w:r>
      <w:r w:rsidRPr="00BB11AF">
        <w:t>tre la vie quotidienne et les structures des institutions ainsi qu'entre les</w:t>
      </w:r>
      <w:r>
        <w:t xml:space="preserve"> </w:t>
      </w:r>
      <w:r w:rsidRPr="00BB11AF">
        <w:t>[96]</w:t>
      </w:r>
      <w:r>
        <w:t xml:space="preserve"> </w:t>
      </w:r>
      <w:r w:rsidRPr="00BB11AF">
        <w:t>valeurs incorporées par les jeunes femmes et les nouvelles pos</w:t>
      </w:r>
      <w:r w:rsidRPr="00BB11AF">
        <w:t>i</w:t>
      </w:r>
      <w:r w:rsidRPr="00BB11AF">
        <w:t>tions qu'elles occupent dans l'espace social. Ces nouvelles façons de faire et de penser amènent les dirigeants à dénoncer la multiplication des choix qu'une personne peut faire sur sa vie privée et son travail. Leur critique adressée aux jeunes femmes relève une volonté de mai</w:t>
      </w:r>
      <w:r w:rsidRPr="00BB11AF">
        <w:t>n</w:t>
      </w:r>
      <w:r w:rsidRPr="00BB11AF">
        <w:t>tenir le cadre hégémonique en place ; c'est-à-dire que cela témoigne d'un désir de continuer à imposer une vision selon laquelle le mariage et le travail relèvent d'une responsabilité sociale et nationale. Il faut également insister sur le fait que les pratiques dans les entreprises f</w:t>
      </w:r>
      <w:r w:rsidRPr="00BB11AF">
        <w:t>a</w:t>
      </w:r>
      <w:r w:rsidRPr="00BB11AF">
        <w:t>vor</w:t>
      </w:r>
      <w:r w:rsidRPr="00BB11AF">
        <w:t>i</w:t>
      </w:r>
      <w:r w:rsidRPr="00BB11AF">
        <w:t>sent difficilement une amélioration des conditions de travail pour les jeunes femmes.</w:t>
      </w:r>
    </w:p>
    <w:p w:rsidR="003A3061" w:rsidRPr="00BB11AF" w:rsidRDefault="003A3061" w:rsidP="003A3061">
      <w:pPr>
        <w:spacing w:before="120" w:after="120"/>
        <w:jc w:val="both"/>
      </w:pPr>
      <w:r w:rsidRPr="00BB11AF">
        <w:t>Ce que je suggère ici, c'est qu'à l'encontre de la dénonciation co</w:t>
      </w:r>
      <w:r w:rsidRPr="00BB11AF">
        <w:t>u</w:t>
      </w:r>
      <w:r w:rsidRPr="00BB11AF">
        <w:t>rante et moraliste sur l'égoïsme des jeunes femmes (et par e</w:t>
      </w:r>
      <w:r w:rsidRPr="00BB11AF">
        <w:t>x</w:t>
      </w:r>
      <w:r w:rsidRPr="00BB11AF">
        <w:t>tension des jeunes hommes), ces dernières revendiquent une forme de liberté par rapport aux rôles et aux choix qui leur ont été assignés, mais elles n'excluent pas pour autant l'intention de participer à la société. Bien au contraire, comme nous avons pu le constater dans la conception d'un « travail qui vaut la peine d'être fait », les jeunes femmes veulent en fait participer activement à la société par leur travail. En fait, c'est pl</w:t>
      </w:r>
      <w:r w:rsidRPr="00BB11AF">
        <w:t>u</w:t>
      </w:r>
      <w:r w:rsidRPr="00BB11AF">
        <w:t>tôt par rapport aux choix possibles qu'il y a des formes de résistance et de nouvelles stratégies mises en œuvre par les jeunes femmes. La d</w:t>
      </w:r>
      <w:r w:rsidRPr="00BB11AF">
        <w:t>é</w:t>
      </w:r>
      <w:r w:rsidRPr="00BB11AF">
        <w:t>nonciation des pratiques rétrogrades dans l'entreprise et l'utilisation de la mobilité qui leur est imposée pour se réaliser dans leur travail nous indiquent cla</w:t>
      </w:r>
      <w:r w:rsidRPr="00BB11AF">
        <w:t>i</w:t>
      </w:r>
      <w:r w:rsidRPr="00BB11AF">
        <w:t>rement cette nouvelle direction.</w:t>
      </w:r>
    </w:p>
    <w:p w:rsidR="003A3061" w:rsidRPr="00BB11AF" w:rsidRDefault="003A3061" w:rsidP="003A3061">
      <w:pPr>
        <w:spacing w:before="120" w:after="120"/>
        <w:jc w:val="both"/>
      </w:pPr>
      <w:r w:rsidRPr="00BB11AF">
        <w:t>Ce qu'il faut retenir c'est le fait que la mobilité permet aux jeunes femmes japonaises de jouer, en quelque sorte, sur les valeurs imp</w:t>
      </w:r>
      <w:r w:rsidRPr="00BB11AF">
        <w:t>o</w:t>
      </w:r>
      <w:r w:rsidRPr="00BB11AF">
        <w:t>sées et sur les contraintes. Par exemple, elles ne se sentent pas liées par certaines pratiques de l'entreprise ou encore elles ne visent pas les grandes entreprises comme futur milieu de travail. C'est à travers ce jeu qu'émergent de nouvelles représentations et de nouvelles prat</w:t>
      </w:r>
      <w:r w:rsidRPr="00BB11AF">
        <w:t>i</w:t>
      </w:r>
      <w:r w:rsidRPr="00BB11AF">
        <w:t>ques. Cependant, dans le cadre de ces démarches, elles jouent le jeu de la flexibilisation de la main-d'œuvre et renforcent donc l'image d'une main-d'œuvre féminine qui ne bénéficie pas de la sécurité d'e</w:t>
      </w:r>
      <w:r w:rsidRPr="00BB11AF">
        <w:t>m</w:t>
      </w:r>
      <w:r w:rsidRPr="00BB11AF">
        <w:t>ploi. En cela, l'idée de réalisation de soi centrale aux stratégies d</w:t>
      </w:r>
      <w:r w:rsidRPr="00BB11AF">
        <w:t>é</w:t>
      </w:r>
      <w:r w:rsidRPr="00BB11AF">
        <w:t>ployées par ces jeunes femmes s'insère très bien dans cette logique néolibérale entrepreneuriale, en ce qu'elle renvoie à l'idée d'entrepr</w:t>
      </w:r>
      <w:r w:rsidRPr="00BB11AF">
        <w:t>e</w:t>
      </w:r>
      <w:r w:rsidRPr="00BB11AF">
        <w:t>neur de soi souvent mobilisé dans d'autres contextes.</w:t>
      </w:r>
    </w:p>
    <w:p w:rsidR="003A3061" w:rsidRPr="00BB11AF" w:rsidRDefault="003A3061" w:rsidP="003A3061">
      <w:pPr>
        <w:spacing w:before="120" w:after="120"/>
        <w:jc w:val="both"/>
      </w:pPr>
      <w:r w:rsidRPr="00BB11AF">
        <w:t>De plus, même si je n'ai pas insisté sur la relation entre le travail et le mariage, il faut souligner qu'un nombre croissant de jeunes femmes préfèrent repousser le moment du mariage et rester aut</w:t>
      </w:r>
      <w:r w:rsidRPr="00BB11AF">
        <w:t>o</w:t>
      </w:r>
      <w:r w:rsidRPr="00BB11AF">
        <w:t>nomes. Les raisons de ce choix sont complexes. Le fait est qu'en évitant le mari</w:t>
      </w:r>
      <w:r w:rsidRPr="00BB11AF">
        <w:t>a</w:t>
      </w:r>
      <w:r w:rsidRPr="00BB11AF">
        <w:t>ge, elles peuvent ainsi rester plus longtemps ou plus facilement sur le marché du travail. Ce faisant, elles peuvent réaliser, mais aussi rent</w:t>
      </w:r>
      <w:r w:rsidRPr="00BB11AF">
        <w:t>a</w:t>
      </w:r>
      <w:r w:rsidRPr="00BB11AF">
        <w:t>biliser, l'investissement que constituent leurs études universitaires. En restant plus longtemps sur le marché du travail, elles ont aussi pu d</w:t>
      </w:r>
      <w:r w:rsidRPr="00BB11AF">
        <w:t>é</w:t>
      </w:r>
      <w:r w:rsidRPr="00BB11AF">
        <w:t>velopper un ensemble de significations qui leur permet de faire sens des désavantages structurels qui leur sont imposés. De plus, la mobil</w:t>
      </w:r>
      <w:r w:rsidRPr="00BB11AF">
        <w:t>i</w:t>
      </w:r>
      <w:r w:rsidRPr="00BB11AF">
        <w:t>té, dans ce contexte, peut être vue comme un élément positif par ces jeunes femmes, à travers la v</w:t>
      </w:r>
      <w:r w:rsidRPr="00BB11AF">
        <w:t>o</w:t>
      </w:r>
      <w:r w:rsidRPr="00BB11AF">
        <w:t>lonté</w:t>
      </w:r>
      <w:r>
        <w:t xml:space="preserve"> </w:t>
      </w:r>
      <w:r w:rsidRPr="00BB11AF">
        <w:t>[97]</w:t>
      </w:r>
      <w:r>
        <w:t xml:space="preserve"> </w:t>
      </w:r>
      <w:r w:rsidRPr="00BB11AF">
        <w:t>d'améliorer leurs conditions, notamment en quittant une entr</w:t>
      </w:r>
      <w:r w:rsidRPr="00BB11AF">
        <w:t>e</w:t>
      </w:r>
      <w:r w:rsidRPr="00BB11AF">
        <w:t>prise qui est considérée comme ayant des pratiques trop rétrogrades. En s'émancipant des contraintes marit</w:t>
      </w:r>
      <w:r w:rsidRPr="00BB11AF">
        <w:t>a</w:t>
      </w:r>
      <w:r w:rsidRPr="00BB11AF">
        <w:t>les, ces jeunes femmes s'émanc</w:t>
      </w:r>
      <w:r w:rsidRPr="00BB11AF">
        <w:t>i</w:t>
      </w:r>
      <w:r w:rsidRPr="00BB11AF">
        <w:t>pent surtout des contraintes imposées par le modus operandi des entreprises. Cette façon de penser n'est ce</w:t>
      </w:r>
      <w:r w:rsidRPr="00BB11AF">
        <w:t>r</w:t>
      </w:r>
      <w:r w:rsidRPr="00BB11AF">
        <w:t>tes pas des plus facile et positive, car la « liberté » professionnelle e</w:t>
      </w:r>
      <w:r w:rsidRPr="00BB11AF">
        <w:t>n</w:t>
      </w:r>
      <w:r w:rsidRPr="00BB11AF">
        <w:t>gendre bien souvent la difficulté de trouver un époux et la transgre</w:t>
      </w:r>
      <w:r w:rsidRPr="00BB11AF">
        <w:t>s</w:t>
      </w:r>
      <w:r w:rsidRPr="00BB11AF">
        <w:t>sion des attentes sociales n'est pas sans conséquence.</w:t>
      </w:r>
    </w:p>
    <w:p w:rsidR="003A3061" w:rsidRPr="00BB11AF" w:rsidRDefault="003A3061" w:rsidP="003A3061">
      <w:pPr>
        <w:spacing w:before="120" w:after="120"/>
        <w:jc w:val="both"/>
      </w:pPr>
      <w:r w:rsidRPr="00BB11AF">
        <w:t>Finalement, rappelons que l'hégémonie est quelque chose qui est to</w:t>
      </w:r>
      <w:r w:rsidRPr="00BB11AF">
        <w:t>u</w:t>
      </w:r>
      <w:r w:rsidRPr="00BB11AF">
        <w:t>jours instable, jamais complètement fixe et que l'incorporation et l'appropriation des valeurs varient selon la position que les acteurs occupent dans l'espace social (Comaroff et Comaroff 1991). L'inco</w:t>
      </w:r>
      <w:r w:rsidRPr="00BB11AF">
        <w:t>r</w:t>
      </w:r>
      <w:r w:rsidRPr="00BB11AF">
        <w:t>poration des valeurs varie en fonction de la conjon</w:t>
      </w:r>
      <w:r w:rsidRPr="00BB11AF">
        <w:t>c</w:t>
      </w:r>
      <w:r w:rsidRPr="00BB11AF">
        <w:t>ture, mais aussi par rapport à l'émergence d'une nouvelle donne. Celle-ci ne remplace ni ne modifie complètement le cadre hégémonique, mais elle tran</w:t>
      </w:r>
      <w:r w:rsidRPr="00BB11AF">
        <w:t>s</w:t>
      </w:r>
      <w:r w:rsidRPr="00BB11AF">
        <w:t>forme l'articulation de certains de ses éléments constitutifs en les déf</w:t>
      </w:r>
      <w:r w:rsidRPr="00BB11AF">
        <w:t>i</w:t>
      </w:r>
      <w:r w:rsidRPr="00BB11AF">
        <w:t>nissant autrement. La fragmentation du cadre hégémonique à la suite de la crise économique au Japon a créé un espace permettant la mise en place de ces nouvelles défin</w:t>
      </w:r>
      <w:r w:rsidRPr="00BB11AF">
        <w:t>i</w:t>
      </w:r>
      <w:r w:rsidRPr="00BB11AF">
        <w:t>tions. En d'autres termes, la crise a révélé ce qui était naturalisé ou présupposé dans le cadre hégémon</w:t>
      </w:r>
      <w:r w:rsidRPr="00BB11AF">
        <w:t>i</w:t>
      </w:r>
      <w:r w:rsidRPr="00BB11AF">
        <w:t>que mis en place dans les entreprises - c'est-à-dire le respect de la hi</w:t>
      </w:r>
      <w:r w:rsidRPr="00BB11AF">
        <w:t>é</w:t>
      </w:r>
      <w:r w:rsidRPr="00BB11AF">
        <w:t>rarchie, les rôles subalternes confiés aux femmes plutôt qu'aux ho</w:t>
      </w:r>
      <w:r w:rsidRPr="00BB11AF">
        <w:t>m</w:t>
      </w:r>
      <w:r w:rsidRPr="00BB11AF">
        <w:t>mes, etc. - et a par le fait même permis de mettre en lumière plusieurs contradi</w:t>
      </w:r>
      <w:r w:rsidRPr="00BB11AF">
        <w:t>c</w:t>
      </w:r>
      <w:r w:rsidRPr="00BB11AF">
        <w:t>tions dans les structures existantes. Cette fragmentation du cadre hégémonique a amené plus de liberté, mais aussi plus de préc</w:t>
      </w:r>
      <w:r w:rsidRPr="00BB11AF">
        <w:t>a</w:t>
      </w:r>
      <w:r w:rsidRPr="00BB11AF">
        <w:t>rité et d'incertitude en ce qui concerne le travail des jeunes femmes. La crise révèle les transformations de ce que j'appelle la « vie flex</w:t>
      </w:r>
      <w:r w:rsidRPr="00BB11AF">
        <w:t>i</w:t>
      </w:r>
      <w:r w:rsidRPr="00BB11AF">
        <w:t>ble » dans laquelle les choix, les affects, les désirs et les parcours de vie sont r</w:t>
      </w:r>
      <w:r w:rsidRPr="00BB11AF">
        <w:t>é</w:t>
      </w:r>
      <w:r w:rsidRPr="00BB11AF">
        <w:t>articulés à travers la vie quotidienne, divers processus de légitimation de l'ordre établi et des transformations plus larges, n</w:t>
      </w:r>
      <w:r w:rsidRPr="00BB11AF">
        <w:t>o</w:t>
      </w:r>
      <w:r w:rsidRPr="00BB11AF">
        <w:t>tamment celle du capitalisme.</w:t>
      </w:r>
    </w:p>
    <w:p w:rsidR="003A3061" w:rsidRPr="00BB11AF" w:rsidRDefault="003A3061" w:rsidP="003A3061">
      <w:pPr>
        <w:spacing w:before="120" w:after="120"/>
        <w:jc w:val="both"/>
      </w:pPr>
      <w:r w:rsidRPr="00BB11AF">
        <w:t>[98]</w:t>
      </w:r>
    </w:p>
    <w:p w:rsidR="003A3061" w:rsidRPr="00BB11AF" w:rsidRDefault="003A3061" w:rsidP="003A3061">
      <w:pPr>
        <w:spacing w:before="120" w:after="120"/>
        <w:jc w:val="both"/>
      </w:pPr>
    </w:p>
    <w:p w:rsidR="003A3061" w:rsidRPr="00BB11AF" w:rsidRDefault="003A3061" w:rsidP="003A3061">
      <w:pPr>
        <w:pStyle w:val="planche"/>
      </w:pPr>
      <w:r w:rsidRPr="00BB11AF">
        <w:t>Références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Bernier, B. 1994. « La famille comme modèle/métaphore de l'e</w:t>
      </w:r>
      <w:r w:rsidRPr="00BB11AF">
        <w:t>n</w:t>
      </w:r>
      <w:r w:rsidRPr="00BB11AF">
        <w:t xml:space="preserve">treprise au Japon ». </w:t>
      </w:r>
      <w:r w:rsidRPr="00BB11AF">
        <w:rPr>
          <w:i/>
        </w:rPr>
        <w:t>L'Ethnographie</w:t>
      </w:r>
      <w:r w:rsidRPr="00BB11AF">
        <w:t>, 90(1) : 125-50.</w:t>
      </w:r>
    </w:p>
    <w:p w:rsidR="003A3061" w:rsidRPr="00BB11AF" w:rsidRDefault="003A3061" w:rsidP="003A3061">
      <w:pPr>
        <w:spacing w:before="120" w:after="120"/>
        <w:jc w:val="both"/>
      </w:pPr>
      <w:r w:rsidRPr="00BB11AF">
        <w:t>Bishop, B. 2000. « The Diversification of Employment and W</w:t>
      </w:r>
      <w:r w:rsidRPr="00BB11AF">
        <w:t>o</w:t>
      </w:r>
      <w:r w:rsidRPr="00BB11AF">
        <w:t>men's Work ». In Globalization and social Change in Conte</w:t>
      </w:r>
      <w:r w:rsidRPr="00BB11AF">
        <w:t>m</w:t>
      </w:r>
      <w:r w:rsidRPr="00BB11AF">
        <w:t>porary Japan. J. S. Eades, T. Gill et H. Befu, dir. Pp. 93-109. Me</w:t>
      </w:r>
      <w:r w:rsidRPr="00BB11AF">
        <w:t>l</w:t>
      </w:r>
      <w:r w:rsidRPr="00BB11AF">
        <w:t>bourne : Trans Pacific Press.</w:t>
      </w:r>
    </w:p>
    <w:p w:rsidR="003A3061" w:rsidRPr="00BB11AF" w:rsidRDefault="003A3061" w:rsidP="003A3061">
      <w:pPr>
        <w:spacing w:before="120" w:after="120"/>
        <w:jc w:val="both"/>
      </w:pPr>
      <w:r w:rsidRPr="00BB11AF">
        <w:t xml:space="preserve">Boltanski, L. et E. Chiapello. 1999. </w:t>
      </w:r>
      <w:r w:rsidRPr="00BB11AF">
        <w:rPr>
          <w:i/>
        </w:rPr>
        <w:t>Le nouvel esprit du capitali</w:t>
      </w:r>
      <w:r w:rsidRPr="00BB11AF">
        <w:rPr>
          <w:i/>
        </w:rPr>
        <w:t>s</w:t>
      </w:r>
      <w:r w:rsidRPr="00BB11AF">
        <w:rPr>
          <w:i/>
        </w:rPr>
        <w:t>me</w:t>
      </w:r>
      <w:r w:rsidRPr="00BB11AF">
        <w:t>. Paris : Gallimard.</w:t>
      </w:r>
    </w:p>
    <w:p w:rsidR="003A3061" w:rsidRPr="00BB11AF" w:rsidRDefault="003A3061" w:rsidP="003A3061">
      <w:pPr>
        <w:spacing w:before="120" w:after="120"/>
        <w:jc w:val="both"/>
      </w:pPr>
      <w:r w:rsidRPr="00BB11AF">
        <w:t xml:space="preserve">Brinton, M. 1992. </w:t>
      </w:r>
      <w:r w:rsidRPr="00BB11AF">
        <w:rPr>
          <w:i/>
        </w:rPr>
        <w:t>Women and the Economic Miracle</w:t>
      </w:r>
      <w:r w:rsidRPr="00BB11AF">
        <w:t>. Berkeley : University of California Press.</w:t>
      </w:r>
    </w:p>
    <w:p w:rsidR="003A3061" w:rsidRPr="00BB11AF" w:rsidRDefault="003A3061" w:rsidP="003A3061">
      <w:pPr>
        <w:spacing w:before="120" w:after="120"/>
        <w:jc w:val="both"/>
      </w:pPr>
      <w:r w:rsidRPr="00BB11AF">
        <w:t xml:space="preserve">_____, 2011. </w:t>
      </w:r>
      <w:r w:rsidRPr="00BB11AF">
        <w:rPr>
          <w:i/>
        </w:rPr>
        <w:t>Lost in Transition : Youth, Work, and Instability in Posti</w:t>
      </w:r>
      <w:r w:rsidRPr="00BB11AF">
        <w:rPr>
          <w:i/>
        </w:rPr>
        <w:t>n</w:t>
      </w:r>
      <w:r w:rsidRPr="00BB11AF">
        <w:rPr>
          <w:i/>
        </w:rPr>
        <w:t>dustrial Japan</w:t>
      </w:r>
      <w:r w:rsidRPr="00BB11AF">
        <w:t>. Cambridge : Cambridge University Press.</w:t>
      </w:r>
    </w:p>
    <w:p w:rsidR="003A3061" w:rsidRPr="00BB11AF" w:rsidRDefault="003A3061" w:rsidP="003A3061">
      <w:pPr>
        <w:spacing w:before="120" w:after="120"/>
        <w:jc w:val="both"/>
      </w:pPr>
      <w:r w:rsidRPr="00BB11AF">
        <w:t xml:space="preserve">Broadbent, K. 2003. </w:t>
      </w:r>
      <w:r w:rsidRPr="00BB11AF">
        <w:rPr>
          <w:i/>
        </w:rPr>
        <w:t>Women's Employment in Japan : The Exp</w:t>
      </w:r>
      <w:r w:rsidRPr="00BB11AF">
        <w:rPr>
          <w:i/>
        </w:rPr>
        <w:t>e</w:t>
      </w:r>
      <w:r w:rsidRPr="00BB11AF">
        <w:rPr>
          <w:i/>
        </w:rPr>
        <w:t>rience of Part-Time Workers</w:t>
      </w:r>
      <w:r w:rsidRPr="00BB11AF">
        <w:t>. London and New York : Routle</w:t>
      </w:r>
      <w:r w:rsidRPr="00BB11AF">
        <w:t>d</w:t>
      </w:r>
      <w:r w:rsidRPr="00BB11AF">
        <w:t>ge.</w:t>
      </w:r>
    </w:p>
    <w:p w:rsidR="003A3061" w:rsidRPr="00BB11AF" w:rsidRDefault="003A3061" w:rsidP="003A3061">
      <w:pPr>
        <w:spacing w:before="120" w:after="120"/>
        <w:jc w:val="both"/>
      </w:pPr>
      <w:r w:rsidRPr="00BB11AF">
        <w:t xml:space="preserve">Burawoy, M. 2006. </w:t>
      </w:r>
      <w:r w:rsidRPr="00BB11AF">
        <w:rPr>
          <w:i/>
        </w:rPr>
        <w:t>Intellectuals and the Transformation of Soci</w:t>
      </w:r>
      <w:r w:rsidRPr="00BB11AF">
        <w:rPr>
          <w:i/>
        </w:rPr>
        <w:t>e</w:t>
      </w:r>
      <w:r w:rsidRPr="00BB11AF">
        <w:rPr>
          <w:i/>
        </w:rPr>
        <w:t>ty : Gramsci Meets Bourdieu</w:t>
      </w:r>
      <w:r w:rsidRPr="00BB11AF">
        <w:t>. Non-publié.</w:t>
      </w:r>
    </w:p>
    <w:p w:rsidR="003A3061" w:rsidRPr="00BB11AF" w:rsidRDefault="003A3061" w:rsidP="003A3061">
      <w:pPr>
        <w:spacing w:before="120" w:after="120"/>
        <w:jc w:val="both"/>
      </w:pPr>
      <w:r w:rsidRPr="00BB11AF">
        <w:t xml:space="preserve">Comaroff, J. et J. Comaroff. 1991. </w:t>
      </w:r>
      <w:r w:rsidRPr="00BB11AF">
        <w:rPr>
          <w:i/>
        </w:rPr>
        <w:t>Of Revelation and Revol</w:t>
      </w:r>
      <w:r w:rsidRPr="00BB11AF">
        <w:rPr>
          <w:i/>
        </w:rPr>
        <w:t>u</w:t>
      </w:r>
      <w:r w:rsidRPr="00BB11AF">
        <w:rPr>
          <w:i/>
        </w:rPr>
        <w:t>tion</w:t>
      </w:r>
      <w:r w:rsidRPr="00BB11AF">
        <w:t>. Vol. 1. Chicago : Chicago University Press.</w:t>
      </w:r>
    </w:p>
    <w:p w:rsidR="003A3061" w:rsidRPr="00BB11AF" w:rsidRDefault="003A3061" w:rsidP="003A3061">
      <w:pPr>
        <w:spacing w:before="120" w:after="120"/>
        <w:jc w:val="both"/>
      </w:pPr>
      <w:r w:rsidRPr="00BB11AF">
        <w:t xml:space="preserve">Dubuc, C-E. 2009. </w:t>
      </w:r>
      <w:r w:rsidRPr="00BB11AF">
        <w:rPr>
          <w:i/>
        </w:rPr>
        <w:t>A Reinterpretation of Japanese Women's La</w:t>
      </w:r>
      <w:r w:rsidRPr="00BB11AF">
        <w:rPr>
          <w:i/>
        </w:rPr>
        <w:t>n</w:t>
      </w:r>
      <w:r w:rsidRPr="00BB11AF">
        <w:rPr>
          <w:i/>
        </w:rPr>
        <w:t>guage : Unfolding Female Managers' Experiences and Choices</w:t>
      </w:r>
      <w:r w:rsidRPr="00BB11AF">
        <w:t>. Th</w:t>
      </w:r>
      <w:r w:rsidRPr="00BB11AF">
        <w:t>è</w:t>
      </w:r>
      <w:r w:rsidRPr="00BB11AF">
        <w:t>se de doctorat. Department of Cultural Anthropology, University of T</w:t>
      </w:r>
      <w:r w:rsidRPr="00BB11AF">
        <w:t>o</w:t>
      </w:r>
      <w:r w:rsidRPr="00BB11AF">
        <w:t>kyo.</w:t>
      </w:r>
    </w:p>
    <w:p w:rsidR="003A3061" w:rsidRPr="00BB11AF" w:rsidRDefault="003A3061" w:rsidP="003A3061">
      <w:pPr>
        <w:spacing w:before="120" w:after="120"/>
        <w:jc w:val="both"/>
      </w:pPr>
      <w:r w:rsidRPr="00BB11AF">
        <w:t xml:space="preserve">Garon, S. 1997. </w:t>
      </w:r>
      <w:r w:rsidRPr="00BB11AF">
        <w:rPr>
          <w:i/>
        </w:rPr>
        <w:t>Molding Japanese Minds : the State in Everyday Life</w:t>
      </w:r>
      <w:r w:rsidRPr="00BB11AF">
        <w:t>. Princeton : Princeton University Press.</w:t>
      </w:r>
    </w:p>
    <w:p w:rsidR="003A3061" w:rsidRPr="00BB11AF" w:rsidRDefault="003A3061" w:rsidP="003A3061">
      <w:pPr>
        <w:spacing w:before="120" w:after="120"/>
        <w:jc w:val="both"/>
      </w:pPr>
      <w:r w:rsidRPr="00BB11AF">
        <w:t xml:space="preserve">Gordon, A. 1998. The </w:t>
      </w:r>
      <w:r w:rsidRPr="00BB11AF">
        <w:rPr>
          <w:i/>
        </w:rPr>
        <w:t>Wage of Affluence. Labor and Manag</w:t>
      </w:r>
      <w:r w:rsidRPr="00BB11AF">
        <w:rPr>
          <w:i/>
        </w:rPr>
        <w:t>e</w:t>
      </w:r>
      <w:r w:rsidRPr="00BB11AF">
        <w:rPr>
          <w:i/>
        </w:rPr>
        <w:t>ment in Postwar Japan</w:t>
      </w:r>
      <w:r w:rsidRPr="00BB11AF">
        <w:t>. Cambridge : Harvard University Press.</w:t>
      </w:r>
    </w:p>
    <w:p w:rsidR="003A3061" w:rsidRPr="00BB11AF" w:rsidRDefault="003A3061" w:rsidP="003A3061">
      <w:pPr>
        <w:spacing w:before="120" w:after="120"/>
        <w:jc w:val="both"/>
      </w:pPr>
      <w:r w:rsidRPr="00BB11AF">
        <w:t>Gottfried, H. 2003. « Temp(t)ing Bodies : Shaping Gender at work in Japan ». Sociology 37 : 257-276.</w:t>
      </w:r>
    </w:p>
    <w:p w:rsidR="003A3061" w:rsidRPr="00BB11AF" w:rsidRDefault="003A3061" w:rsidP="003A3061">
      <w:pPr>
        <w:spacing w:before="120" w:after="120"/>
        <w:jc w:val="both"/>
      </w:pPr>
      <w:r w:rsidRPr="00BB11AF">
        <w:t xml:space="preserve">Harvey, D. 2005. </w:t>
      </w:r>
      <w:r w:rsidRPr="00BB11AF">
        <w:rPr>
          <w:i/>
        </w:rPr>
        <w:t>A Brief History of Neoliberalism</w:t>
      </w:r>
      <w:r w:rsidRPr="00BB11AF">
        <w:t>. New York : Oxford University Press.</w:t>
      </w:r>
    </w:p>
    <w:p w:rsidR="003A3061" w:rsidRPr="00BB11AF" w:rsidRDefault="003A3061" w:rsidP="003A3061">
      <w:pPr>
        <w:spacing w:before="120" w:after="120"/>
        <w:jc w:val="both"/>
      </w:pPr>
      <w:r w:rsidRPr="00BB11AF">
        <w:t xml:space="preserve">Imamura, AE. 1996. </w:t>
      </w:r>
      <w:r w:rsidRPr="00BB11AF">
        <w:rPr>
          <w:i/>
        </w:rPr>
        <w:t>Re-lmaging Japanese Women</w:t>
      </w:r>
      <w:r w:rsidRPr="00BB11AF">
        <w:t>. Berkeley : University of California Press.</w:t>
      </w:r>
    </w:p>
    <w:p w:rsidR="003A3061" w:rsidRPr="00BB11AF" w:rsidRDefault="003A3061" w:rsidP="003A3061">
      <w:pPr>
        <w:spacing w:before="120" w:after="120"/>
        <w:jc w:val="both"/>
      </w:pPr>
      <w:r w:rsidRPr="00BB11AF">
        <w:t xml:space="preserve">Ishida, H. et D. H. Slater. 2009. </w:t>
      </w:r>
      <w:r w:rsidRPr="00BB11AF">
        <w:rPr>
          <w:i/>
        </w:rPr>
        <w:t>Social Class in Contemporary J</w:t>
      </w:r>
      <w:r w:rsidRPr="00BB11AF">
        <w:rPr>
          <w:i/>
        </w:rPr>
        <w:t>a</w:t>
      </w:r>
      <w:r w:rsidRPr="00BB11AF">
        <w:rPr>
          <w:i/>
        </w:rPr>
        <w:t>pan : Structures, Sorting and Strategies</w:t>
      </w:r>
      <w:r w:rsidRPr="00BB11AF">
        <w:t>. Oxon : Routledge.</w:t>
      </w:r>
    </w:p>
    <w:p w:rsidR="003A3061" w:rsidRPr="00BB11AF" w:rsidRDefault="003A3061" w:rsidP="003A3061">
      <w:pPr>
        <w:spacing w:before="120" w:after="120"/>
        <w:jc w:val="both"/>
      </w:pPr>
      <w:r w:rsidRPr="00BB11AF">
        <w:t xml:space="preserve">Kelly, W. et M. I. White. 2002. « At the Limits of New Middle Class Japan : Beyond 'Mainstream Consciousness' ». In </w:t>
      </w:r>
      <w:r w:rsidRPr="00BB11AF">
        <w:rPr>
          <w:i/>
        </w:rPr>
        <w:t>Social Co</w:t>
      </w:r>
      <w:r w:rsidRPr="00BB11AF">
        <w:rPr>
          <w:i/>
        </w:rPr>
        <w:t>n</w:t>
      </w:r>
      <w:r w:rsidRPr="00BB11AF">
        <w:rPr>
          <w:i/>
        </w:rPr>
        <w:t>tracts Under Stress : The Middle Classes of America, Europe, and Japan at the Turn of the Century</w:t>
      </w:r>
      <w:r w:rsidRPr="00BB11AF">
        <w:t>. Zunz, O., Schoppa L et Hiw</w:t>
      </w:r>
      <w:r w:rsidRPr="00BB11AF">
        <w:t>a</w:t>
      </w:r>
      <w:r w:rsidRPr="00BB11AF">
        <w:t>tari, N., dir. Pp. 232-254. New York : Russel Sage Foundation.</w:t>
      </w:r>
    </w:p>
    <w:p w:rsidR="003A3061" w:rsidRPr="00BB11AF" w:rsidRDefault="003A3061" w:rsidP="003A3061">
      <w:pPr>
        <w:spacing w:before="120" w:after="120"/>
        <w:jc w:val="both"/>
      </w:pPr>
      <w:r w:rsidRPr="00BB11AF">
        <w:t xml:space="preserve">Kingston, J. 2004. </w:t>
      </w:r>
      <w:r w:rsidRPr="00BB11AF">
        <w:rPr>
          <w:i/>
        </w:rPr>
        <w:t>Japan Quiet Transformation. Social Change and Civil Society in the Twenty-First Century</w:t>
      </w:r>
      <w:r w:rsidRPr="00BB11AF">
        <w:t>. London and New York : Routledge.</w:t>
      </w:r>
    </w:p>
    <w:p w:rsidR="003A3061" w:rsidRPr="00BB11AF" w:rsidRDefault="003A3061" w:rsidP="003A3061">
      <w:pPr>
        <w:spacing w:before="120" w:after="120"/>
        <w:jc w:val="both"/>
      </w:pPr>
      <w:r w:rsidRPr="00BB11AF">
        <w:t>Kosugi, R. 2004. « The Transition from School to Work in J</w:t>
      </w:r>
      <w:r w:rsidRPr="00BB11AF">
        <w:t>a</w:t>
      </w:r>
      <w:r w:rsidRPr="00BB11AF">
        <w:t xml:space="preserve">pan : Understanding the Increase in Freeter and Jobless Youth ». </w:t>
      </w:r>
      <w:r w:rsidRPr="00BB11AF">
        <w:rPr>
          <w:i/>
        </w:rPr>
        <w:t>Japan L</w:t>
      </w:r>
      <w:r w:rsidRPr="00BB11AF">
        <w:rPr>
          <w:i/>
        </w:rPr>
        <w:t>a</w:t>
      </w:r>
      <w:r w:rsidRPr="00BB11AF">
        <w:rPr>
          <w:i/>
        </w:rPr>
        <w:t>bor Review</w:t>
      </w:r>
      <w:r w:rsidRPr="00BB11AF">
        <w:t>, 1 : 52-67.</w:t>
      </w:r>
    </w:p>
    <w:p w:rsidR="003A3061" w:rsidRPr="00BB11AF" w:rsidRDefault="003A3061" w:rsidP="003A3061">
      <w:pPr>
        <w:spacing w:before="120" w:after="120"/>
        <w:jc w:val="both"/>
      </w:pPr>
      <w:r w:rsidRPr="00BB11AF">
        <w:t>[99]</w:t>
      </w:r>
    </w:p>
    <w:p w:rsidR="003A3061" w:rsidRPr="00BB11AF" w:rsidRDefault="003A3061" w:rsidP="003A3061">
      <w:pPr>
        <w:spacing w:before="120" w:after="120"/>
        <w:jc w:val="both"/>
      </w:pPr>
      <w:r w:rsidRPr="00BB11AF">
        <w:t>Moore, H. 201a. Still Life : Hopes, Desires and Satisfactions. Cambridge : Polity Press.</w:t>
      </w:r>
    </w:p>
    <w:p w:rsidR="003A3061" w:rsidRPr="00BB11AF" w:rsidRDefault="003A3061" w:rsidP="003A3061">
      <w:pPr>
        <w:spacing w:before="120" w:after="120"/>
        <w:jc w:val="both"/>
      </w:pPr>
      <w:r w:rsidRPr="00BB11AF">
        <w:t>Nakano, L. et M. Wagatsuma, 2004. « Mothers and their Unma</w:t>
      </w:r>
      <w:r w:rsidRPr="00BB11AF">
        <w:t>r</w:t>
      </w:r>
      <w:r w:rsidRPr="00BB11AF">
        <w:t>ried Daughters. An Intimate Look at Generational Change ». In Jap</w:t>
      </w:r>
      <w:r w:rsidRPr="00BB11AF">
        <w:t>a</w:t>
      </w:r>
      <w:r w:rsidRPr="00BB11AF">
        <w:t>n's Changing Generations : Are Young People Creating a New Soci</w:t>
      </w:r>
      <w:r w:rsidRPr="00BB11AF">
        <w:t>e</w:t>
      </w:r>
      <w:r w:rsidRPr="00BB11AF">
        <w:t>ty ? G. Mathews et B. White, dir. Pp. 137-154. London and New York : Routledge.</w:t>
      </w:r>
    </w:p>
    <w:p w:rsidR="003A3061" w:rsidRPr="00BB11AF" w:rsidRDefault="003A3061" w:rsidP="003A3061">
      <w:pPr>
        <w:spacing w:before="120" w:after="120"/>
        <w:jc w:val="both"/>
      </w:pPr>
      <w:r w:rsidRPr="00BB11AF">
        <w:t>Okano, K. H. 2009. Young Women in Japon. Transitions to Adut</w:t>
      </w:r>
      <w:r w:rsidRPr="00BB11AF">
        <w:t>l</w:t>
      </w:r>
      <w:r w:rsidRPr="00BB11AF">
        <w:t>hood. London and New York : Routledge.</w:t>
      </w:r>
    </w:p>
    <w:p w:rsidR="003A3061" w:rsidRPr="00BB11AF" w:rsidRDefault="003A3061" w:rsidP="003A3061">
      <w:pPr>
        <w:spacing w:before="120" w:after="120"/>
        <w:jc w:val="both"/>
      </w:pPr>
      <w:r w:rsidRPr="00BB11AF">
        <w:t>Ogasawara, Y. 2002. Office Ladies and Salaried Men : Power, Gender, and Work in Japanese Companies. Berkeley and Los Ang</w:t>
      </w:r>
      <w:r w:rsidRPr="00BB11AF">
        <w:t>e</w:t>
      </w:r>
      <w:r w:rsidRPr="00BB11AF">
        <w:t>les : University of California Press.</w:t>
      </w:r>
    </w:p>
    <w:p w:rsidR="003A3061" w:rsidRPr="00BB11AF" w:rsidRDefault="003A3061" w:rsidP="003A3061">
      <w:pPr>
        <w:spacing w:before="120" w:after="120"/>
        <w:jc w:val="both"/>
      </w:pPr>
      <w:r w:rsidRPr="00BB11AF">
        <w:t>Osawa, M. 2000. « Government Approaches to Gender Equal</w:t>
      </w:r>
      <w:r w:rsidRPr="00BB11AF">
        <w:t>i</w:t>
      </w:r>
      <w:r w:rsidRPr="00BB11AF">
        <w:t>ty in the Mid-1990s ». Social Science Japon Journal 3 :3-19.</w:t>
      </w:r>
    </w:p>
    <w:p w:rsidR="003A3061" w:rsidRPr="00BB11AF" w:rsidRDefault="003A3061" w:rsidP="003A3061">
      <w:pPr>
        <w:spacing w:before="120" w:after="120"/>
        <w:jc w:val="both"/>
      </w:pPr>
      <w:r w:rsidRPr="00BB11AF">
        <w:t>Osawa, M. 2001. « People in Irregular Modes of Employment : Are They Really Not Subject to Discrimination ? ». Social Science Japon Journal 4 :183-199.</w:t>
      </w:r>
    </w:p>
    <w:p w:rsidR="003A3061" w:rsidRPr="00BB11AF" w:rsidRDefault="003A3061" w:rsidP="003A3061">
      <w:pPr>
        <w:spacing w:before="120" w:after="120"/>
        <w:jc w:val="both"/>
      </w:pPr>
      <w:r w:rsidRPr="00BB11AF">
        <w:t>Roberson, J. E. 1995. « Becoming Shakaijin : Working-class R</w:t>
      </w:r>
      <w:r w:rsidRPr="00BB11AF">
        <w:t>e</w:t>
      </w:r>
      <w:r w:rsidRPr="00BB11AF">
        <w:t>production in Japan ». Ethnology 34 :293- 314.</w:t>
      </w:r>
    </w:p>
    <w:p w:rsidR="003A3061" w:rsidRPr="00BB11AF" w:rsidRDefault="003A3061" w:rsidP="003A3061">
      <w:pPr>
        <w:spacing w:before="120" w:after="120"/>
        <w:jc w:val="both"/>
      </w:pPr>
      <w:r w:rsidRPr="00BB11AF">
        <w:t>Roberts, G. 2005. « Balancing Work and Life : Whose Work ? Whose Life ? Whose Balance ? ». Asian Perspective 29(</w:t>
      </w:r>
      <w:r w:rsidRPr="00BB11AF">
        <w:rPr>
          <w:vertAlign w:val="superscript"/>
        </w:rPr>
        <w:t>1</w:t>
      </w:r>
      <w:r w:rsidRPr="00BB11AF">
        <w:t>) :175-211.</w:t>
      </w:r>
    </w:p>
    <w:p w:rsidR="003A3061" w:rsidRPr="00BB11AF" w:rsidRDefault="003A3061" w:rsidP="003A3061">
      <w:pPr>
        <w:spacing w:before="120" w:after="120"/>
        <w:jc w:val="both"/>
      </w:pPr>
      <w:r w:rsidRPr="00BB11AF">
        <w:t>Sasagawa, A., G. Mathews et B. White, 2004. « Centered Selves and Life choices : Changing Attitudes of Young Educated M</w:t>
      </w:r>
      <w:r w:rsidRPr="00BB11AF">
        <w:t>o</w:t>
      </w:r>
      <w:r w:rsidRPr="00BB11AF">
        <w:t>thers ». In Japan's Changing Generations. G. Mathews et B. White, dir. Pp. 171- 188. London and New York : Routledge.</w:t>
      </w:r>
    </w:p>
    <w:p w:rsidR="003A3061" w:rsidRPr="00BB11AF" w:rsidRDefault="003A3061" w:rsidP="003A3061">
      <w:pPr>
        <w:spacing w:before="120" w:after="120"/>
        <w:jc w:val="both"/>
      </w:pPr>
      <w:r w:rsidRPr="00BB11AF">
        <w:t>Shire, K.A. 2000. « Gendered Organization and Workplace Culture in Japanese Customer Services ». Social Science Japan Journal 3 :37-58.</w:t>
      </w:r>
    </w:p>
    <w:p w:rsidR="003A3061" w:rsidRPr="00BB11AF" w:rsidRDefault="003A3061" w:rsidP="003A3061">
      <w:pPr>
        <w:spacing w:before="120" w:after="120"/>
        <w:jc w:val="both"/>
      </w:pPr>
      <w:r w:rsidRPr="00BB11AF">
        <w:t>Tamanoi, M. 1990. « Women's Voices : Their Critique of the A</w:t>
      </w:r>
      <w:r w:rsidRPr="00BB11AF">
        <w:t>n</w:t>
      </w:r>
      <w:r w:rsidRPr="00BB11AF">
        <w:t>thropology of Japan ». Annual Review of Anthropology 19 :17-37.</w:t>
      </w:r>
    </w:p>
    <w:p w:rsidR="003A3061" w:rsidRPr="00BB11AF" w:rsidRDefault="003A3061" w:rsidP="003A3061">
      <w:pPr>
        <w:spacing w:before="120" w:after="120"/>
        <w:jc w:val="both"/>
      </w:pPr>
      <w:r w:rsidRPr="00BB11AF">
        <w:t>Uno, K. S. et B. Molony. 2005. Gendering Modem Japanese Hist</w:t>
      </w:r>
      <w:r w:rsidRPr="00BB11AF">
        <w:t>o</w:t>
      </w:r>
      <w:r w:rsidRPr="00BB11AF">
        <w:t>ry. Cambridge : Havard University Press.</w:t>
      </w:r>
    </w:p>
    <w:p w:rsidR="003A3061" w:rsidRPr="00BB11AF" w:rsidRDefault="003A3061" w:rsidP="003A3061">
      <w:pPr>
        <w:spacing w:before="120" w:after="120"/>
        <w:jc w:val="both"/>
      </w:pPr>
      <w:r w:rsidRPr="00BB11AF">
        <w:t>Weathers, C. 2005. « Equal Opportunity for Japanese Women -What Progress ? ». Japan Focus 1-5.</w:t>
      </w:r>
    </w:p>
    <w:p w:rsidR="003A3061" w:rsidRPr="00BB11AF" w:rsidRDefault="003A3061" w:rsidP="003A3061">
      <w:pPr>
        <w:spacing w:before="120" w:after="120"/>
        <w:jc w:val="both"/>
      </w:pPr>
      <w:r w:rsidRPr="00BB11AF">
        <w:t>White, M. 2002. Perfectly Japanese : Making Families in an Era of Upheaval. Berkeley and London : University of California Press.</w:t>
      </w:r>
    </w:p>
    <w:p w:rsidR="003A3061" w:rsidRDefault="003A3061" w:rsidP="003A3061">
      <w:pPr>
        <w:spacing w:before="120" w:after="120"/>
        <w:jc w:val="both"/>
      </w:pPr>
    </w:p>
    <w:p w:rsidR="003A3061" w:rsidRPr="00BB11AF" w:rsidRDefault="003A3061" w:rsidP="003A3061">
      <w:pPr>
        <w:spacing w:before="120" w:after="120"/>
        <w:jc w:val="both"/>
      </w:pPr>
      <w:r w:rsidRPr="00BB11AF">
        <w:t>[100]</w:t>
      </w:r>
    </w:p>
    <w:p w:rsidR="003A3061" w:rsidRPr="00BB11AF" w:rsidRDefault="003A3061" w:rsidP="003A3061">
      <w:pPr>
        <w:pStyle w:val="p"/>
      </w:pPr>
      <w:r w:rsidRPr="00BB11AF">
        <w:br w:type="page"/>
        <w:t>[101]</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hanging="20"/>
        <w:jc w:val="center"/>
        <w:rPr>
          <w:b/>
          <w:sz w:val="24"/>
        </w:rPr>
      </w:pPr>
      <w:bookmarkStart w:id="10" w:name="Crise_et_mise_en_crise_texte_07"/>
      <w:r w:rsidRPr="00BB11AF">
        <w:rPr>
          <w:b/>
          <w:i/>
          <w:color w:val="FF0000"/>
          <w:sz w:val="24"/>
        </w:rPr>
        <w:t>Crise</w:t>
      </w:r>
      <w:r w:rsidRPr="00BB11AF">
        <w:rPr>
          <w:b/>
          <w:sz w:val="24"/>
        </w:rPr>
        <w:t xml:space="preserve"> et mise en </w:t>
      </w:r>
      <w:r w:rsidRPr="00BB11AF">
        <w:rPr>
          <w:b/>
          <w:i/>
          <w:color w:val="FF0000"/>
          <w:sz w:val="24"/>
        </w:rPr>
        <w:t>crise</w:t>
      </w:r>
      <w:r w:rsidRPr="00BB11AF">
        <w:rPr>
          <w:b/>
          <w:sz w:val="24"/>
        </w:rPr>
        <w:t>.</w:t>
      </w:r>
    </w:p>
    <w:p w:rsidR="003A3061" w:rsidRPr="00BB11AF" w:rsidRDefault="003A3061" w:rsidP="003A3061">
      <w:pPr>
        <w:spacing w:after="120"/>
        <w:jc w:val="center"/>
        <w:rPr>
          <w:sz w:val="24"/>
        </w:rPr>
      </w:pPr>
      <w:r w:rsidRPr="00BB11AF">
        <w:rPr>
          <w:sz w:val="24"/>
        </w:rPr>
        <w:t>Actes du colloque annuel de l’ACSALF 2012.</w:t>
      </w:r>
    </w:p>
    <w:p w:rsidR="003A3061" w:rsidRPr="00BB11AF" w:rsidRDefault="003A3061" w:rsidP="003A3061">
      <w:pPr>
        <w:pStyle w:val="Titreniveau1"/>
      </w:pPr>
      <w:r w:rsidRPr="00BB11AF">
        <w:t>7</w:t>
      </w:r>
    </w:p>
    <w:p w:rsidR="003A3061" w:rsidRPr="00BB11AF" w:rsidRDefault="003A3061" w:rsidP="003A3061">
      <w:pPr>
        <w:pStyle w:val="Titreniveau2"/>
      </w:pPr>
      <w:r w:rsidRPr="00BB11AF">
        <w:t>“La crise des sexes en Somalie :</w:t>
      </w:r>
      <w:r w:rsidRPr="00BB11AF">
        <w:br/>
        <w:t>la prise de parole comme outil</w:t>
      </w:r>
      <w:r w:rsidRPr="00BB11AF">
        <w:br/>
        <w:t>d’émancipation de la femme.”</w:t>
      </w:r>
    </w:p>
    <w:bookmarkEnd w:id="10"/>
    <w:p w:rsidR="003A3061" w:rsidRPr="00BB11AF" w:rsidRDefault="003A3061" w:rsidP="003A3061">
      <w:pPr>
        <w:jc w:val="both"/>
        <w:rPr>
          <w:szCs w:val="36"/>
        </w:rPr>
      </w:pPr>
    </w:p>
    <w:p w:rsidR="003A3061" w:rsidRPr="00BB11AF" w:rsidRDefault="003A3061" w:rsidP="003A3061">
      <w:pPr>
        <w:pStyle w:val="suite"/>
      </w:pPr>
      <w:r w:rsidRPr="00BB11AF">
        <w:t>Par Nuru Koki Kyalo</w:t>
      </w:r>
    </w:p>
    <w:p w:rsidR="003A3061" w:rsidRPr="00BB11AF" w:rsidRDefault="003A3061" w:rsidP="003A3061">
      <w:pPr>
        <w:pStyle w:val="auteurst"/>
      </w:pPr>
      <w:r w:rsidRPr="00BB11AF">
        <w:t>Maseno University et Université de Limoges</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pStyle w:val="planche"/>
      </w:pPr>
      <w:r w:rsidRPr="00BB11AF">
        <w:t>Introduction</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right="90" w:firstLine="0"/>
        <w:jc w:val="both"/>
        <w:rPr>
          <w:sz w:val="20"/>
        </w:rPr>
      </w:pPr>
      <w:hyperlink w:anchor="tdm" w:history="1">
        <w:r w:rsidRPr="00BB11AF">
          <w:rPr>
            <w:rStyle w:val="Lienhypertexte"/>
            <w:sz w:val="20"/>
          </w:rPr>
          <w:t>Retour à la table des matières</w:t>
        </w:r>
      </w:hyperlink>
    </w:p>
    <w:p w:rsidR="003A3061" w:rsidRPr="00BB11AF" w:rsidRDefault="00356B29" w:rsidP="003A3061">
      <w:pPr>
        <w:spacing w:before="120" w:after="120"/>
        <w:jc w:val="both"/>
      </w:pPr>
      <w:r w:rsidRPr="00BB11AF">
        <w:rPr>
          <w:noProof/>
          <w:lang w:val="fr-FR" w:eastAsia="fr-FR"/>
        </w:rPr>
        <w:drawing>
          <wp:anchor distT="0" distB="0" distL="63500" distR="182880" simplePos="0" relativeHeight="251658752" behindDoc="1" locked="0" layoutInCell="1" allowOverlap="0">
            <wp:simplePos x="0" y="0"/>
            <wp:positionH relativeFrom="margin">
              <wp:posOffset>51435</wp:posOffset>
            </wp:positionH>
            <wp:positionV relativeFrom="margin">
              <wp:posOffset>4688840</wp:posOffset>
            </wp:positionV>
            <wp:extent cx="1130300" cy="787400"/>
            <wp:effectExtent l="25400" t="25400" r="12700" b="12700"/>
            <wp:wrapTight wrapText="bothSides">
              <wp:wrapPolygon edited="0">
                <wp:start x="-485" y="-697"/>
                <wp:lineTo x="-485" y="21948"/>
                <wp:lineTo x="21843" y="21948"/>
                <wp:lineTo x="21843" y="-697"/>
                <wp:lineTo x="-485" y="-697"/>
              </wp:wrapPolygon>
            </wp:wrapTight>
            <wp:docPr id="20" name="Image 15"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image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0300" cy="7874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3A3061" w:rsidRPr="00BB11AF">
        <w:t>Dans l'œuvre de Farah, qui trouve sa toile de fond dans la société somalienne, les romans racontent les péripéties des héros év</w:t>
      </w:r>
      <w:r w:rsidR="003A3061" w:rsidRPr="00BB11AF">
        <w:t>o</w:t>
      </w:r>
      <w:r w:rsidR="003A3061" w:rsidRPr="00BB11AF">
        <w:t>luant dans un environnement conflictuel, lis sont souvent mis à l'épreuve en poursuivant des quêtes qu'ils se donnent afin d'atteindre un objectif donné. Pour s'en sortir, ces héros sont contraints de lutter, soit verbalement, soit physiquement, soit sp</w:t>
      </w:r>
      <w:r w:rsidR="003A3061" w:rsidRPr="00BB11AF">
        <w:t>i</w:t>
      </w:r>
      <w:r w:rsidR="003A3061" w:rsidRPr="00BB11AF">
        <w:t>rituellement contre leurs opposants et leurs idéologies. Selon Gol</w:t>
      </w:r>
      <w:r w:rsidR="003A3061" w:rsidRPr="00BB11AF">
        <w:t>d</w:t>
      </w:r>
      <w:r w:rsidR="003A3061" w:rsidRPr="00BB11AF">
        <w:t>mann (1964), il existe une relation entre la forme rom</w:t>
      </w:r>
      <w:r w:rsidR="003A3061" w:rsidRPr="00BB11AF">
        <w:t>a</w:t>
      </w:r>
      <w:r w:rsidR="003A3061" w:rsidRPr="00BB11AF">
        <w:t>nesque et la structure du milieu social à l'intérieur duquel elle s'est développée. Goldmann a constaté que l'œuvre littéraire est l'expression d'une v</w:t>
      </w:r>
      <w:r w:rsidR="003A3061" w:rsidRPr="00BB11AF">
        <w:t>i</w:t>
      </w:r>
      <w:r w:rsidR="003A3061" w:rsidRPr="00BB11AF">
        <w:t>sion du monde. Chaque individu a une conscience relative de cette vision du monde, mais seulement ceux qui sont priv</w:t>
      </w:r>
      <w:r w:rsidR="003A3061" w:rsidRPr="00BB11AF">
        <w:t>i</w:t>
      </w:r>
      <w:r w:rsidR="003A3061" w:rsidRPr="00BB11AF">
        <w:t>légiés dans le groupe social ont la capacité de donner une structure cohérente à cette vision à travers des œuvres r</w:t>
      </w:r>
      <w:r w:rsidR="003A3061" w:rsidRPr="00BB11AF">
        <w:t>o</w:t>
      </w:r>
      <w:r w:rsidR="003A3061" w:rsidRPr="00BB11AF">
        <w:t>manesques. Bien que l'œuvre de Farah n'échappe pas à cette logique du parallélisme entre roman et soci</w:t>
      </w:r>
      <w:r w:rsidR="003A3061" w:rsidRPr="00BB11AF">
        <w:t>é</w:t>
      </w:r>
      <w:r w:rsidR="003A3061" w:rsidRPr="00BB11AF">
        <w:t>té, l'analyse de ses romans montre que son auteur ne se limite pas à la transposition stricte de la réalité somalienne, mais qu'au contra</w:t>
      </w:r>
      <w:r w:rsidR="003A3061" w:rsidRPr="00BB11AF">
        <w:t>i</w:t>
      </w:r>
      <w:r w:rsidR="003A3061" w:rsidRPr="00BB11AF">
        <w:t>re il dépasse l'homologie structurale décrite par Goldmann tout en exp</w:t>
      </w:r>
      <w:r w:rsidR="003A3061" w:rsidRPr="00BB11AF">
        <w:t>o</w:t>
      </w:r>
      <w:r w:rsidR="003A3061" w:rsidRPr="00BB11AF">
        <w:t>sant à travers ses personnages sa propre v</w:t>
      </w:r>
      <w:r w:rsidR="003A3061" w:rsidRPr="00BB11AF">
        <w:t>i</w:t>
      </w:r>
      <w:r w:rsidR="003A3061" w:rsidRPr="00BB11AF">
        <w:t>sion ; celle selon laquelle la solution potentielle à la crise somalienne passe par le biais de la fe</w:t>
      </w:r>
      <w:r w:rsidR="003A3061" w:rsidRPr="00BB11AF">
        <w:t>m</w:t>
      </w:r>
      <w:r w:rsidR="003A3061" w:rsidRPr="00BB11AF">
        <w:t>me éduquée et ayant pu s'extirper d'une société p</w:t>
      </w:r>
      <w:r w:rsidR="003A3061" w:rsidRPr="00BB11AF">
        <w:t>a</w:t>
      </w:r>
      <w:r w:rsidR="003A3061" w:rsidRPr="00BB11AF">
        <w:t>triarcale.</w:t>
      </w:r>
    </w:p>
    <w:p w:rsidR="003A3061" w:rsidRPr="00BB11AF" w:rsidRDefault="003A3061" w:rsidP="003A3061">
      <w:pPr>
        <w:spacing w:before="120" w:after="120"/>
        <w:jc w:val="both"/>
      </w:pPr>
      <w:r w:rsidRPr="00BB11AF">
        <w:t>Le roman Née de la côte d'Adam (1970)</w:t>
      </w:r>
      <w:r>
        <w:t> </w:t>
      </w:r>
      <w:r>
        <w:rPr>
          <w:rStyle w:val="Appelnotedebasdep"/>
        </w:rPr>
        <w:footnoteReference w:id="56"/>
      </w:r>
      <w:r w:rsidRPr="00BB11AF">
        <w:t xml:space="preserve"> raconte le destin d'une jeune fille somalienne, Ébla, âgée de 19 ans, qui s'engage dans pl</w:t>
      </w:r>
      <w:r w:rsidRPr="00BB11AF">
        <w:t>u</w:t>
      </w:r>
      <w:r w:rsidRPr="00BB11AF">
        <w:t>sieurs conflits avec les hommes en cherchant à suivre un destin autre que celui qui lui a été façonné par la doctrine de son peuple traditio</w:t>
      </w:r>
      <w:r w:rsidRPr="00BB11AF">
        <w:t>n</w:t>
      </w:r>
      <w:r w:rsidRPr="00BB11AF">
        <w:t>nel. D'abord, elle entre en conflit avec son grand-père quand ce de</w:t>
      </w:r>
      <w:r w:rsidRPr="00BB11AF">
        <w:t>r</w:t>
      </w:r>
      <w:r w:rsidRPr="00BB11AF">
        <w:t>nier lui impose de se marier à un vieil homme âgé de plus de quatre- vingt ans. Afin d'éviter ce mariage arrangé, elle fuit la concession. A</w:t>
      </w:r>
      <w:r w:rsidRPr="00BB11AF">
        <w:t>r</w:t>
      </w:r>
      <w:r w:rsidRPr="00BB11AF">
        <w:t>rivée chez son cousin à Belet-Wene, elle ne s'entend pas avec lui, ce dernier planifiant lui aussi un autre mari</w:t>
      </w:r>
      <w:r w:rsidRPr="00BB11AF">
        <w:t>a</w:t>
      </w:r>
      <w:r w:rsidRPr="00BB11AF">
        <w:t>ge forcé entre elle et</w:t>
      </w:r>
      <w:r>
        <w:t xml:space="preserve"> </w:t>
      </w:r>
      <w:r w:rsidRPr="00BB11AF">
        <w:t>[102]</w:t>
      </w:r>
      <w:r>
        <w:t xml:space="preserve"> </w:t>
      </w:r>
      <w:r w:rsidRPr="00BB11AF">
        <w:t>un vieux marchand de vaches. En se renseignant sur les projets de son cousin, Ébla prend encore la fuite. Elle finit par se marier à un jeune homme lettré, Awill, et s'installe à Mogadiscio. Dans leur m</w:t>
      </w:r>
      <w:r w:rsidRPr="00BB11AF">
        <w:t>a</w:t>
      </w:r>
      <w:r w:rsidRPr="00BB11AF">
        <w:t>riage, il y a plusieurs désaccords. Ébla, que nous prenons pour le pr</w:t>
      </w:r>
      <w:r w:rsidRPr="00BB11AF">
        <w:t>o</w:t>
      </w:r>
      <w:r w:rsidRPr="00BB11AF">
        <w:t>totype de la fille ou de la femme traditionnelle somalienne des a</w:t>
      </w:r>
      <w:r w:rsidRPr="00BB11AF">
        <w:t>n</w:t>
      </w:r>
      <w:r w:rsidRPr="00BB11AF">
        <w:t>nées 1960 et 1970, est victime d'injustices et de frustrations de tous genres qui lui sont imposées par la tradition de son peuple. À partir de cette fiction, nous avons trouvé intéressant d'examiner à travers l'œ</w:t>
      </w:r>
      <w:r w:rsidRPr="00BB11AF">
        <w:t>u</w:t>
      </w:r>
      <w:r w:rsidRPr="00BB11AF">
        <w:t>vre de Farah et l'actualité somalienne correspondante, le statut actuel de la femme vis-à-vis l'homme dans une société en proie à une crise socio-politique, économique et sécuritaire, co</w:t>
      </w:r>
      <w:r w:rsidRPr="00BB11AF">
        <w:t>m</w:t>
      </w:r>
      <w:r w:rsidRPr="00BB11AF">
        <w:t>me la Somalie. Mais qui est Nuruddin Farah ?</w:t>
      </w:r>
    </w:p>
    <w:p w:rsidR="003A3061" w:rsidRPr="00BB11AF" w:rsidRDefault="003A3061" w:rsidP="003A3061">
      <w:pPr>
        <w:spacing w:before="120" w:after="120"/>
        <w:jc w:val="both"/>
      </w:pPr>
      <w:r w:rsidRPr="00BB11AF">
        <w:t>Jusqu'en 2011, Nuruddin Farah, un romancier et essayiste d'or</w:t>
      </w:r>
      <w:r w:rsidRPr="00BB11AF">
        <w:t>i</w:t>
      </w:r>
      <w:r w:rsidRPr="00BB11AF">
        <w:t>gine somalienne, est l'auteur de onze romans et d'un témoignage parmi d'autres articles scientifiques, essais et pièces de théâtre. Écrivain d'expression anglaise, ses romans sont traduits en pl</w:t>
      </w:r>
      <w:r w:rsidRPr="00BB11AF">
        <w:t>u</w:t>
      </w:r>
      <w:r w:rsidRPr="00BB11AF">
        <w:t>sieurs langues comme le français et l'italien. Farah est né en 1945 à Baidoa. À l'âge de deux ans, sa famille a déménagé dans la région de l'Ogaden en Éthiopie où il a fréquenté l'école. En 1966, après un an dans la fon</w:t>
      </w:r>
      <w:r w:rsidRPr="00BB11AF">
        <w:t>c</w:t>
      </w:r>
      <w:r w:rsidRPr="00BB11AF">
        <w:t>tion publique en tant que commis, il est parti en I</w:t>
      </w:r>
      <w:r w:rsidRPr="00BB11AF">
        <w:t>n</w:t>
      </w:r>
      <w:r w:rsidRPr="00BB11AF">
        <w:t>de pour poursuivre ses études de premier cycle en littérature et ph</w:t>
      </w:r>
      <w:r w:rsidRPr="00BB11AF">
        <w:t>i</w:t>
      </w:r>
      <w:r w:rsidRPr="00BB11AF">
        <w:t>losophie. Il rentre en Somalie pour enseigner pendant une année et part ensuite pour la Grande-Bretagne pour étudier le théâtre. L'œ</w:t>
      </w:r>
      <w:r w:rsidRPr="00BB11AF">
        <w:t>u</w:t>
      </w:r>
      <w:r w:rsidRPr="00BB11AF">
        <w:t>vre littéraire de Farah débute en 1965, date qui a vu paraître deux titres non romanesques. Il publie son premier roman en 1970, Née de la côte d'Adam, un an après le coup d'État du général Moha</w:t>
      </w:r>
      <w:r w:rsidRPr="00BB11AF">
        <w:t>m</w:t>
      </w:r>
      <w:r w:rsidRPr="00BB11AF">
        <w:t>med Siad Barre. Le contenu de son deuxième roman Une aiguille nue (1975) lui a valu des menaces de mort et un auto-exil d'une durée de 22 ans. Le régime dictatorial de Barre est à l'origine de sa première trilogie intitulée Variations d'un thème du dictateur Afr</w:t>
      </w:r>
      <w:r w:rsidRPr="00BB11AF">
        <w:t>i</w:t>
      </w:r>
      <w:r w:rsidRPr="00BB11AF">
        <w:t>cain comprenant trois romans intitulés Du lait aigre-doux (1979), Sardines (1981) et Sésame ferme-toi (1983). Sa deuxième trilogie s'intitule Du sang au soleil et comprend les romans Territoires (1986), Dons (1986) et Secrets (1998). Son Hier, demain. Voix et témoignages de la diaspora somalienne (2000) est un essai qui r</w:t>
      </w:r>
      <w:r w:rsidRPr="00BB11AF">
        <w:t>a</w:t>
      </w:r>
      <w:r w:rsidRPr="00BB11AF">
        <w:t>conte les histoires vraies de réfugiés somaliens de la diaspora. Ses derniers romans incluent Exils (2003), Knots (2007) et Crossbones (2011)</w:t>
      </w:r>
      <w:r>
        <w:t> </w:t>
      </w:r>
      <w:r>
        <w:rPr>
          <w:rStyle w:val="Appelnotedebasdep"/>
        </w:rPr>
        <w:footnoteReference w:id="57"/>
      </w:r>
      <w:r w:rsidRPr="00BB11AF">
        <w:t xml:space="preserve"> et font sa dernière trilogie intitulée Passé imparfait</w:t>
      </w:r>
      <w:r>
        <w:t> </w:t>
      </w:r>
      <w:r>
        <w:rPr>
          <w:rStyle w:val="Appelnotedebasdep"/>
        </w:rPr>
        <w:footnoteReference w:id="58"/>
      </w:r>
      <w:r w:rsidRPr="00BB11AF">
        <w:t>. Dès son exil, Farah a commencé ce qui est devenu sa mission littéraire, celle de « garder [s]on pays vivant en écrivant à son sujet ». Farah a vécu dans plusieurs pays dans le monde avant de s'installer en Afrique du Sud. Étant le premier écrivain somalien de renommée internation</w:t>
      </w:r>
      <w:r w:rsidRPr="00BB11AF">
        <w:t>a</w:t>
      </w:r>
      <w:r w:rsidRPr="00BB11AF">
        <w:t>le, il a été décrit comme l'un des écrivains africains les plus impo</w:t>
      </w:r>
      <w:r w:rsidRPr="00BB11AF">
        <w:t>r</w:t>
      </w:r>
      <w:r w:rsidRPr="00BB11AF">
        <w:t xml:space="preserve">tants. Son œuvre, qui a été abondamment traduite, lui a valu des prix littéraires, dont le plus prestigieux fut le prix littéraire américain </w:t>
      </w:r>
      <w:r w:rsidRPr="00BB11AF">
        <w:rPr>
          <w:i/>
        </w:rPr>
        <w:t>Neu</w:t>
      </w:r>
      <w:r w:rsidRPr="00BB11AF">
        <w:rPr>
          <w:i/>
        </w:rPr>
        <w:t>s</w:t>
      </w:r>
      <w:r w:rsidRPr="00BB11AF">
        <w:rPr>
          <w:i/>
        </w:rPr>
        <w:t>tadt International Prize for Literature</w:t>
      </w:r>
      <w:r w:rsidRPr="00BB11AF">
        <w:t xml:space="preserve"> pour son roman </w:t>
      </w:r>
      <w:r w:rsidRPr="00BB11AF">
        <w:rPr>
          <w:i/>
        </w:rPr>
        <w:t>Née de la côte d'Adam</w:t>
      </w:r>
      <w:r>
        <w:t> </w:t>
      </w:r>
      <w:r>
        <w:rPr>
          <w:rStyle w:val="Appelnotedebasdep"/>
        </w:rPr>
        <w:footnoteReference w:id="59"/>
      </w:r>
      <w:r w:rsidRPr="00BB11AF">
        <w:t>.</w:t>
      </w:r>
    </w:p>
    <w:p w:rsidR="003A3061" w:rsidRPr="00BB11AF" w:rsidRDefault="003A3061" w:rsidP="003A3061">
      <w:pPr>
        <w:spacing w:before="120" w:after="120"/>
        <w:jc w:val="both"/>
      </w:pPr>
      <w:r w:rsidRPr="00BB11AF">
        <w:t>Cet article émane de notre mémoire de maîtrise soutenu en 2005 qui avait pour but d'étendre l'application de la théorie de la commun</w:t>
      </w:r>
      <w:r w:rsidRPr="00BB11AF">
        <w:t>i</w:t>
      </w:r>
      <w:r w:rsidRPr="00BB11AF">
        <w:t>cation conflictuelle mise en œuvre par Uli Windisch (1987) à une œ</w:t>
      </w:r>
      <w:r w:rsidRPr="00BB11AF">
        <w:t>u</w:t>
      </w:r>
      <w:r w:rsidRPr="00BB11AF">
        <w:t>vre littéraire afin de découvrir le fonctionnement de ce type de di</w:t>
      </w:r>
      <w:r w:rsidRPr="00BB11AF">
        <w:t>s</w:t>
      </w:r>
      <w:r w:rsidRPr="00BB11AF">
        <w:t>cours dans un contexte</w:t>
      </w:r>
      <w:r>
        <w:t xml:space="preserve"> </w:t>
      </w:r>
      <w:r w:rsidRPr="00BB11AF">
        <w:t>[103]</w:t>
      </w:r>
      <w:r>
        <w:t xml:space="preserve"> </w:t>
      </w:r>
      <w:r w:rsidRPr="00BB11AF">
        <w:t>social</w:t>
      </w:r>
      <w:r>
        <w:t> </w:t>
      </w:r>
      <w:r>
        <w:rPr>
          <w:rStyle w:val="Appelnotedebasdep"/>
        </w:rPr>
        <w:footnoteReference w:id="60"/>
      </w:r>
      <w:r w:rsidRPr="00BB11AF">
        <w:t>. Les résultats de la recherche nous ont fourni un profil de la femme somalienne incomprise et pi</w:t>
      </w:r>
      <w:r w:rsidRPr="00BB11AF">
        <w:t>é</w:t>
      </w:r>
      <w:r w:rsidRPr="00BB11AF">
        <w:t>gée dans une prison patriarc</w:t>
      </w:r>
      <w:r w:rsidRPr="00BB11AF">
        <w:t>a</w:t>
      </w:r>
      <w:r w:rsidRPr="00BB11AF">
        <w:t>le. Elle s'est opposée aux hommes tout en cherchant à se libérer de cette prison, mais Farah ne lui a pas offert toutes les conditions convenables pour réussir sa mission. L'œuvre de ce dernier est une vision perso</w:t>
      </w:r>
      <w:r w:rsidRPr="00BB11AF">
        <w:t>n</w:t>
      </w:r>
      <w:r w:rsidRPr="00BB11AF">
        <w:t>nelle portant sur ce coin du continent africain tout en montrant qu'un monde meilleur pour son pays natal est tout à fait concevable</w:t>
      </w:r>
      <w:r>
        <w:t> </w:t>
      </w:r>
      <w:r>
        <w:rPr>
          <w:rStyle w:val="Appelnotedebasdep"/>
        </w:rPr>
        <w:footnoteReference w:id="61"/>
      </w:r>
      <w:r w:rsidRPr="00BB11AF">
        <w:t>, seulement si une place équitable est acco</w:t>
      </w:r>
      <w:r w:rsidRPr="00BB11AF">
        <w:t>r</w:t>
      </w:r>
      <w:r w:rsidRPr="00BB11AF">
        <w:t>dée à la femme.</w:t>
      </w:r>
    </w:p>
    <w:p w:rsidR="003A3061" w:rsidRPr="00BB11AF" w:rsidRDefault="003A3061" w:rsidP="003A3061">
      <w:pPr>
        <w:spacing w:before="120" w:after="120"/>
        <w:jc w:val="both"/>
      </w:pPr>
      <w:r w:rsidRPr="00BB11AF">
        <w:t>Nous avons découvert Née de la côte d'Adam et son auteur gr</w:t>
      </w:r>
      <w:r w:rsidRPr="00BB11AF">
        <w:t>â</w:t>
      </w:r>
      <w:r w:rsidRPr="00BB11AF">
        <w:t>ce à notre directeur de mémoire. Le thème du conflit entre les sexes en Somalie, qui se reflète à travers les discours des personnages, deme</w:t>
      </w:r>
      <w:r w:rsidRPr="00BB11AF">
        <w:t>u</w:t>
      </w:r>
      <w:r w:rsidRPr="00BB11AF">
        <w:t>rait intéressant étant donné sa ressemblance avec la réalité non seul</w:t>
      </w:r>
      <w:r w:rsidRPr="00BB11AF">
        <w:t>e</w:t>
      </w:r>
      <w:r w:rsidRPr="00BB11AF">
        <w:t>ment en Somalie, mais aussi dans beaucoup d'a</w:t>
      </w:r>
      <w:r w:rsidRPr="00BB11AF">
        <w:t>u</w:t>
      </w:r>
      <w:r w:rsidRPr="00BB11AF">
        <w:t>tres communautés patriarcales en Afrique. Dès lors, le sujet du statut de la femme som</w:t>
      </w:r>
      <w:r w:rsidRPr="00BB11AF">
        <w:t>a</w:t>
      </w:r>
      <w:r w:rsidRPr="00BB11AF">
        <w:t>lienne a continué à susciter notre intérêt dans les romans de Farah ; malgré que le cas de la Somalie soit un peu particulier en raison de l'effondrement de l'ordre civil et des gue</w:t>
      </w:r>
      <w:r w:rsidRPr="00BB11AF">
        <w:t>r</w:t>
      </w:r>
      <w:r w:rsidRPr="00BB11AF">
        <w:t>res interclaniques.</w:t>
      </w:r>
    </w:p>
    <w:p w:rsidR="003A3061" w:rsidRPr="00BB11AF" w:rsidRDefault="003A3061" w:rsidP="003A3061">
      <w:pPr>
        <w:spacing w:before="120" w:after="120"/>
        <w:jc w:val="both"/>
      </w:pPr>
      <w:r w:rsidRPr="00BB11AF">
        <w:t>Certes, il existe beaucoup d'études littéraires et critiques autour de l'œuvre de Farah, mais rares sont celles qui traitent directement de la nature du conflit opposant la femme et l'homme somaliens en tant que problème social qui alimente et aggrave la crise socio-politique en Somalie. Ces études abordent divers thèmes évidents dans l'œuvre de Farah allant de la dictature, de l'identité de soi, de l'ethnicité, du post-colonialisme, du modernisme jusqu'à l'aide humanitaire sans nécessa</w:t>
      </w:r>
      <w:r w:rsidRPr="00BB11AF">
        <w:t>i</w:t>
      </w:r>
      <w:r w:rsidRPr="00BB11AF">
        <w:t>rement se plonger dans une étude profonde et diachronique d'un thème singulier</w:t>
      </w:r>
      <w:r>
        <w:t> </w:t>
      </w:r>
      <w:r>
        <w:rPr>
          <w:rStyle w:val="Appelnotedebasdep"/>
        </w:rPr>
        <w:footnoteReference w:id="62"/>
      </w:r>
      <w:r w:rsidRPr="00BB11AF">
        <w:t>.</w:t>
      </w:r>
      <w:r>
        <w:t xml:space="preserve"> </w:t>
      </w:r>
      <w:r w:rsidRPr="00BB11AF">
        <w:t>De plus, les études qui s'intéressent à la condition des pe</w:t>
      </w:r>
      <w:r w:rsidRPr="00BB11AF">
        <w:t>r</w:t>
      </w:r>
      <w:r w:rsidRPr="00BB11AF">
        <w:t>sonnages féminins chez Farah nous semblent se limiter à la r</w:t>
      </w:r>
      <w:r w:rsidRPr="00BB11AF">
        <w:t>é</w:t>
      </w:r>
      <w:r w:rsidRPr="00BB11AF">
        <w:t>flexion générale au sujet de la culture, de l'Islam et du genre sans e</w:t>
      </w:r>
      <w:r w:rsidRPr="00BB11AF">
        <w:t>x</w:t>
      </w:r>
      <w:r w:rsidRPr="00BB11AF">
        <w:t>ploiter la crise somalienne d'un angle relevant d'un conflit entre les sexes en Somalie</w:t>
      </w:r>
      <w:r>
        <w:t> </w:t>
      </w:r>
      <w:r>
        <w:rPr>
          <w:rStyle w:val="Appelnotedebasdep"/>
        </w:rPr>
        <w:footnoteReference w:id="63"/>
      </w:r>
      <w:r w:rsidRPr="00BB11AF">
        <w:t>. Pourtant, les pe</w:t>
      </w:r>
      <w:r w:rsidRPr="00BB11AF">
        <w:t>r</w:t>
      </w:r>
      <w:r w:rsidRPr="00BB11AF">
        <w:t>sonnages féminins dans l'œuvre de Farah trouvent raison à se plaindre et à s'opposer ouvertement aux hommes et à leurs idéol</w:t>
      </w:r>
      <w:r w:rsidRPr="00BB11AF">
        <w:t>o</w:t>
      </w:r>
      <w:r w:rsidRPr="00BB11AF">
        <w:t>gies qui rabaissent la femme. Cette crise qui trouve son existence dans les dialogues et monologues de ces perso</w:t>
      </w:r>
      <w:r w:rsidRPr="00BB11AF">
        <w:t>n</w:t>
      </w:r>
      <w:r w:rsidRPr="00BB11AF">
        <w:t>nages aussi bien que dans la narration de l'auteur seraient des indic</w:t>
      </w:r>
      <w:r w:rsidRPr="00BB11AF">
        <w:t>a</w:t>
      </w:r>
      <w:r w:rsidRPr="00BB11AF">
        <w:t>teurs d'un discours féministe « farahien » qui questionne les pratiques ém</w:t>
      </w:r>
      <w:r w:rsidRPr="00BB11AF">
        <w:t>a</w:t>
      </w:r>
      <w:r w:rsidRPr="00BB11AF">
        <w:t>nant des pratiques traditionnelles et culturelles aggravées par la cond</w:t>
      </w:r>
      <w:r w:rsidRPr="00BB11AF">
        <w:t>i</w:t>
      </w:r>
      <w:r w:rsidRPr="00BB11AF">
        <w:t>tion actuelle d'une société de plus en plus dégradée par des circon</w:t>
      </w:r>
      <w:r w:rsidRPr="00BB11AF">
        <w:t>s</w:t>
      </w:r>
      <w:r w:rsidRPr="00BB11AF">
        <w:t>tances extra-culturelles telles le néo-colonialisme, la guerre interet</w:t>
      </w:r>
      <w:r w:rsidRPr="00BB11AF">
        <w:t>h</w:t>
      </w:r>
      <w:r w:rsidRPr="00BB11AF">
        <w:t>nique et la chute de l'ordre politique et économique. Le style didact</w:t>
      </w:r>
      <w:r w:rsidRPr="00BB11AF">
        <w:t>i</w:t>
      </w:r>
      <w:r w:rsidRPr="00BB11AF">
        <w:t>que et narratif de Farah témoigne de sa voix féministe, d'un int</w:t>
      </w:r>
      <w:r w:rsidRPr="00BB11AF">
        <w:t>é</w:t>
      </w:r>
      <w:r w:rsidRPr="00BB11AF">
        <w:t>rêt constant qui serait attendu dans l'œuvre d'un auteur féminin et non masculin et musulman de surcroit</w:t>
      </w:r>
      <w:r>
        <w:t> </w:t>
      </w:r>
      <w:r>
        <w:rPr>
          <w:rStyle w:val="Appelnotedebasdep"/>
        </w:rPr>
        <w:footnoteReference w:id="64"/>
      </w:r>
      <w:r>
        <w:t> </w:t>
      </w:r>
      <w:r w:rsidRPr="00BB11AF">
        <w:t xml:space="preserve">! </w:t>
      </w:r>
    </w:p>
    <w:p w:rsidR="003A3061" w:rsidRPr="00BB11AF" w:rsidRDefault="003A3061" w:rsidP="003A3061">
      <w:pPr>
        <w:spacing w:before="120" w:after="120"/>
        <w:jc w:val="both"/>
      </w:pPr>
      <w:r w:rsidRPr="00BB11AF">
        <w:t>En quoi l'approche de Windisch (1987) nous permet-elle d'éclairer l'œuvre de Farah ? Quels outils nous donne-t-elle ? Windisch a mo</w:t>
      </w:r>
      <w:r w:rsidRPr="00BB11AF">
        <w:t>n</w:t>
      </w:r>
      <w:r w:rsidRPr="00BB11AF">
        <w:t>tré, d'une part, qu'à partir des formes linguistiques et discursives, l'on</w:t>
      </w:r>
      <w:r>
        <w:t xml:space="preserve"> </w:t>
      </w:r>
      <w:r w:rsidRPr="00BB11AF">
        <w:t>[104]</w:t>
      </w:r>
      <w:r>
        <w:t xml:space="preserve"> </w:t>
      </w:r>
      <w:r w:rsidRPr="00BB11AF">
        <w:t>peut distinguer un discours conflictuel d'un discours non confli</w:t>
      </w:r>
      <w:r w:rsidRPr="00BB11AF">
        <w:t>c</w:t>
      </w:r>
      <w:r w:rsidRPr="00BB11AF">
        <w:t>tuel pour confirmer l'existence d'un conflit entre sujets. D'autre part, il a montré qu'il y a moyen d'étudier le discours conflictuel à tr</w:t>
      </w:r>
      <w:r w:rsidRPr="00BB11AF">
        <w:t>a</w:t>
      </w:r>
      <w:r w:rsidRPr="00BB11AF">
        <w:t>vers le fonctionnement des stratégies discursives utilisées pour effe</w:t>
      </w:r>
      <w:r w:rsidRPr="00BB11AF">
        <w:t>c</w:t>
      </w:r>
      <w:r w:rsidRPr="00BB11AF">
        <w:t>tuer ce type de discours. Un discours conflictuel implique un sujet parlant et son adversaire. Ce contre-discours est prononcé à l'attention d'un i</w:t>
      </w:r>
      <w:r w:rsidRPr="00BB11AF">
        <w:t>n</w:t>
      </w:r>
      <w:r w:rsidRPr="00BB11AF">
        <w:t>terlocuteur qu'il soit ou non présent ou d'un public qui joue le rôle du témoin. L'objectif d'un discours conflictuel est de combattre et de disqualifier les idées et les thèses de l'adversaire tout en le dom</w:t>
      </w:r>
      <w:r w:rsidRPr="00BB11AF">
        <w:t>i</w:t>
      </w:r>
      <w:r w:rsidRPr="00BB11AF">
        <w:t>nant et en faisant valoir les siens a</w:t>
      </w:r>
      <w:r w:rsidRPr="00BB11AF">
        <w:t>u</w:t>
      </w:r>
      <w:r w:rsidRPr="00BB11AF">
        <w:t>près de lui et du public-témoin.</w:t>
      </w:r>
    </w:p>
    <w:p w:rsidR="003A3061" w:rsidRPr="00BB11AF" w:rsidRDefault="003A3061" w:rsidP="003A3061">
      <w:pPr>
        <w:spacing w:before="120" w:after="120"/>
        <w:jc w:val="both"/>
      </w:pPr>
      <w:r w:rsidRPr="00BB11AF">
        <w:t>Selon Windisch (1987), la communication conflictuelle est une lu</w:t>
      </w:r>
      <w:r w:rsidRPr="00BB11AF">
        <w:t>t</w:t>
      </w:r>
      <w:r w:rsidRPr="00BB11AF">
        <w:t>te de rapports inégalitaires et hiérarchiques et vise la domination de l'autre. Le discours conflictuel prend une forme distincte qui le dista</w:t>
      </w:r>
      <w:r w:rsidRPr="00BB11AF">
        <w:t>n</w:t>
      </w:r>
      <w:r w:rsidRPr="00BB11AF">
        <w:t>cie de la communication dite harmonieuse. D'abord, le di</w:t>
      </w:r>
      <w:r w:rsidRPr="00BB11AF">
        <w:t>s</w:t>
      </w:r>
      <w:r w:rsidRPr="00BB11AF">
        <w:t>cours qui relève du conflit est parsemé de marques discrètes par exemple le lexique (des termes injurieux et péjoratifs, les verbes de jugement, les nég</w:t>
      </w:r>
      <w:r w:rsidRPr="00BB11AF">
        <w:t>a</w:t>
      </w:r>
      <w:r w:rsidRPr="00BB11AF">
        <w:t>tions, les propos non assumés, l'intonation, le registre familier, etc.) et les marques graphiques (guillemets, virgules, majuscules, p</w:t>
      </w:r>
      <w:r w:rsidRPr="00BB11AF">
        <w:t>a</w:t>
      </w:r>
      <w:r w:rsidRPr="00BB11AF">
        <w:t>renthèses, points d'exclamation, points d'interrogation, etc. surtout quand ils apparaissent nombreux et simult</w:t>
      </w:r>
      <w:r w:rsidRPr="00BB11AF">
        <w:t>a</w:t>
      </w:r>
      <w:r w:rsidRPr="00BB11AF">
        <w:t>nément). Il y a ensuite les moyens de traiter le discours adverse par des stratégies discursives distinctes et bien réfléchies. Windisch en distingue huit formes princ</w:t>
      </w:r>
      <w:r w:rsidRPr="00BB11AF">
        <w:t>i</w:t>
      </w:r>
      <w:r w:rsidRPr="00BB11AF">
        <w:t>pales. Pr</w:t>
      </w:r>
      <w:r w:rsidRPr="00BB11AF">
        <w:t>e</w:t>
      </w:r>
      <w:r w:rsidRPr="00BB11AF">
        <w:t>mièrement, le discours rapporté directement ou la citation d'une autorité légitime pour renforcer sa position ou d'une autorité i</w:t>
      </w:r>
      <w:r w:rsidRPr="00BB11AF">
        <w:t>l</w:t>
      </w:r>
      <w:r w:rsidRPr="00BB11AF">
        <w:t>légitime pour affaiblir la position du rival. Deuxièmement, le discours rapporté indirectement qui reprend le discours rival afin de le disqual</w:t>
      </w:r>
      <w:r w:rsidRPr="00BB11AF">
        <w:t>i</w:t>
      </w:r>
      <w:r w:rsidRPr="00BB11AF">
        <w:t>fier ou les différentes formes de négation afin de nier et de réfuter ou contester le fondement de l'énoncé adverse. Troisièmement, le déma</w:t>
      </w:r>
      <w:r w:rsidRPr="00BB11AF">
        <w:t>s</w:t>
      </w:r>
      <w:r w:rsidRPr="00BB11AF">
        <w:t>quage a pour but de porter le non-dit de l'adversaire au su du public et de chercher à rétablir la vérité qu'on affirme alors que par le masqu</w:t>
      </w:r>
      <w:r w:rsidRPr="00BB11AF">
        <w:t>a</w:t>
      </w:r>
      <w:r w:rsidRPr="00BB11AF">
        <w:t>ge, le sujet cherche à supprimer ou masquer les aspects de son idéol</w:t>
      </w:r>
      <w:r w:rsidRPr="00BB11AF">
        <w:t>o</w:t>
      </w:r>
      <w:r w:rsidRPr="00BB11AF">
        <w:t>gie qui ne correspondent pas à la sensibilité du moment. Quatrièm</w:t>
      </w:r>
      <w:r w:rsidRPr="00BB11AF">
        <w:t>e</w:t>
      </w:r>
      <w:r w:rsidRPr="00BB11AF">
        <w:t>ment, la concession vise à ravir le public rival en faisant se</w:t>
      </w:r>
      <w:r w:rsidRPr="00BB11AF">
        <w:t>m</w:t>
      </w:r>
      <w:r w:rsidRPr="00BB11AF">
        <w:t>blant de défendre ses arguments, mais en fait pour dire le contraire en concl</w:t>
      </w:r>
      <w:r w:rsidRPr="00BB11AF">
        <w:t>u</w:t>
      </w:r>
      <w:r w:rsidRPr="00BB11AF">
        <w:t>sion. L'ir</w:t>
      </w:r>
      <w:r w:rsidRPr="00BB11AF">
        <w:t>o</w:t>
      </w:r>
      <w:r w:rsidRPr="00BB11AF">
        <w:t>nie et la simulation constituent la cinquième et la sixième stratégie discursive, elles ont toutes deux pour but de ridiculiser le r</w:t>
      </w:r>
      <w:r w:rsidRPr="00BB11AF">
        <w:t>i</w:t>
      </w:r>
      <w:r w:rsidRPr="00BB11AF">
        <w:t>val et son discours pour les faire apparaître comme st</w:t>
      </w:r>
      <w:r w:rsidRPr="00BB11AF">
        <w:t>u</w:t>
      </w:r>
      <w:r w:rsidRPr="00BB11AF">
        <w:t>pides tout en se montrant plus intelligent. Septièmement, la représentation fantasmat</w:t>
      </w:r>
      <w:r w:rsidRPr="00BB11AF">
        <w:t>i</w:t>
      </w:r>
      <w:r w:rsidRPr="00BB11AF">
        <w:t>que est une stratégie qui utilise le péjoratif pour donner une image d</w:t>
      </w:r>
      <w:r w:rsidRPr="00BB11AF">
        <w:t>é</w:t>
      </w:r>
      <w:r w:rsidRPr="00BB11AF">
        <w:t>formée de l'autre, celle qu'on veut donner de l'adversaire. E</w:t>
      </w:r>
      <w:r w:rsidRPr="00BB11AF">
        <w:t>n</w:t>
      </w:r>
      <w:r w:rsidRPr="00BB11AF">
        <w:t>fin, ce que Windisch appelle « stratégie de la guerre invisible » prend la fo</w:t>
      </w:r>
      <w:r w:rsidRPr="00BB11AF">
        <w:t>r</w:t>
      </w:r>
      <w:r w:rsidRPr="00BB11AF">
        <w:t>me didactique pour informer le public-témoin sans laisser p</w:t>
      </w:r>
      <w:r w:rsidRPr="00BB11AF">
        <w:t>a</w:t>
      </w:r>
      <w:r w:rsidRPr="00BB11AF">
        <w:t>raître les indicateurs du conflit. Le contexte dans lequel le discours est prono</w:t>
      </w:r>
      <w:r w:rsidRPr="00BB11AF">
        <w:t>n</w:t>
      </w:r>
      <w:r w:rsidRPr="00BB11AF">
        <w:t>cé est celui qui rense</w:t>
      </w:r>
      <w:r w:rsidRPr="00BB11AF">
        <w:t>i</w:t>
      </w:r>
      <w:r w:rsidRPr="00BB11AF">
        <w:t>gne l'existence du conflit.</w:t>
      </w:r>
    </w:p>
    <w:p w:rsidR="003A3061" w:rsidRPr="00BB11AF" w:rsidRDefault="003A3061" w:rsidP="003A3061">
      <w:pPr>
        <w:spacing w:before="120" w:after="120"/>
        <w:jc w:val="both"/>
      </w:pPr>
      <w:r w:rsidRPr="00BB11AF">
        <w:t>Dans le langage conflictuel, on communique non seulement pour transmettre un message, mais aussi pour dominer, se prévaloir d'un avantage ou exclure l'autre. On se sert de la parole pour lutter, co</w:t>
      </w:r>
      <w:r w:rsidRPr="00BB11AF">
        <w:t>m</w:t>
      </w:r>
      <w:r w:rsidRPr="00BB11AF">
        <w:t>battre, vaincre, résister ou se révolter. Le sujet parlant attaque et m</w:t>
      </w:r>
      <w:r w:rsidRPr="00BB11AF">
        <w:t>a</w:t>
      </w:r>
      <w:r w:rsidRPr="00BB11AF">
        <w:t>nipule le discours de</w:t>
      </w:r>
      <w:r>
        <w:t xml:space="preserve"> </w:t>
      </w:r>
      <w:r w:rsidRPr="00BB11AF">
        <w:t>[105]</w:t>
      </w:r>
      <w:r>
        <w:t xml:space="preserve"> </w:t>
      </w:r>
      <w:r w:rsidRPr="00BB11AF">
        <w:t>l'adversaire afin de défendre sa position en mettant ce dernier dans une place idéologique qui le met mal à l'aise, celle qu'il ne veut pas occuper. Ainsi, nous avons appliqué cette thé</w:t>
      </w:r>
      <w:r w:rsidRPr="00BB11AF">
        <w:t>o</w:t>
      </w:r>
      <w:r w:rsidRPr="00BB11AF">
        <w:t>rie pour faire ressortir le conflit entre femme et homme au niveau di</w:t>
      </w:r>
      <w:r w:rsidRPr="00BB11AF">
        <w:t>s</w:t>
      </w:r>
      <w:r w:rsidRPr="00BB11AF">
        <w:t>cursif dans le r</w:t>
      </w:r>
      <w:r w:rsidRPr="00BB11AF">
        <w:t>o</w:t>
      </w:r>
      <w:r w:rsidRPr="00BB11AF">
        <w:t>man Née de la côte d'Adam. Avant d'aborder la notion de conflit dans notre corpus, nous avons jugé utile de faire compre</w:t>
      </w:r>
      <w:r w:rsidRPr="00BB11AF">
        <w:t>n</w:t>
      </w:r>
      <w:r w:rsidRPr="00BB11AF">
        <w:t>dre au préalable le contexte spatio-temporel dans lequel sont impla</w:t>
      </w:r>
      <w:r w:rsidRPr="00BB11AF">
        <w:t>n</w:t>
      </w:r>
      <w:r w:rsidRPr="00BB11AF">
        <w:t>tées les histoires de F</w:t>
      </w:r>
      <w:r w:rsidRPr="00BB11AF">
        <w:t>a</w:t>
      </w:r>
      <w:r w:rsidRPr="00BB11AF">
        <w:t>rah.</w:t>
      </w:r>
    </w:p>
    <w:p w:rsidR="003A3061" w:rsidRPr="00BB11AF" w:rsidRDefault="003A3061" w:rsidP="003A3061">
      <w:pPr>
        <w:spacing w:before="120" w:after="120"/>
        <w:jc w:val="both"/>
      </w:pPr>
      <w:r>
        <w:br w:type="page"/>
      </w:r>
    </w:p>
    <w:p w:rsidR="003A3061" w:rsidRPr="00BB11AF" w:rsidRDefault="003A3061" w:rsidP="003A3061">
      <w:pPr>
        <w:pStyle w:val="planche"/>
      </w:pPr>
      <w:r w:rsidRPr="00BB11AF">
        <w:t>La situation politique</w:t>
      </w:r>
      <w:r>
        <w:br/>
      </w:r>
      <w:r w:rsidRPr="00BB11AF">
        <w:t>et juridique de la Somalie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Les changements socio-économiques, politiques et juridiques de la Somalie peuvent être retracés à partir de l'arrivée des colon</w:t>
      </w:r>
      <w:r w:rsidRPr="00BB11AF">
        <w:t>i</w:t>
      </w:r>
      <w:r w:rsidRPr="00BB11AF">
        <w:t>sateurs dans les années 1870. Avant la présence de ces derniers, la Somalie avait deux systèmes juridiques fonctionnant conjointement pour r</w:t>
      </w:r>
      <w:r w:rsidRPr="00BB11AF">
        <w:t>é</w:t>
      </w:r>
      <w:r w:rsidRPr="00BB11AF">
        <w:t>soudre des conflits interpersonnels ou interclaniques. La loi islamique s'appliquait parallèlement à la loi traditionnelle, cette dernière étant la plus répandue. Les colonisateurs ont intr</w:t>
      </w:r>
      <w:r w:rsidRPr="00BB11AF">
        <w:t>o</w:t>
      </w:r>
      <w:r w:rsidRPr="00BB11AF">
        <w:t>duit leurs lois codifiées et communes et tout conflit fut désormais résolu par la Cour civile</w:t>
      </w:r>
      <w:r>
        <w:t> </w:t>
      </w:r>
      <w:r>
        <w:rPr>
          <w:rStyle w:val="Appelnotedebasdep"/>
        </w:rPr>
        <w:footnoteReference w:id="65"/>
      </w:r>
      <w:r w:rsidRPr="00BB11AF">
        <w:t>. À la veille de l'indépendance en 1960, l'État somalien essaie d'établir un gouvernement démocratique, mais des luttes claniques entre le Nord et le Sud du pays font de ces années une période instable. Le 21 oct</w:t>
      </w:r>
      <w:r w:rsidRPr="00BB11AF">
        <w:t>o</w:t>
      </w:r>
      <w:r w:rsidRPr="00BB11AF">
        <w:t>bre 1969, le Général Mohamed Siad Barre prend le pouvoir par un coup d'État et le garde pendant 22 ans. Pendant le règne du dict</w:t>
      </w:r>
      <w:r w:rsidRPr="00BB11AF">
        <w:t>a</w:t>
      </w:r>
      <w:r w:rsidRPr="00BB11AF">
        <w:t>teur Siad Barre, trois systèmes de législation coexistaient : la charia (la loi islamique), la loi civile et enfin la loi traditionnelle somalienne, cette dernière restant encore la plus commune</w:t>
      </w:r>
      <w:r>
        <w:t> </w:t>
      </w:r>
      <w:r>
        <w:rPr>
          <w:rStyle w:val="Appelnotedebasdep"/>
        </w:rPr>
        <w:footnoteReference w:id="66"/>
      </w:r>
      <w:r w:rsidRPr="00BB11AF">
        <w:t>.</w:t>
      </w:r>
    </w:p>
    <w:p w:rsidR="003A3061" w:rsidRPr="00BB11AF" w:rsidRDefault="003A3061" w:rsidP="003A3061">
      <w:pPr>
        <w:spacing w:before="120" w:after="120"/>
        <w:jc w:val="both"/>
      </w:pPr>
      <w:r w:rsidRPr="00BB11AF">
        <w:t>Le mécontentement envers le régime du président dictateur Siad Barre mena à son effondrement en 1991. Le pays est dès lors plo</w:t>
      </w:r>
      <w:r w:rsidRPr="00BB11AF">
        <w:t>n</w:t>
      </w:r>
      <w:r w:rsidRPr="00BB11AF">
        <w:t>gé dans un état de désordre sans gouvernement central. L'effo</w:t>
      </w:r>
      <w:r w:rsidRPr="00BB11AF">
        <w:t>n</w:t>
      </w:r>
      <w:r w:rsidRPr="00BB11AF">
        <w:t>drement du régime de Barre entraîna le pays dans une guerre civile qui a la</w:t>
      </w:r>
      <w:r w:rsidRPr="00BB11AF">
        <w:t>r</w:t>
      </w:r>
      <w:r w:rsidRPr="00BB11AF">
        <w:t>gement contribué à la dégradation de l'environnement s</w:t>
      </w:r>
      <w:r w:rsidRPr="00BB11AF">
        <w:t>o</w:t>
      </w:r>
      <w:r w:rsidRPr="00BB11AF">
        <w:t>cio-économique et à la fragmentation de l'État. Ainsi, le pays reste préo</w:t>
      </w:r>
      <w:r w:rsidRPr="00BB11AF">
        <w:t>c</w:t>
      </w:r>
      <w:r w:rsidRPr="00BB11AF">
        <w:t>cupé par des rivalités claniques pendant une longue période</w:t>
      </w:r>
      <w:r>
        <w:t> </w:t>
      </w:r>
      <w:r>
        <w:rPr>
          <w:rStyle w:val="Appelnotedebasdep"/>
        </w:rPr>
        <w:footnoteReference w:id="67"/>
      </w:r>
      <w:r w:rsidRPr="00BB11AF">
        <w:t>. Ce</w:t>
      </w:r>
      <w:r w:rsidRPr="00BB11AF">
        <w:t>t</w:t>
      </w:r>
      <w:r w:rsidRPr="00BB11AF">
        <w:t>te situation lui a procuré le statut d'État le plus défaillant au monde</w:t>
      </w:r>
      <w:r>
        <w:t> </w:t>
      </w:r>
      <w:r>
        <w:rPr>
          <w:rStyle w:val="Appelnotedebasdep"/>
        </w:rPr>
        <w:footnoteReference w:id="68"/>
      </w:r>
      <w:r w:rsidRPr="00BB11AF">
        <w:t>. En 2004, le Parlement fédéral de transition de la République de la Somalie fut formé de représentants de chacun des quatre grands clans somaliens en nombres égaux et a élu un président intérimaire, Abdu</w:t>
      </w:r>
      <w:r w:rsidRPr="00BB11AF">
        <w:t>l</w:t>
      </w:r>
      <w:r w:rsidRPr="00BB11AF">
        <w:t>lahi Yusuf Ahmed, Président du Puntland. Une nouvelle guerre éclate en 2006. Le 29 décembre 2008, le président Abdullahi Yusuf Ahmed démissionne</w:t>
      </w:r>
      <w:r>
        <w:t> </w:t>
      </w:r>
      <w:r>
        <w:rPr>
          <w:rStyle w:val="Appelnotedebasdep"/>
        </w:rPr>
        <w:footnoteReference w:id="69"/>
      </w:r>
      <w:r w:rsidRPr="00BB11AF">
        <w:t>. Le 10 septembre 2012, à Mogadiscio, les d</w:t>
      </w:r>
      <w:r w:rsidRPr="00BB11AF">
        <w:t>é</w:t>
      </w:r>
      <w:r w:rsidRPr="00BB11AF">
        <w:t>putés du gouvernement intérimaire se réunirent et élisent Hassan Sheikh co</w:t>
      </w:r>
      <w:r w:rsidRPr="00BB11AF">
        <w:t>m</w:t>
      </w:r>
      <w:r w:rsidRPr="00BB11AF">
        <w:t>me nouveau président du pays, une étape significative v</w:t>
      </w:r>
      <w:r w:rsidRPr="00BB11AF">
        <w:t>i</w:t>
      </w:r>
      <w:r w:rsidRPr="00BB11AF">
        <w:t>sant à mettre fin à des décennies de guerre. En dépit de cette étape marqua</w:t>
      </w:r>
      <w:r w:rsidRPr="00BB11AF">
        <w:t>n</w:t>
      </w:r>
      <w:r w:rsidRPr="00BB11AF">
        <w:t>te, les groupes guerriers contrôlaient encore de nombreuses régions du Sud et du Centre du pays, et o</w:t>
      </w:r>
      <w:r w:rsidRPr="00BB11AF">
        <w:t>r</w:t>
      </w:r>
      <w:r w:rsidRPr="00BB11AF">
        <w:t>ganisèrent des attentats-suicides</w:t>
      </w:r>
      <w:r>
        <w:t> </w:t>
      </w:r>
      <w:r>
        <w:rPr>
          <w:rStyle w:val="Appelnotedebasdep"/>
        </w:rPr>
        <w:footnoteReference w:id="70"/>
      </w:r>
      <w:r w:rsidRPr="00BB11AF">
        <w:t>. Une question importante reste à se poser ; où sont les femmes dans tout ça et quel est leur rôle dans un pays en crise économique, sécur</w:t>
      </w:r>
      <w:r w:rsidRPr="00BB11AF">
        <w:t>i</w:t>
      </w:r>
      <w:r w:rsidRPr="00BB11AF">
        <w:t>taire et socio-politique comme la Somalie ?</w:t>
      </w:r>
      <w:r>
        <w:t xml:space="preserve"> </w:t>
      </w:r>
      <w:r w:rsidRPr="00BB11AF">
        <w:t>[106]</w:t>
      </w:r>
      <w:r>
        <w:t xml:space="preserve"> </w:t>
      </w:r>
      <w:r w:rsidRPr="00BB11AF">
        <w:t>Cette question, parmi bea</w:t>
      </w:r>
      <w:r w:rsidRPr="00BB11AF">
        <w:t>u</w:t>
      </w:r>
      <w:r w:rsidRPr="00BB11AF">
        <w:t>coup d'autres, est l'une des plus impo</w:t>
      </w:r>
      <w:r w:rsidRPr="00BB11AF">
        <w:t>r</w:t>
      </w:r>
      <w:r w:rsidRPr="00BB11AF">
        <w:t>tantes que Farah aborde dans son œuvre.</w:t>
      </w:r>
    </w:p>
    <w:p w:rsidR="003A3061" w:rsidRPr="00BB11AF" w:rsidRDefault="003A3061" w:rsidP="003A3061">
      <w:pPr>
        <w:spacing w:before="120" w:after="120"/>
        <w:jc w:val="both"/>
      </w:pPr>
    </w:p>
    <w:p w:rsidR="003A3061" w:rsidRPr="00BB11AF" w:rsidRDefault="003A3061" w:rsidP="003A3061">
      <w:pPr>
        <w:pStyle w:val="planche"/>
      </w:pPr>
      <w:r w:rsidRPr="00BB11AF">
        <w:t>L'origine de la « crise des sexes »</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Nous mettrons maintenant l'accent sur le fonctionnement du di</w:t>
      </w:r>
      <w:r w:rsidRPr="00BB11AF">
        <w:t>s</w:t>
      </w:r>
      <w:r w:rsidRPr="00BB11AF">
        <w:t>cours conflictuel dans le but de retracer l'origine du conflit entre la femme et l'homme somaliens dans la fiction de Farah. Ce phénomène confli</w:t>
      </w:r>
      <w:r w:rsidRPr="00BB11AF">
        <w:t>c</w:t>
      </w:r>
      <w:r w:rsidRPr="00BB11AF">
        <w:t>tuel original est ce que nous appelons la « crise des sexes », un sujet cher à Farah. L'origine de la crise des sexes dans l'œuvre de F</w:t>
      </w:r>
      <w:r w:rsidRPr="00BB11AF">
        <w:t>a</w:t>
      </w:r>
      <w:r w:rsidRPr="00BB11AF">
        <w:t xml:space="preserve">rah est décrite dans son premier roman, </w:t>
      </w:r>
      <w:r w:rsidRPr="00BB11AF">
        <w:rPr>
          <w:i/>
        </w:rPr>
        <w:t>Née de la c</w:t>
      </w:r>
      <w:r w:rsidRPr="00BB11AF">
        <w:rPr>
          <w:i/>
        </w:rPr>
        <w:t>ô</w:t>
      </w:r>
      <w:r w:rsidRPr="00BB11AF">
        <w:rPr>
          <w:i/>
        </w:rPr>
        <w:t>te d'Adam</w:t>
      </w:r>
      <w:r w:rsidRPr="00BB11AF">
        <w:t xml:space="preserve"> (1970). Au sujet des relations unissant les hommes et les femmes dans la tr</w:t>
      </w:r>
      <w:r w:rsidRPr="00BB11AF">
        <w:t>a</w:t>
      </w:r>
      <w:r w:rsidRPr="00BB11AF">
        <w:t>dition somalienne, Farah cite, en prologue du roman, un proverbe d'origine somalienne qui stipule que :</w:t>
      </w:r>
    </w:p>
    <w:p w:rsidR="003A3061" w:rsidRDefault="003A3061" w:rsidP="003A3061">
      <w:pPr>
        <w:pStyle w:val="Citation0"/>
      </w:pPr>
    </w:p>
    <w:p w:rsidR="003A3061" w:rsidRDefault="003A3061" w:rsidP="003A3061">
      <w:pPr>
        <w:pStyle w:val="Citation0"/>
      </w:pPr>
      <w:r w:rsidRPr="00BB11AF">
        <w:t xml:space="preserve">Et Dieu prit à Adam une côte tordue. Et II créa la femme. [...] Chercher à redresser cette côte, elle se brisera entre vos mains </w:t>
      </w:r>
      <w:r w:rsidRPr="00BB11AF">
        <w:rPr>
          <w:bCs/>
        </w:rPr>
        <w:t>(Née de la côte d'Adam</w:t>
      </w:r>
      <w:r w:rsidRPr="00BB11AF">
        <w:t xml:space="preserve"> p.7).</w:t>
      </w:r>
    </w:p>
    <w:p w:rsidR="003A3061" w:rsidRPr="00BB11AF" w:rsidRDefault="003A3061" w:rsidP="003A3061">
      <w:pPr>
        <w:pStyle w:val="Citation0"/>
      </w:pPr>
    </w:p>
    <w:p w:rsidR="003A3061" w:rsidRPr="00BB11AF" w:rsidRDefault="003A3061" w:rsidP="003A3061">
      <w:pPr>
        <w:spacing w:before="120" w:after="120"/>
        <w:jc w:val="both"/>
      </w:pPr>
      <w:r w:rsidRPr="00BB11AF">
        <w:t>Ce proverbe emprunte à l'Islam un élément de la création de la femme ; que la femme a été créée d'une côte d'Adam. Cependant, a</w:t>
      </w:r>
      <w:r w:rsidRPr="00BB11AF">
        <w:t>u</w:t>
      </w:r>
      <w:r w:rsidRPr="00BB11AF">
        <w:t>cun verset du Coran n'affirme que la femme a été créée d'une côte « tordue », c'est-à-dire « déformée ». C'est, donc, dès le début de sa carrière de romancier, à l'âge de 25 ans, que Farah commence à que</w:t>
      </w:r>
      <w:r w:rsidRPr="00BB11AF">
        <w:t>s</w:t>
      </w:r>
      <w:r w:rsidRPr="00BB11AF">
        <w:t>tionner l'idéologie traditionnelle somalienne de l'oppression de la femme, une idéologie qui serait sciemment élaborée par les Somaliens étant donné que beaucoup de ses références religieuses sont faussées.</w:t>
      </w:r>
    </w:p>
    <w:p w:rsidR="003A3061" w:rsidRPr="00BB11AF" w:rsidRDefault="003A3061" w:rsidP="003A3061">
      <w:pPr>
        <w:spacing w:before="120" w:after="120"/>
        <w:jc w:val="both"/>
      </w:pPr>
      <w:r w:rsidRPr="00BB11AF">
        <w:t>En effet, comme on le constate dans Née de la côte d'Adam, le de</w:t>
      </w:r>
      <w:r w:rsidRPr="00BB11AF">
        <w:t>s</w:t>
      </w:r>
      <w:r w:rsidRPr="00BB11AF">
        <w:t>tin de la femme somalienne qui émerge de la conception de la côte tordue est malavisé. Étant donné qu'elle est créée d'une côte déformée de l'homme, l'homme somalien considère que la femme doit se so</w:t>
      </w:r>
      <w:r w:rsidRPr="00BB11AF">
        <w:t>u</w:t>
      </w:r>
      <w:r w:rsidRPr="00BB11AF">
        <w:t>mettre à lui. C'est ce qu'Ébla apprend dans la concession. Mais elle ne se lai</w:t>
      </w:r>
      <w:r w:rsidRPr="00BB11AF">
        <w:t>s</w:t>
      </w:r>
      <w:r w:rsidRPr="00BB11AF">
        <w:t>se pas faire. Malgré ce destin prescrit pour elle par la tradition, elle se défend tant bien que mal et s'oppose à toute croyance et prat</w:t>
      </w:r>
      <w:r w:rsidRPr="00BB11AF">
        <w:t>i</w:t>
      </w:r>
      <w:r w:rsidRPr="00BB11AF">
        <w:t>que qui la rend mal à l'aise. Ébla se sert de stratégies discursives pour affirmer sa vive opposition aux pratiques et doctrines qui la rabai</w:t>
      </w:r>
      <w:r w:rsidRPr="00BB11AF">
        <w:t>s</w:t>
      </w:r>
      <w:r w:rsidRPr="00BB11AF">
        <w:t>sent. La discrimination entre filles et garçons dans la société som</w:t>
      </w:r>
      <w:r w:rsidRPr="00BB11AF">
        <w:t>a</w:t>
      </w:r>
      <w:r w:rsidRPr="00BB11AF">
        <w:t>lienne est la première manifestation du conflit entre Ébla et les ho</w:t>
      </w:r>
      <w:r w:rsidRPr="00BB11AF">
        <w:t>m</w:t>
      </w:r>
      <w:r w:rsidRPr="00BB11AF">
        <w:t>mes. Farah nous renseigne ainsi par une stratégie discursive de la s</w:t>
      </w:r>
      <w:r w:rsidRPr="00BB11AF">
        <w:t>i</w:t>
      </w:r>
      <w:r w:rsidRPr="00BB11AF">
        <w:t>mulation :</w:t>
      </w:r>
    </w:p>
    <w:p w:rsidR="003A3061" w:rsidRPr="00BB11AF" w:rsidRDefault="003A3061" w:rsidP="003A3061">
      <w:pPr>
        <w:pStyle w:val="Grillecouleur-Accent1"/>
      </w:pPr>
    </w:p>
    <w:p w:rsidR="003A3061" w:rsidRPr="00BB11AF" w:rsidRDefault="003A3061" w:rsidP="003A3061">
      <w:pPr>
        <w:pStyle w:val="Grillecouleur-Accent1"/>
      </w:pPr>
      <w:r w:rsidRPr="00BB11AF">
        <w:t>[...] Et dans cette répartition, il est bien entendu que les femmes sont au bas de l'échelle. Normal, puisque ce sont les hommes qui ont la force ph</w:t>
      </w:r>
      <w:r w:rsidRPr="00BB11AF">
        <w:t>y</w:t>
      </w:r>
      <w:r w:rsidRPr="00BB11AF">
        <w:t>sique pour eux ! [...] (</w:t>
      </w:r>
      <w:r w:rsidRPr="00BB11AF">
        <w:rPr>
          <w:i/>
        </w:rPr>
        <w:t>Née de la côte d'Adam</w:t>
      </w:r>
      <w:r w:rsidRPr="00BB11AF">
        <w:rPr>
          <w:bCs/>
        </w:rPr>
        <w:t xml:space="preserve"> p.19).</w:t>
      </w:r>
    </w:p>
    <w:p w:rsidR="003A3061" w:rsidRPr="00BB11AF" w:rsidRDefault="003A3061" w:rsidP="003A3061">
      <w:pPr>
        <w:pStyle w:val="Grillecouleur-Accent1"/>
      </w:pPr>
    </w:p>
    <w:p w:rsidR="003A3061" w:rsidRPr="00BB11AF" w:rsidRDefault="003A3061" w:rsidP="003A3061">
      <w:pPr>
        <w:spacing w:before="120" w:after="120"/>
        <w:jc w:val="both"/>
      </w:pPr>
      <w:r w:rsidRPr="00BB11AF">
        <w:t>Ébla, victime de cette inégalité se réconforte en se disant :</w:t>
      </w:r>
    </w:p>
    <w:p w:rsidR="003A3061" w:rsidRPr="00BB11AF" w:rsidRDefault="003A3061" w:rsidP="003A3061">
      <w:pPr>
        <w:spacing w:before="120" w:after="120"/>
        <w:jc w:val="both"/>
      </w:pPr>
      <w:r w:rsidRPr="00BB11AF">
        <w:t>[107]</w:t>
      </w:r>
    </w:p>
    <w:p w:rsidR="003A3061" w:rsidRDefault="003A3061" w:rsidP="003A3061">
      <w:pPr>
        <w:pStyle w:val="Grillecouleur-Accent1"/>
      </w:pPr>
    </w:p>
    <w:p w:rsidR="003A3061" w:rsidRDefault="003A3061" w:rsidP="003A3061">
      <w:pPr>
        <w:pStyle w:val="Grillecouleur-Accent1"/>
      </w:pPr>
      <w:r w:rsidRPr="00BB11AF">
        <w:t xml:space="preserve">[...] Si les hommes se voient réserver le soin des chameaux, c'est parce qu'ils sont aussi bêtes qu'eux [...] (Née </w:t>
      </w:r>
      <w:r w:rsidRPr="00BB11AF">
        <w:rPr>
          <w:bCs/>
        </w:rPr>
        <w:t>de la côte d'Adam</w:t>
      </w:r>
      <w:r w:rsidRPr="00BB11AF">
        <w:t xml:space="preserve"> p.20).</w:t>
      </w:r>
    </w:p>
    <w:p w:rsidR="003A3061" w:rsidRPr="00BB11AF" w:rsidRDefault="003A3061" w:rsidP="003A3061">
      <w:pPr>
        <w:pStyle w:val="Grillecouleur-Accent1"/>
      </w:pPr>
    </w:p>
    <w:p w:rsidR="003A3061" w:rsidRPr="00BB11AF" w:rsidRDefault="003A3061" w:rsidP="003A3061">
      <w:pPr>
        <w:spacing w:before="120" w:after="120"/>
        <w:jc w:val="both"/>
      </w:pPr>
      <w:r w:rsidRPr="00BB11AF">
        <w:t>Dans la société somalienne, les filles s'occupent des chèvres alors que les garçons s'occupent des chameaux. La parole d'Ébla qui assim</w:t>
      </w:r>
      <w:r w:rsidRPr="00BB11AF">
        <w:t>i</w:t>
      </w:r>
      <w:r w:rsidRPr="00BB11AF">
        <w:t>le les hommes aux bêtes est un jugement négatif concernant les ho</w:t>
      </w:r>
      <w:r w:rsidRPr="00BB11AF">
        <w:t>m</w:t>
      </w:r>
      <w:r w:rsidRPr="00BB11AF">
        <w:t>mes pour montrer la similitude existant entre la bêtise de l'homme som</w:t>
      </w:r>
      <w:r w:rsidRPr="00BB11AF">
        <w:t>a</w:t>
      </w:r>
      <w:r w:rsidRPr="00BB11AF">
        <w:t>lien et les chameaux. Les hommes comparés aux animaux sont revêtus d'après Ébla des traits du chameau : manque d'intelligence et de raisonnement. Dans le langage de la commun</w:t>
      </w:r>
      <w:r w:rsidRPr="00BB11AF">
        <w:t>i</w:t>
      </w:r>
      <w:r w:rsidRPr="00BB11AF">
        <w:t>cation conflictuelle, cette insulte constitue l'indice d'un rejet ou d'une disqualification r</w:t>
      </w:r>
      <w:r w:rsidRPr="00BB11AF">
        <w:t>a</w:t>
      </w:r>
      <w:r w:rsidRPr="00BB11AF">
        <w:t>baissa</w:t>
      </w:r>
      <w:r w:rsidRPr="00BB11AF">
        <w:t>n</w:t>
      </w:r>
      <w:r w:rsidRPr="00BB11AF">
        <w:t>te. Horripilée par la discrimination injuste en défaveur de la femme, l'héroïne ajoute :</w:t>
      </w:r>
    </w:p>
    <w:p w:rsidR="003A3061" w:rsidRDefault="003A3061" w:rsidP="003A3061">
      <w:pPr>
        <w:pStyle w:val="Grillecouleur-Accent1"/>
      </w:pPr>
    </w:p>
    <w:p w:rsidR="003A3061" w:rsidRDefault="003A3061" w:rsidP="003A3061">
      <w:pPr>
        <w:pStyle w:val="Grillecouleur-Accent1"/>
      </w:pPr>
      <w:r w:rsidRPr="00BB11AF">
        <w:t>[...] On dirait que les mâles sont les seuls à défendre l'honneur de la famille et à en assurer la descendance ! La preuve ? Au « prix du sang », le plus sot des hommes vaut quatre femmes et chacun des fils se voit attr</w:t>
      </w:r>
      <w:r w:rsidRPr="00BB11AF">
        <w:t>i</w:t>
      </w:r>
      <w:r w:rsidRPr="00BB11AF">
        <w:t xml:space="preserve">buer entre vingt et trente chameaux. Dès sa naissance, le garçon nouveau-né reçoit une chamelle. La coutume dit que l'animal est « attaché à son nombril » [...] (Née </w:t>
      </w:r>
      <w:r w:rsidRPr="00BB11AF">
        <w:rPr>
          <w:bCs/>
        </w:rPr>
        <w:t>de la côte d'Adam</w:t>
      </w:r>
      <w:r w:rsidRPr="00BB11AF">
        <w:t xml:space="preserve"> p.20).</w:t>
      </w:r>
    </w:p>
    <w:p w:rsidR="003A3061" w:rsidRPr="00BB11AF" w:rsidRDefault="003A3061" w:rsidP="003A3061">
      <w:pPr>
        <w:pStyle w:val="Grillecouleur-Accent1"/>
      </w:pPr>
    </w:p>
    <w:p w:rsidR="003A3061" w:rsidRPr="00BB11AF" w:rsidRDefault="003A3061" w:rsidP="003A3061">
      <w:pPr>
        <w:spacing w:before="120" w:after="120"/>
        <w:jc w:val="both"/>
      </w:pPr>
      <w:r w:rsidRPr="00BB11AF">
        <w:t>Dans cette citation, Ébla emploie plusieurs stratégies pour disqual</w:t>
      </w:r>
      <w:r w:rsidRPr="00BB11AF">
        <w:t>i</w:t>
      </w:r>
      <w:r w:rsidRPr="00BB11AF">
        <w:t>fier son rival. Nous, le public-témoin, entendons Ébla interroger l'in</w:t>
      </w:r>
      <w:r w:rsidRPr="00BB11AF">
        <w:t>é</w:t>
      </w:r>
      <w:r w:rsidRPr="00BB11AF">
        <w:t>galité entre les sexes qui a été créée et propagée par la tradition som</w:t>
      </w:r>
      <w:r w:rsidRPr="00BB11AF">
        <w:t>a</w:t>
      </w:r>
      <w:r w:rsidRPr="00BB11AF">
        <w:t>lienne. Selon elle, ce n'est pas correct de dire que les mâles sont les seuls en mesure d'assurer la descendance de la f</w:t>
      </w:r>
      <w:r w:rsidRPr="00BB11AF">
        <w:t>a</w:t>
      </w:r>
      <w:r w:rsidRPr="00BB11AF">
        <w:t>mille, parce que dans les faits c'est la femme qui met au monde les filles et les garçons, c'est elle qui a la réelle responsabilité d'assurer la continuité de la l</w:t>
      </w:r>
      <w:r w:rsidRPr="00BB11AF">
        <w:t>i</w:t>
      </w:r>
      <w:r w:rsidRPr="00BB11AF">
        <w:t>gnée familiale. Quand le fils nouveau-né reçoit une chamelle, la fille no</w:t>
      </w:r>
      <w:r w:rsidRPr="00BB11AF">
        <w:t>u</w:t>
      </w:r>
      <w:r w:rsidRPr="00BB11AF">
        <w:t>veau-née ne reçoit rien, cela montre que dès sa naissance le garçon, a le droit de posséder quelque chose alors que la fille, elle, est une po</w:t>
      </w:r>
      <w:r w:rsidRPr="00BB11AF">
        <w:t>s</w:t>
      </w:r>
      <w:r w:rsidRPr="00BB11AF">
        <w:t>session soit des parents, soit du mari. Ébla n'est pas pour cette trad</w:t>
      </w:r>
      <w:r w:rsidRPr="00BB11AF">
        <w:t>i</w:t>
      </w:r>
      <w:r w:rsidRPr="00BB11AF">
        <w:t>tion militant en faveur des hommes, une coutume qui donne en plus le droit à l'homme de prendre quatre femmes. Elle qualifie les ho</w:t>
      </w:r>
      <w:r w:rsidRPr="00BB11AF">
        <w:t>m</w:t>
      </w:r>
      <w:r w:rsidRPr="00BB11AF">
        <w:t>mes qui pratiquent la polygamie de « sots », un terme dévalorisant, rabai</w:t>
      </w:r>
      <w:r w:rsidRPr="00BB11AF">
        <w:t>s</w:t>
      </w:r>
      <w:r w:rsidRPr="00BB11AF">
        <w:t>sant les ho</w:t>
      </w:r>
      <w:r w:rsidRPr="00BB11AF">
        <w:t>m</w:t>
      </w:r>
      <w:r w:rsidRPr="00BB11AF">
        <w:t>mes au stade de vaurien.</w:t>
      </w:r>
    </w:p>
    <w:p w:rsidR="003A3061" w:rsidRPr="00BB11AF" w:rsidRDefault="003A3061" w:rsidP="003A3061">
      <w:pPr>
        <w:spacing w:before="120" w:after="120"/>
        <w:jc w:val="both"/>
      </w:pPr>
      <w:r w:rsidRPr="00BB11AF">
        <w:t>Ébla disqualifie le paiement de la dot avant de prendre une femme. Elle le compare à un acte d'échange d'argent pour des biens de consommation. Elle ne veut pas être « vendue » comme un an</w:t>
      </w:r>
      <w:r w:rsidRPr="00BB11AF">
        <w:t>i</w:t>
      </w:r>
      <w:r w:rsidRPr="00BB11AF">
        <w:t>mal. En se prenant pour un être humain égal à l'homme, elle dit à haute voix sa détestation cette tradition de « dot » consistant à donner la main d'une fille à quelqu'un qui présente à la famille a</w:t>
      </w:r>
      <w:r w:rsidRPr="00BB11AF">
        <w:t>u</w:t>
      </w:r>
      <w:r w:rsidRPr="00BB11AF">
        <w:t>tant de bêtes domestiques qu'elle l'exige. Elle dit :</w:t>
      </w:r>
    </w:p>
    <w:p w:rsidR="003A3061" w:rsidRDefault="003A3061" w:rsidP="003A3061">
      <w:pPr>
        <w:pStyle w:val="Grillecouleur-Accent1"/>
      </w:pPr>
    </w:p>
    <w:p w:rsidR="003A3061" w:rsidRDefault="003A3061" w:rsidP="003A3061">
      <w:pPr>
        <w:pStyle w:val="Grillecouleur-Accent1"/>
      </w:pPr>
      <w:r w:rsidRPr="00BB11AF">
        <w:t>[...] On les vend, on les achète, comme les bergers vendent leurs bêtes au marché et les marchands leurs stocks aux clients ! Quelle di</w:t>
      </w:r>
      <w:r w:rsidRPr="00BB11AF">
        <w:t>f</w:t>
      </w:r>
      <w:r w:rsidRPr="00BB11AF">
        <w:t xml:space="preserve">férence font-ils avec une fille ? Aucune ! Absolument aucune ! [...] (Née </w:t>
      </w:r>
      <w:r w:rsidRPr="00BB11AF">
        <w:rPr>
          <w:bCs/>
        </w:rPr>
        <w:t>de la côte d'Adam</w:t>
      </w:r>
      <w:r w:rsidRPr="00BB11AF">
        <w:t xml:space="preserve"> p.101).</w:t>
      </w:r>
    </w:p>
    <w:p w:rsidR="003A3061" w:rsidRPr="00BB11AF" w:rsidRDefault="003A3061" w:rsidP="003A3061">
      <w:pPr>
        <w:pStyle w:val="Grillecouleur-Accent1"/>
      </w:pPr>
    </w:p>
    <w:p w:rsidR="003A3061" w:rsidRPr="00BB11AF" w:rsidRDefault="003A3061" w:rsidP="003A3061">
      <w:pPr>
        <w:spacing w:before="120" w:after="120"/>
        <w:jc w:val="both"/>
      </w:pPr>
      <w:r w:rsidRPr="00BB11AF">
        <w:t>[108]</w:t>
      </w:r>
    </w:p>
    <w:p w:rsidR="003A3061" w:rsidRPr="00BB11AF" w:rsidRDefault="003A3061" w:rsidP="003A3061">
      <w:pPr>
        <w:spacing w:before="120" w:after="120"/>
        <w:jc w:val="both"/>
      </w:pPr>
      <w:r w:rsidRPr="00BB11AF">
        <w:t>Elle s'interroge et se répond à elle-même en vue de convaincre le p</w:t>
      </w:r>
      <w:r w:rsidRPr="00BB11AF">
        <w:t>u</w:t>
      </w:r>
      <w:r w:rsidRPr="00BB11AF">
        <w:t>blic-témoin en concluant qu'il n'y a aucune différence entre les deux sexes, que tous sont des êtres humains et donc égaux. Ébla continue à montrer sa révolte contre la tradition au moyen de sol</w:t>
      </w:r>
      <w:r w:rsidRPr="00BB11AF">
        <w:t>i</w:t>
      </w:r>
      <w:r w:rsidRPr="00BB11AF">
        <w:t>loques en se lamentant ainsi :</w:t>
      </w:r>
    </w:p>
    <w:p w:rsidR="003A3061" w:rsidRDefault="003A3061" w:rsidP="003A3061">
      <w:pPr>
        <w:pStyle w:val="Grillecouleur-Accent1"/>
      </w:pPr>
    </w:p>
    <w:p w:rsidR="003A3061" w:rsidRDefault="003A3061" w:rsidP="003A3061">
      <w:pPr>
        <w:pStyle w:val="Grillecouleur-Accent1"/>
      </w:pPr>
      <w:r w:rsidRPr="00BB11AF">
        <w:t>[...] C'est horrible ! C'est révoltant ! [...] La nature met normal</w:t>
      </w:r>
      <w:r w:rsidRPr="00BB11AF">
        <w:t>e</w:t>
      </w:r>
      <w:r w:rsidRPr="00BB11AF">
        <w:t>ment neuf mois pour faire une fille, tout comme pour faire un garçon. Pourquoi les femmes sont-elles inférieures aux hommes ? Pourquoi est-il obligatoire qu'une fille rembourse une certaine somme à ses p</w:t>
      </w:r>
      <w:r w:rsidRPr="00BB11AF">
        <w:t>a</w:t>
      </w:r>
      <w:r w:rsidRPr="00BB11AF">
        <w:t>rents sous forme de dot, alors que le garçon, lui, doit avoir cette so</w:t>
      </w:r>
      <w:r w:rsidRPr="00BB11AF">
        <w:t>m</w:t>
      </w:r>
      <w:r w:rsidRPr="00BB11AF">
        <w:t xml:space="preserve">me -et même davantage- pour se procurer une femme ? </w:t>
      </w:r>
      <w:r w:rsidRPr="00BB11AF">
        <w:rPr>
          <w:bCs/>
        </w:rPr>
        <w:t xml:space="preserve">[...] (Née de la </w:t>
      </w:r>
      <w:r w:rsidRPr="007A6A1E">
        <w:t>côte d'Adam</w:t>
      </w:r>
      <w:r w:rsidRPr="00BB11AF">
        <w:t xml:space="preserve"> pp. 101-</w:t>
      </w:r>
      <w:r w:rsidRPr="007A6A1E">
        <w:rPr>
          <w:bCs/>
          <w:color w:val="auto"/>
          <w:sz w:val="28"/>
        </w:rPr>
        <w:t>102</w:t>
      </w:r>
      <w:r w:rsidRPr="007A6A1E">
        <w:t>).</w:t>
      </w:r>
    </w:p>
    <w:p w:rsidR="003A3061" w:rsidRPr="00BB11AF" w:rsidRDefault="003A3061" w:rsidP="003A3061">
      <w:pPr>
        <w:pStyle w:val="Grillecouleur-Accent1"/>
      </w:pPr>
    </w:p>
    <w:p w:rsidR="003A3061" w:rsidRPr="00BB11AF" w:rsidRDefault="003A3061" w:rsidP="003A3061">
      <w:pPr>
        <w:spacing w:before="120" w:after="120"/>
        <w:jc w:val="both"/>
      </w:pPr>
      <w:r w:rsidRPr="00BB11AF">
        <w:t>Partant d'un simple constat (le fait que les hommes et les femmes naissent tous après neuf mois), elle n'accepte pas que les hommes se permettent de dominer leurs semblables (les femmes) et se les « procurent » alors que tous viennent au monde de la m</w:t>
      </w:r>
      <w:r w:rsidRPr="00BB11AF">
        <w:t>ê</w:t>
      </w:r>
      <w:r w:rsidRPr="00BB11AF">
        <w:t>me façon.</w:t>
      </w:r>
    </w:p>
    <w:p w:rsidR="003A3061" w:rsidRPr="00BB11AF" w:rsidRDefault="003A3061" w:rsidP="003A3061">
      <w:pPr>
        <w:spacing w:before="120" w:after="120"/>
        <w:jc w:val="both"/>
      </w:pPr>
      <w:r w:rsidRPr="00BB11AF">
        <w:t>Après le deuxième refus d'un mariage arrangé à l'avance par son co</w:t>
      </w:r>
      <w:r w:rsidRPr="00BB11AF">
        <w:t>u</w:t>
      </w:r>
      <w:r w:rsidRPr="00BB11AF">
        <w:t>sin, Ébla a aimé un homme, Awill, qu'elle avait rencontré chez une amie. Awill a amené Ébla dans la petite pièce unique qu'il avait louée à Mogadiscio. Après le dîner, quand Ébla voulait savoir où elle allait se coucher, Awill lui a indiqué son lit. Ébla refuse, car, à sa connai</w:t>
      </w:r>
      <w:r w:rsidRPr="00BB11AF">
        <w:t>s</w:t>
      </w:r>
      <w:r w:rsidRPr="00BB11AF">
        <w:t>sance, elle ne doit pas partager un lit avec un homme tant qu'ils ne sont pas mariés. Mais comme le monsieur n'est pas de cet avis, la pa</w:t>
      </w:r>
      <w:r w:rsidRPr="00BB11AF">
        <w:t>s</w:t>
      </w:r>
      <w:r w:rsidRPr="00BB11AF">
        <w:t>sion et l'envie sexuelle le poussent à ba</w:t>
      </w:r>
      <w:r w:rsidRPr="00BB11AF">
        <w:t>t</w:t>
      </w:r>
      <w:r w:rsidRPr="00BB11AF">
        <w:t>tre Ébla et à coucher de force avec elle. Ébla a très peur, car dans la société, si une femme couche avec un homme sans être mariée, la famille la tue. Elle se console en se rappelant qu'elle est à Mogadiscio et que personne ne se soucie guère de qui couche avec qui. La deuxième fois, quand Awill se ra</w:t>
      </w:r>
      <w:r w:rsidRPr="00BB11AF">
        <w:t>p</w:t>
      </w:r>
      <w:r w:rsidRPr="00BB11AF">
        <w:t>proche d'elle, elle ne se révo</w:t>
      </w:r>
      <w:r w:rsidRPr="00BB11AF">
        <w:t>l</w:t>
      </w:r>
      <w:r w:rsidRPr="00BB11AF">
        <w:t>te plus. Le lendemain, après avoir pris son petit déjeuner, Awill sent encore un besoin sexuel. Il se rapproche Ébla qui peut vite lire ses intentions. Elle se dit :</w:t>
      </w:r>
    </w:p>
    <w:p w:rsidR="003A3061" w:rsidRDefault="003A3061" w:rsidP="003A3061">
      <w:pPr>
        <w:pStyle w:val="Grillecouleur-Accent1"/>
      </w:pPr>
    </w:p>
    <w:p w:rsidR="003A3061" w:rsidRPr="00BB11AF" w:rsidRDefault="003A3061" w:rsidP="003A3061">
      <w:pPr>
        <w:pStyle w:val="Grillecouleur-Accent1"/>
      </w:pPr>
      <w:r w:rsidRPr="00BB11AF">
        <w:t>[...] Voilà un bel exemple du sexe fort ! C'est un vrai singe quand il s'agit de satisfaire ses besoins sexuels ! La copulation est faite pour avoir des enfants. C'est vrai, mais un homme a quand même autre chose à part</w:t>
      </w:r>
      <w:r w:rsidRPr="00BB11AF">
        <w:t>a</w:t>
      </w:r>
      <w:r w:rsidRPr="00BB11AF">
        <w:t>ger avec sa femme ! Les ânes, et toutes les bêtes, en fait, obéissent à leur instinct, et préfèrent cela à tout le reste. Eh bien ! Même les animaux re</w:t>
      </w:r>
      <w:r w:rsidRPr="00BB11AF">
        <w:t>s</w:t>
      </w:r>
      <w:r w:rsidRPr="00BB11AF">
        <w:t>pectent certaines périodes. Les hommes d</w:t>
      </w:r>
      <w:r w:rsidRPr="00BB11AF">
        <w:t>e</w:t>
      </w:r>
      <w:r w:rsidRPr="00BB11AF">
        <w:t>vraient comprendre qu'une femme n'est pas faite pour la seule sati</w:t>
      </w:r>
      <w:r w:rsidRPr="00BB11AF">
        <w:t>s</w:t>
      </w:r>
      <w:r w:rsidRPr="00BB11AF">
        <w:t>faction de leurs désirs, mais qu'elle peut être, pour la vie, une comp</w:t>
      </w:r>
      <w:r w:rsidRPr="00BB11AF">
        <w:t>a</w:t>
      </w:r>
      <w:r w:rsidRPr="00BB11AF">
        <w:t>gne irremplaçable. On peut me vendre, on peut m'acheter comme l'a fait mon cousin ou mon premier prétendant. Mais il y a une chose qu'ils ne peuvent pas acheter : c'est le besoin qu'ils ont de moi. Je suis une femme et l'homme ne peut pas se passer de moi [...] (</w:t>
      </w:r>
      <w:r w:rsidRPr="00BB11AF">
        <w:rPr>
          <w:i/>
        </w:rPr>
        <w:t>Née de la côte d'Adam</w:t>
      </w:r>
      <w:r w:rsidRPr="00BB11AF">
        <w:t>, p. 127).</w:t>
      </w:r>
    </w:p>
    <w:p w:rsidR="003A3061" w:rsidRDefault="003A3061" w:rsidP="003A3061">
      <w:pPr>
        <w:spacing w:before="120" w:after="120"/>
        <w:jc w:val="both"/>
      </w:pPr>
    </w:p>
    <w:p w:rsidR="003A3061" w:rsidRPr="00BB11AF" w:rsidRDefault="003A3061" w:rsidP="003A3061">
      <w:pPr>
        <w:spacing w:before="120" w:after="120"/>
        <w:jc w:val="both"/>
      </w:pPr>
      <w:r w:rsidRPr="00BB11AF">
        <w:t>[109]</w:t>
      </w:r>
    </w:p>
    <w:p w:rsidR="003A3061" w:rsidRPr="00BB11AF" w:rsidRDefault="003A3061" w:rsidP="003A3061">
      <w:pPr>
        <w:spacing w:before="120" w:after="120"/>
        <w:jc w:val="both"/>
      </w:pPr>
      <w:r w:rsidRPr="00BB11AF">
        <w:t>Ce discours ne vise pas à attaquer directement le rival, mais à le démasquer afin d'exposer son image négative. Les quatre points d'e</w:t>
      </w:r>
      <w:r w:rsidRPr="00BB11AF">
        <w:t>x</w:t>
      </w:r>
      <w:r w:rsidRPr="00BB11AF">
        <w:t>clamation employés dans ce passage expriment son désaveu. La mét</w:t>
      </w:r>
      <w:r w:rsidRPr="00BB11AF">
        <w:t>a</w:t>
      </w:r>
      <w:r w:rsidRPr="00BB11AF">
        <w:t>phore employée pour qualifier Awill, « c'est un vrai singe », s</w:t>
      </w:r>
      <w:r w:rsidRPr="00BB11AF">
        <w:t>i</w:t>
      </w:r>
      <w:r w:rsidRPr="00BB11AF">
        <w:t>gnifie que ce dernier se comporte comme un animal. Ébla loue les b</w:t>
      </w:r>
      <w:r w:rsidRPr="00BB11AF">
        <w:t>ê</w:t>
      </w:r>
      <w:r w:rsidRPr="00BB11AF">
        <w:t>tes et rabaisse l'homme qui se comporte en animal pour coucher avec une femme.</w:t>
      </w:r>
    </w:p>
    <w:p w:rsidR="003A3061" w:rsidRPr="00BB11AF" w:rsidRDefault="003A3061" w:rsidP="003A3061">
      <w:pPr>
        <w:spacing w:before="120" w:after="120"/>
        <w:jc w:val="both"/>
      </w:pPr>
      <w:r w:rsidRPr="00BB11AF">
        <w:t>Dans Née de la côte d'Adam, Ébla a aussi été victime de l'exc</w:t>
      </w:r>
      <w:r w:rsidRPr="00BB11AF">
        <w:t>i</w:t>
      </w:r>
      <w:r w:rsidRPr="00BB11AF">
        <w:t>sion. Elle en garde un très mauvais souvenir. Voici ce qu'elle en dit :</w:t>
      </w:r>
    </w:p>
    <w:p w:rsidR="003A3061" w:rsidRPr="00BB11AF" w:rsidRDefault="003A3061" w:rsidP="003A3061">
      <w:pPr>
        <w:pStyle w:val="Grillecouleur-Accent1"/>
      </w:pPr>
    </w:p>
    <w:p w:rsidR="003A3061" w:rsidRPr="00BB11AF" w:rsidRDefault="003A3061" w:rsidP="003A3061">
      <w:pPr>
        <w:pStyle w:val="Grillecouleur-Accent1"/>
      </w:pPr>
      <w:r w:rsidRPr="00BB11AF">
        <w:t>[...] « Oh mon Dieu ! Je n’oublierai jamais comme j’ai eu mal quand on m’a fait ça ! » [...] (</w:t>
      </w:r>
      <w:r w:rsidRPr="00BB11AF">
        <w:rPr>
          <w:i/>
        </w:rPr>
        <w:t>Née de la côte d'Adam</w:t>
      </w:r>
      <w:r w:rsidRPr="00BB11AF">
        <w:t>,</w:t>
      </w:r>
      <w:r w:rsidRPr="00BB11AF">
        <w:rPr>
          <w:bCs/>
        </w:rPr>
        <w:t xml:space="preserve"> p.182).</w:t>
      </w:r>
    </w:p>
    <w:p w:rsidR="003A3061" w:rsidRPr="00BB11AF" w:rsidRDefault="003A3061" w:rsidP="003A3061">
      <w:pPr>
        <w:pStyle w:val="Grillecouleur-Accent1"/>
      </w:pPr>
    </w:p>
    <w:p w:rsidR="003A3061" w:rsidRPr="00BB11AF" w:rsidRDefault="003A3061" w:rsidP="003A3061">
      <w:pPr>
        <w:spacing w:before="120" w:after="120"/>
        <w:jc w:val="both"/>
      </w:pPr>
      <w:r w:rsidRPr="00BB11AF">
        <w:t>Autrement dit, la souffrance résultant de cette opération était très horrible de telle sorte qu'elle n'oubliera pas les séquelles. Elle se d</w:t>
      </w:r>
      <w:r w:rsidRPr="00BB11AF">
        <w:t>e</w:t>
      </w:r>
      <w:r w:rsidRPr="00BB11AF">
        <w:t>mande pourquoi les citadins ont conservé cette pratique a</w:t>
      </w:r>
      <w:r w:rsidRPr="00BB11AF">
        <w:t>r</w:t>
      </w:r>
      <w:r w:rsidRPr="00BB11AF">
        <w:t>chaïque. Elle se demande aussi s'il existerait des pays où les filles ne sont pas exc</w:t>
      </w:r>
      <w:r w:rsidRPr="00BB11AF">
        <w:t>i</w:t>
      </w:r>
      <w:r w:rsidRPr="00BB11AF">
        <w:t>sées ; c'est comme si elle aurait souhaité s'y réfugier. Ébla qualifie l'excision de « pratique archaïque » et la peine qui en résulte de « souffrance atroce » ou encore « horrible ». Les qualificatifs utilisés par Ébla pour décrire cette pratique de l'exc</w:t>
      </w:r>
      <w:r w:rsidRPr="00BB11AF">
        <w:t>i</w:t>
      </w:r>
      <w:r w:rsidRPr="00BB11AF">
        <w:t>sion témoignent de ses sentiments négatifs envers cette coutume pratiquée chez elle.</w:t>
      </w:r>
    </w:p>
    <w:p w:rsidR="003A3061" w:rsidRPr="00BB11AF" w:rsidRDefault="003A3061" w:rsidP="003A3061">
      <w:pPr>
        <w:spacing w:before="120" w:after="120"/>
        <w:jc w:val="both"/>
      </w:pPr>
      <w:r w:rsidRPr="00BB11AF">
        <w:t>On pourrait dire que la culture somalienne est profondément affe</w:t>
      </w:r>
      <w:r w:rsidRPr="00BB11AF">
        <w:t>c</w:t>
      </w:r>
      <w:r w:rsidRPr="00BB11AF">
        <w:t>tée par l'interaction de la religion islamique et des pratiques traditio</w:t>
      </w:r>
      <w:r w:rsidRPr="00BB11AF">
        <w:t>n</w:t>
      </w:r>
      <w:r w:rsidRPr="00BB11AF">
        <w:t>nelles. Les Somaliens sont presque tous musulmans sunnites chafé</w:t>
      </w:r>
      <w:r w:rsidRPr="00BB11AF">
        <w:t>i</w:t>
      </w:r>
      <w:r w:rsidRPr="00BB11AF">
        <w:t>tes</w:t>
      </w:r>
      <w:r>
        <w:t> </w:t>
      </w:r>
      <w:r>
        <w:rPr>
          <w:rStyle w:val="Appelnotedebasdep"/>
        </w:rPr>
        <w:footnoteReference w:id="71"/>
      </w:r>
      <w:r w:rsidRPr="00BB11AF">
        <w:t>. Dans notre étude, nous avons constaté que l'auteur n'aborde pas tous les aspects du religieux dans Née de la côte d'Adam peut-être afin de démasquer la conception religieuse d</w:t>
      </w:r>
      <w:r w:rsidRPr="00BB11AF">
        <w:t>é</w:t>
      </w:r>
      <w:r w:rsidRPr="00BB11AF">
        <w:t>formée, voire truquée par les Somaliens. Peut-être est-ce comme cela que lui-même co</w:t>
      </w:r>
      <w:r w:rsidRPr="00BB11AF">
        <w:t>m</w:t>
      </w:r>
      <w:r w:rsidRPr="00BB11AF">
        <w:t>prenait les faits à l'époque de la rédaction de son roman ? Ce fait est reflété par Ébla qui est parfois incapable d'isoler une pratique cult</w:t>
      </w:r>
      <w:r w:rsidRPr="00BB11AF">
        <w:t>u</w:t>
      </w:r>
      <w:r w:rsidRPr="00BB11AF">
        <w:t>relle d'une pratique religieuse. Elle n'en finit pas de s'interroger sur la loi islam</w:t>
      </w:r>
      <w:r w:rsidRPr="00BB11AF">
        <w:t>i</w:t>
      </w:r>
      <w:r w:rsidRPr="00BB11AF">
        <w:t>que qui semble, selon elle, donner à l'homme plus de droits qu'à elle. Elle évoque souvent la « parole de Dieu », mais encore truffée d'all</w:t>
      </w:r>
      <w:r w:rsidRPr="00BB11AF">
        <w:t>é</w:t>
      </w:r>
      <w:r w:rsidRPr="00BB11AF">
        <w:t>gations traditionne</w:t>
      </w:r>
      <w:r w:rsidRPr="00BB11AF">
        <w:t>l</w:t>
      </w:r>
      <w:r w:rsidRPr="00BB11AF">
        <w:t>les :</w:t>
      </w:r>
    </w:p>
    <w:p w:rsidR="003A3061" w:rsidRDefault="003A3061" w:rsidP="003A3061">
      <w:pPr>
        <w:pStyle w:val="Grillecouleur-Accent1"/>
      </w:pPr>
    </w:p>
    <w:p w:rsidR="003A3061" w:rsidRDefault="003A3061" w:rsidP="003A3061">
      <w:pPr>
        <w:pStyle w:val="Grillecouleur-Accent1"/>
      </w:pPr>
      <w:r w:rsidRPr="00BB11AF">
        <w:t>[...] Pour la femme, c'est le mari qui est le Prophète ; il est son ma</w:t>
      </w:r>
      <w:r w:rsidRPr="00BB11AF">
        <w:t>î</w:t>
      </w:r>
      <w:r w:rsidRPr="00BB11AF">
        <w:t>tre après Dieu. Et bien, si c'est le cas, la vie ne vaut même pas la peine d'être vécue ! Alors, comme ça, Awill aurait le droit de prendre une autre femme - une Blanche ! - de la mettre dans son lit ! Et puis, il d</w:t>
      </w:r>
      <w:r w:rsidRPr="00BB11AF">
        <w:t>é</w:t>
      </w:r>
      <w:r w:rsidRPr="00BB11AF">
        <w:t>cide de me revenir et je serais à son service, je lui laverais les pieds et je lui ferais la cu</w:t>
      </w:r>
      <w:r w:rsidRPr="00BB11AF">
        <w:t>i</w:t>
      </w:r>
      <w:r w:rsidRPr="00BB11AF">
        <w:t>sine ! Et moi, je serais obligée d'habiter avec lui tout le temps que ça lui plaît [...]. Tout le temps qu'il voudra bien e</w:t>
      </w:r>
      <w:r w:rsidRPr="00BB11AF">
        <w:t>n</w:t>
      </w:r>
      <w:r w:rsidRPr="00BB11AF">
        <w:t xml:space="preserve">core prendre son plaisir avec moi ! [...] </w:t>
      </w:r>
      <w:r w:rsidRPr="00BB11AF">
        <w:rPr>
          <w:bCs/>
        </w:rPr>
        <w:t>(Née de la côte d'Adam</w:t>
      </w:r>
      <w:r w:rsidRPr="00BB11AF">
        <w:t xml:space="preserve"> p.186).</w:t>
      </w:r>
    </w:p>
    <w:p w:rsidR="003A3061" w:rsidRPr="00BB11AF" w:rsidRDefault="003A3061" w:rsidP="003A3061">
      <w:pPr>
        <w:pStyle w:val="Grillecouleur-Accent1"/>
      </w:pPr>
    </w:p>
    <w:p w:rsidR="003A3061" w:rsidRPr="00BB11AF" w:rsidRDefault="003A3061" w:rsidP="003A3061">
      <w:pPr>
        <w:spacing w:before="120" w:after="120"/>
        <w:jc w:val="both"/>
      </w:pPr>
      <w:r w:rsidRPr="00BB11AF">
        <w:br w:type="page"/>
        <w:t>[110]</w:t>
      </w:r>
    </w:p>
    <w:p w:rsidR="003A3061" w:rsidRPr="00BB11AF" w:rsidRDefault="003A3061" w:rsidP="003A3061">
      <w:pPr>
        <w:spacing w:before="120" w:after="120"/>
        <w:jc w:val="both"/>
      </w:pPr>
      <w:r w:rsidRPr="00BB11AF">
        <w:t>Dans ce passage, Ébla s'interroge sur le fait qu'un homme, même s'il commet l'adultère comme Awill, puisse être élevé à une pos</w:t>
      </w:r>
      <w:r w:rsidRPr="00BB11AF">
        <w:t>i</w:t>
      </w:r>
      <w:r w:rsidRPr="00BB11AF">
        <w:t>tion de prophète, une personne très proche de Dieu, son porte-parole et son second. La femme, elle, vient au troisième rang après l'homme. Ébla se questionne ici sur la supériorité de l'homme et la soumission de la femme à ce dernier à qui l'on permet même d'avoir plusieurs femmes pour combler ses besoins. Là encore, se glisse une conception rel</w:t>
      </w:r>
      <w:r w:rsidRPr="00BB11AF">
        <w:t>i</w:t>
      </w:r>
      <w:r w:rsidRPr="00BB11AF">
        <w:t>gieuse erronée puisque dans le Coran, il existe à la fois des versets qui promeuvent l'égalité entre les êtres humains</w:t>
      </w:r>
      <w:r>
        <w:t> </w:t>
      </w:r>
      <w:r>
        <w:rPr>
          <w:rStyle w:val="Appelnotedebasdep"/>
        </w:rPr>
        <w:footnoteReference w:id="72"/>
      </w:r>
      <w:r w:rsidRPr="00BB11AF">
        <w:rPr>
          <w:vertAlign w:val="superscript"/>
        </w:rPr>
        <w:t xml:space="preserve"> </w:t>
      </w:r>
      <w:r w:rsidRPr="00BB11AF">
        <w:t>et certains autres qui accordent des « privilèges » à l'homme, comme la polygamie. Ébla aimerait avoir son propre conjoint et ne le partager avec personne, c'est pourquoi elle s'opp</w:t>
      </w:r>
      <w:r w:rsidRPr="00BB11AF">
        <w:t>o</w:t>
      </w:r>
      <w:r w:rsidRPr="00BB11AF">
        <w:t>se à la loi de l'Islam qui permet la polygamie. Effectivement, comme Ébla le souligne, la loi islamique permet à l'homme d'avoir jusqu'à quatre femmes selon des conditions bien pr</w:t>
      </w:r>
      <w:r w:rsidRPr="00BB11AF">
        <w:t>é</w:t>
      </w:r>
      <w:r w:rsidRPr="00BB11AF">
        <w:t>cises</w:t>
      </w:r>
      <w:r>
        <w:t> </w:t>
      </w:r>
      <w:r>
        <w:rPr>
          <w:rStyle w:val="Appelnotedebasdep"/>
        </w:rPr>
        <w:footnoteReference w:id="73"/>
      </w:r>
      <w:r w:rsidRPr="00BB11AF">
        <w:t>. Pour la femme, la loi est stricte, elle ne peut se marier qu'à un homme à la fois, mais la loi lui permet néanmoins de divorcer dans certaines conditions</w:t>
      </w:r>
      <w:r>
        <w:t> </w:t>
      </w:r>
      <w:r>
        <w:rPr>
          <w:rStyle w:val="Appelnotedebasdep"/>
        </w:rPr>
        <w:footnoteReference w:id="74"/>
      </w:r>
      <w:r w:rsidRPr="00BB11AF">
        <w:t>. Ainsi, pour se sortir des problèmes fam</w:t>
      </w:r>
      <w:r w:rsidRPr="00BB11AF">
        <w:t>i</w:t>
      </w:r>
      <w:r w:rsidRPr="00BB11AF">
        <w:t>liaux qui l'accablent, Ébla pense au divorce comme la dernière sol</w:t>
      </w:r>
      <w:r w:rsidRPr="00BB11AF">
        <w:t>u</w:t>
      </w:r>
      <w:r w:rsidRPr="00BB11AF">
        <w:t>tion, mais là encore, elle croit erronément que la loi islamique lui i</w:t>
      </w:r>
      <w:r w:rsidRPr="00BB11AF">
        <w:t>n</w:t>
      </w:r>
      <w:r w:rsidRPr="00BB11AF">
        <w:t>terdit de demander le divorce, un fait qu'elle qualifie d'injuste. Elle rema</w:t>
      </w:r>
      <w:r w:rsidRPr="00BB11AF">
        <w:t>r</w:t>
      </w:r>
      <w:r w:rsidRPr="00BB11AF">
        <w:t>que :</w:t>
      </w:r>
    </w:p>
    <w:p w:rsidR="003A3061" w:rsidRDefault="003A3061" w:rsidP="003A3061">
      <w:pPr>
        <w:pStyle w:val="Grillecouleur-Accent1"/>
      </w:pPr>
    </w:p>
    <w:p w:rsidR="003A3061" w:rsidRDefault="003A3061" w:rsidP="003A3061">
      <w:pPr>
        <w:pStyle w:val="Grillecouleur-Accent1"/>
      </w:pPr>
      <w:r w:rsidRPr="00BB11AF">
        <w:t>[...] Alors ? Demander le divorce ? Dans ce cas-là, la religion est très dure avec les femmes. Pour les hommes, c'est plus facile et il y a toujours moyen de s'arranger. Oh ! Mon Dieu, pardonnez-moi ! Ce n'est pas ce que je voulais dire [...]. Écoutez-moi, Seigneur, je suis pleine de repentir [...] je ne voulais pas Vous offenser [...] j'implore Votre miséricorde. Notre rel</w:t>
      </w:r>
      <w:r w:rsidRPr="00BB11AF">
        <w:t>i</w:t>
      </w:r>
      <w:r w:rsidRPr="00BB11AF">
        <w:t>gion ne se trompe jamais. Jamais ! [...] (</w:t>
      </w:r>
      <w:r w:rsidRPr="00BB11AF">
        <w:rPr>
          <w:i/>
        </w:rPr>
        <w:t xml:space="preserve">Née </w:t>
      </w:r>
      <w:r w:rsidRPr="00BB11AF">
        <w:rPr>
          <w:bCs/>
          <w:i/>
        </w:rPr>
        <w:t>de la côte d'Adam</w:t>
      </w:r>
      <w:r w:rsidRPr="00BB11AF">
        <w:rPr>
          <w:bCs/>
        </w:rPr>
        <w:t>,</w:t>
      </w:r>
      <w:r w:rsidRPr="00BB11AF">
        <w:t xml:space="preserve"> p.189).</w:t>
      </w:r>
    </w:p>
    <w:p w:rsidR="003A3061" w:rsidRPr="00BB11AF" w:rsidRDefault="003A3061" w:rsidP="003A3061">
      <w:pPr>
        <w:pStyle w:val="Grillecouleur-Accent1"/>
      </w:pPr>
    </w:p>
    <w:p w:rsidR="003A3061" w:rsidRPr="00BB11AF" w:rsidRDefault="003A3061" w:rsidP="003A3061">
      <w:pPr>
        <w:spacing w:before="120" w:after="120"/>
        <w:jc w:val="both"/>
      </w:pPr>
      <w:r w:rsidRPr="00BB11AF">
        <w:t>Enfin, Ébla tient à ce qu'on ne puisse jamais altérer la parole de Dieu. Elle qualifie la religion de « dure » et d'injuste envers les fe</w:t>
      </w:r>
      <w:r w:rsidRPr="00BB11AF">
        <w:t>m</w:t>
      </w:r>
      <w:r w:rsidRPr="00BB11AF">
        <w:t>mes, mais, puisque c'est Dieu lui-même qui a fait la religion, on ne doit pas Le questionner. Elle commence à accepter lentement la défa</w:t>
      </w:r>
      <w:r w:rsidRPr="00BB11AF">
        <w:t>i</w:t>
      </w:r>
      <w:r w:rsidRPr="00BB11AF">
        <w:t>te que la « parole divine » lui a fait subir, car dit-elle, elle a tort et la religion a raison. Là encore, Ébla n'est pas en mesure de séparer la vérité rel</w:t>
      </w:r>
      <w:r w:rsidRPr="00BB11AF">
        <w:t>i</w:t>
      </w:r>
      <w:r w:rsidRPr="00BB11AF">
        <w:t>gieuse du mensonge rituel perpétué par l'homme somalien en adme</w:t>
      </w:r>
      <w:r w:rsidRPr="00BB11AF">
        <w:t>t</w:t>
      </w:r>
      <w:r w:rsidRPr="00BB11AF">
        <w:t>tant que ce soit Dieu qui a « fixé sa place dans la société ». Bien qu'e</w:t>
      </w:r>
      <w:r w:rsidRPr="00BB11AF">
        <w:t>l</w:t>
      </w:r>
      <w:r w:rsidRPr="00BB11AF">
        <w:t>le semble croire en Dieu, cela ne veut pas dire qu'elle est naïve au point de ne pas pouvoir s'interroger à propos de certains s</w:t>
      </w:r>
      <w:r w:rsidRPr="00BB11AF">
        <w:t>u</w:t>
      </w:r>
      <w:r w:rsidRPr="00BB11AF">
        <w:t>jets rel</w:t>
      </w:r>
      <w:r w:rsidRPr="00BB11AF">
        <w:t>i</w:t>
      </w:r>
      <w:r w:rsidRPr="00BB11AF">
        <w:t>gieux. On la voit dans tout le roman questionner sans relâche aussi bien les dogmes religieux que la morale patriarcale. Et, comme elle ne trouve pas de réponses satisfaisantes tout au long du récit, elle en arr</w:t>
      </w:r>
      <w:r w:rsidRPr="00BB11AF">
        <w:t>i</w:t>
      </w:r>
      <w:r w:rsidRPr="00BB11AF">
        <w:t>ve à la conclusion que la manière dont on la traite doit être son de</w:t>
      </w:r>
      <w:r w:rsidRPr="00BB11AF">
        <w:t>s</w:t>
      </w:r>
      <w:r w:rsidRPr="00BB11AF">
        <w:t>tin, car elle ne peut pas changer la tradition ni la religion. Elle se dit :</w:t>
      </w:r>
    </w:p>
    <w:p w:rsidR="003A3061" w:rsidRPr="00BB11AF" w:rsidRDefault="003A3061" w:rsidP="003A3061">
      <w:pPr>
        <w:pStyle w:val="Grillecouleur-Accent1"/>
      </w:pPr>
      <w:r w:rsidRPr="00BB11AF">
        <w:t>[...] C'est Dieu qui a créé la femme à partir d'une côte prélevée sur la personne d'Adam. Mais cette côte était tordue [...]. Pas moyen de la r</w:t>
      </w:r>
      <w:r w:rsidRPr="00BB11AF">
        <w:t>e</w:t>
      </w:r>
      <w:r w:rsidRPr="00BB11AF">
        <w:t>dresser ou alors, on risque de la</w:t>
      </w:r>
      <w:r>
        <w:t xml:space="preserve"> </w:t>
      </w:r>
      <w:r w:rsidRPr="00BB11AF">
        <w:t>[111]</w:t>
      </w:r>
      <w:r>
        <w:t xml:space="preserve"> </w:t>
      </w:r>
      <w:r w:rsidRPr="00BB11AF">
        <w:t>casser tout à fait. C'est ça, c'est cette côte tordue qui met la femme au rang des inférieurs ! [...] (</w:t>
      </w:r>
      <w:r w:rsidRPr="00BB11AF">
        <w:rPr>
          <w:bCs/>
          <w:i/>
        </w:rPr>
        <w:t>Née de la côte d'Adam</w:t>
      </w:r>
      <w:r w:rsidRPr="00BB11AF">
        <w:rPr>
          <w:bCs/>
        </w:rPr>
        <w:t>,</w:t>
      </w:r>
      <w:r w:rsidRPr="00BB11AF">
        <w:t xml:space="preserve"> p.183).</w:t>
      </w:r>
    </w:p>
    <w:p w:rsidR="003A3061" w:rsidRPr="00BB11AF" w:rsidRDefault="003A3061" w:rsidP="003A3061">
      <w:pPr>
        <w:spacing w:before="120" w:after="120"/>
        <w:jc w:val="both"/>
      </w:pPr>
      <w:r w:rsidRPr="00BB11AF">
        <w:t>Étant illettrée et endoctrinée par le système patriarcal, elle n'est pas en mesure de discerner la vérité religieuse de la doctrine traditionne</w:t>
      </w:r>
      <w:r w:rsidRPr="00BB11AF">
        <w:t>l</w:t>
      </w:r>
      <w:r w:rsidRPr="00BB11AF">
        <w:t>le. Elle accepte aveuglément que Dieu l'ait créée à partir d'une côte déformée. Malgré tout, Ébla se rend compte qu'elle est traitée inférie</w:t>
      </w:r>
      <w:r w:rsidRPr="00BB11AF">
        <w:t>u</w:t>
      </w:r>
      <w:r w:rsidRPr="00BB11AF">
        <w:t>rement à l'homme à cause de leur origine « divine » selon la conce</w:t>
      </w:r>
      <w:r w:rsidRPr="00BB11AF">
        <w:t>p</w:t>
      </w:r>
      <w:r w:rsidRPr="00BB11AF">
        <w:t>tion somalienne. C'est cette origine falsifiée de la femme que Farah identifie en premier lieu comme la base de la crise des sexes vécue par les femmes somaliennes dont Ébla est l'incarnation. Puisque dans to</w:t>
      </w:r>
      <w:r w:rsidRPr="00BB11AF">
        <w:t>u</w:t>
      </w:r>
      <w:r w:rsidRPr="00BB11AF">
        <w:t>te la crise somalienne et au cours de l'histoire, les femmes ont to</w:t>
      </w:r>
      <w:r w:rsidRPr="00BB11AF">
        <w:t>u</w:t>
      </w:r>
      <w:r w:rsidRPr="00BB11AF">
        <w:t>jours été les principales victimes ; d'abord du système patriarcal au niveau familial, puis de la colonisation, de l'esclavage, de la dictature et a</w:t>
      </w:r>
      <w:r w:rsidRPr="00BB11AF">
        <w:t>u</w:t>
      </w:r>
      <w:r w:rsidRPr="00BB11AF">
        <w:t>jourd'hui de la guerre interclanique et de la violence armée, tous des facteurs qui ont co</w:t>
      </w:r>
      <w:r w:rsidRPr="00BB11AF">
        <w:t>l</w:t>
      </w:r>
      <w:r w:rsidRPr="00BB11AF">
        <w:t>lectivement participé à la dégradation du statut de la femme tout en permettant au système patriarcal de se consolider et de maintenir la femme de plus en plus dans un statut d'invisibilité et d'infériorité.</w:t>
      </w:r>
    </w:p>
    <w:p w:rsidR="003A3061" w:rsidRPr="00BB11AF" w:rsidRDefault="003A3061" w:rsidP="003A3061">
      <w:pPr>
        <w:spacing w:before="120" w:after="120"/>
        <w:jc w:val="both"/>
      </w:pPr>
    </w:p>
    <w:p w:rsidR="003A3061" w:rsidRPr="00BB11AF" w:rsidRDefault="003A3061" w:rsidP="003A3061">
      <w:pPr>
        <w:pStyle w:val="planche"/>
      </w:pPr>
      <w:r w:rsidRPr="00BB11AF">
        <w:t>Parallèles entre le roman</w:t>
      </w:r>
      <w:r>
        <w:br/>
      </w:r>
      <w:r w:rsidRPr="00BB11AF">
        <w:t>et la société contemporaine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L'histoire d'Ébla se déroule dans les années i960 ou 1970 en Som</w:t>
      </w:r>
      <w:r w:rsidRPr="00BB11AF">
        <w:t>a</w:t>
      </w:r>
      <w:r w:rsidRPr="00BB11AF">
        <w:t>lie, mais il est possible de retracer à travers l'œuvre de Farah et l'a</w:t>
      </w:r>
      <w:r w:rsidRPr="00BB11AF">
        <w:t>c</w:t>
      </w:r>
      <w:r w:rsidRPr="00BB11AF">
        <w:t>tualité somalienne l'évolution de cette crise entre sexes opp</w:t>
      </w:r>
      <w:r w:rsidRPr="00BB11AF">
        <w:t>o</w:t>
      </w:r>
      <w:r w:rsidRPr="00BB11AF">
        <w:t>sés en Somalie jusqu'à nos jours. Afin de répondre aux questions posées pr</w:t>
      </w:r>
      <w:r w:rsidRPr="00BB11AF">
        <w:t>é</w:t>
      </w:r>
      <w:r w:rsidRPr="00BB11AF">
        <w:t>cédemment, nous avons dû recourir aux œuvres littéra</w:t>
      </w:r>
      <w:r w:rsidRPr="00BB11AF">
        <w:t>i</w:t>
      </w:r>
      <w:r w:rsidRPr="00BB11AF">
        <w:t>res de Farah tout en les contrastant avec des données de l'actualité somalienne a</w:t>
      </w:r>
      <w:r w:rsidRPr="00BB11AF">
        <w:t>u</w:t>
      </w:r>
      <w:r w:rsidRPr="00BB11AF">
        <w:t>tour du sujet du statut actuel de la femme somalie</w:t>
      </w:r>
      <w:r w:rsidRPr="00BB11AF">
        <w:t>n</w:t>
      </w:r>
      <w:r w:rsidRPr="00BB11AF">
        <w:t>ne. Durant l'époque d'Ébla et jusqu'à nos jours, des pratiques défavorisant les femmes sont courantes dans la société somalienne. F</w:t>
      </w:r>
      <w:r w:rsidRPr="00BB11AF">
        <w:t>a</w:t>
      </w:r>
      <w:r w:rsidRPr="00BB11AF">
        <w:t>rah a reflété cette réalité dans ses romans.</w:t>
      </w:r>
    </w:p>
    <w:p w:rsidR="003A3061" w:rsidRPr="00BB11AF" w:rsidRDefault="003A3061" w:rsidP="003A3061">
      <w:pPr>
        <w:spacing w:before="120" w:after="120"/>
        <w:jc w:val="both"/>
      </w:pPr>
      <w:r w:rsidRPr="00BB11AF">
        <w:t>La crise des sexes perpétuée par les pratiques traditionnelles est a</w:t>
      </w:r>
      <w:r w:rsidRPr="00BB11AF">
        <w:t>u</w:t>
      </w:r>
      <w:r w:rsidRPr="00BB11AF">
        <w:t>jourd'hui accentuée par la crise politique, économique et sécur</w:t>
      </w:r>
      <w:r w:rsidRPr="00BB11AF">
        <w:t>i</w:t>
      </w:r>
      <w:r w:rsidRPr="00BB11AF">
        <w:t xml:space="preserve">taire. Nous lisons dans le rapport du Programme des Nations Unies pour le développement (PNUD) de 2012, </w:t>
      </w:r>
      <w:r w:rsidRPr="00BB11AF">
        <w:rPr>
          <w:i/>
        </w:rPr>
        <w:t>Somalia Human Development R</w:t>
      </w:r>
      <w:r w:rsidRPr="00BB11AF">
        <w:rPr>
          <w:i/>
        </w:rPr>
        <w:t>e</w:t>
      </w:r>
      <w:r w:rsidRPr="00BB11AF">
        <w:rPr>
          <w:i/>
        </w:rPr>
        <w:t>port,</w:t>
      </w:r>
      <w:r w:rsidRPr="00BB11AF">
        <w:t xml:space="preserve"> 2012 : </w:t>
      </w:r>
      <w:r w:rsidRPr="00BB11AF">
        <w:rPr>
          <w:i/>
        </w:rPr>
        <w:t>Empowering Youth for Peace and Development</w:t>
      </w:r>
      <w:r w:rsidRPr="00BB11AF">
        <w:t>, qu'env</w:t>
      </w:r>
      <w:r w:rsidRPr="00BB11AF">
        <w:t>i</w:t>
      </w:r>
      <w:r w:rsidRPr="00BB11AF">
        <w:t>ron 1,5 million de Somaliens sont déplacés à l'i</w:t>
      </w:r>
      <w:r w:rsidRPr="00BB11AF">
        <w:t>n</w:t>
      </w:r>
      <w:r w:rsidRPr="00BB11AF">
        <w:t>térieur du pays, plus de 570000 réfugiés sont dispersés dans la r</w:t>
      </w:r>
      <w:r w:rsidRPr="00BB11AF">
        <w:t>é</w:t>
      </w:r>
      <w:r w:rsidRPr="00BB11AF">
        <w:t>gion environnante et près de 3 millions de personnes dépendraient de l'aide humanitaire. En jui</w:t>
      </w:r>
      <w:r w:rsidRPr="00BB11AF">
        <w:t>l</w:t>
      </w:r>
      <w:r w:rsidRPr="00BB11AF">
        <w:t>let 2010, la ville de Mogadiscio avait une population estimée à plus de 372 000 personnes déplacées. Parmi les groupes les plus vulnérables, les femmes et les enfants. Dans ces conditions précaires, les femmes sont particulièrement vulnérables aux abus sexuels et à la discrimin</w:t>
      </w:r>
      <w:r w:rsidRPr="00BB11AF">
        <w:t>a</w:t>
      </w:r>
      <w:r w:rsidRPr="00BB11AF">
        <w:t>tion, comme le confirme le rapport.</w:t>
      </w:r>
    </w:p>
    <w:p w:rsidR="003A3061" w:rsidRPr="00BB11AF" w:rsidRDefault="003A3061" w:rsidP="003A3061">
      <w:pPr>
        <w:spacing w:before="120" w:after="120"/>
        <w:jc w:val="both"/>
      </w:pPr>
      <w:r w:rsidRPr="00BB11AF">
        <w:t>[112]</w:t>
      </w:r>
    </w:p>
    <w:p w:rsidR="003A3061" w:rsidRPr="00BB11AF" w:rsidRDefault="003A3061" w:rsidP="003A3061">
      <w:pPr>
        <w:spacing w:before="120" w:after="120"/>
        <w:jc w:val="both"/>
      </w:pPr>
      <w:r w:rsidRPr="00BB11AF">
        <w:t>Au-delà de l'actualité, le rapport signale que les filles et les fe</w:t>
      </w:r>
      <w:r w:rsidRPr="00BB11AF">
        <w:t>m</w:t>
      </w:r>
      <w:r w:rsidRPr="00BB11AF">
        <w:t xml:space="preserve">mes somaliennes n'ont jamais véritablement eu une voix devant les hommes. D'un côté, dit le rapport, la loi traditionnelle du </w:t>
      </w:r>
      <w:r w:rsidRPr="00BB11AF">
        <w:rPr>
          <w:i/>
        </w:rPr>
        <w:t>xeer</w:t>
      </w:r>
      <w:r w:rsidRPr="00BB11AF">
        <w:t xml:space="preserve"> reco</w:t>
      </w:r>
      <w:r w:rsidRPr="00BB11AF">
        <w:t>n</w:t>
      </w:r>
      <w:r w:rsidRPr="00BB11AF">
        <w:t>naît les droits des hommes, mais limite ceux des femmes, sign</w:t>
      </w:r>
      <w:r w:rsidRPr="00BB11AF">
        <w:t>i</w:t>
      </w:r>
      <w:r w:rsidRPr="00BB11AF">
        <w:t>fiant que la vie d'une femme vaut moins que celle d'un homme. De l'autre côté, la loi islamique (Charia) offre aux femmes un mei</w:t>
      </w:r>
      <w:r w:rsidRPr="00BB11AF">
        <w:t>l</w:t>
      </w:r>
      <w:r w:rsidRPr="00BB11AF">
        <w:t xml:space="preserve">leur degré de justice que celle du </w:t>
      </w:r>
      <w:r w:rsidRPr="00BB11AF">
        <w:rPr>
          <w:i/>
        </w:rPr>
        <w:t>xeer</w:t>
      </w:r>
      <w:r w:rsidRPr="00BB11AF">
        <w:t>, mais elle est malheureusement a</w:t>
      </w:r>
      <w:r w:rsidRPr="00BB11AF">
        <w:t>d</w:t>
      </w:r>
      <w:r w:rsidRPr="00BB11AF">
        <w:t>ministrée par les hommes. Quant au Code civil, il est rarement utilisé faute d'un pouvoir politique centralisé. La femme étant considérée comme inf</w:t>
      </w:r>
      <w:r w:rsidRPr="00BB11AF">
        <w:t>é</w:t>
      </w:r>
      <w:r w:rsidRPr="00BB11AF">
        <w:t>rieure à l'homme, elle doit faire face à une myriade de préjugés et de pratiques discriminatoires comme la polygamie, le viol et l'accès lim</w:t>
      </w:r>
      <w:r w:rsidRPr="00BB11AF">
        <w:t>i</w:t>
      </w:r>
      <w:r w:rsidRPr="00BB11AF">
        <w:t>té aux opportunités et aux ressources ; des faits qui sont visibles à tr</w:t>
      </w:r>
      <w:r w:rsidRPr="00BB11AF">
        <w:t>a</w:t>
      </w:r>
      <w:r w:rsidRPr="00BB11AF">
        <w:t>vers les romans de Farah. Farah révèle ces pratiques n</w:t>
      </w:r>
      <w:r w:rsidRPr="00BB11AF">
        <w:t>é</w:t>
      </w:r>
      <w:r w:rsidRPr="00BB11AF">
        <w:t>gatives dans son œuvre et montre comment la discrimination suit la femme jusqu'à la mort. Par exemple, nous lisons dans Sardines (1981 : 199) que les garçons sont enterrés au cimetière familial alors que les filles sont e</w:t>
      </w:r>
      <w:r w:rsidRPr="00BB11AF">
        <w:t>n</w:t>
      </w:r>
      <w:r w:rsidRPr="00BB11AF">
        <w:t>terrées à l'extérieur sans pierre pour marquer leurs tombes. Nous e</w:t>
      </w:r>
      <w:r w:rsidRPr="00BB11AF">
        <w:t>n</w:t>
      </w:r>
      <w:r w:rsidRPr="00BB11AF">
        <w:t>tendons Fatima Bint Thabit, une femme âgée, se l</w:t>
      </w:r>
      <w:r w:rsidRPr="00BB11AF">
        <w:t>a</w:t>
      </w:r>
      <w:r w:rsidRPr="00BB11AF">
        <w:t>mentant ainsi :</w:t>
      </w:r>
    </w:p>
    <w:p w:rsidR="003A3061" w:rsidRDefault="003A3061" w:rsidP="003A3061">
      <w:pPr>
        <w:pStyle w:val="Grillecouleur-Accent1"/>
      </w:pPr>
    </w:p>
    <w:p w:rsidR="003A3061" w:rsidRDefault="003A3061" w:rsidP="003A3061">
      <w:pPr>
        <w:pStyle w:val="Grillecouleur-Accent1"/>
      </w:pPr>
      <w:r w:rsidRPr="00BB11AF">
        <w:t xml:space="preserve">[...] La tradition de mon peuple m'enferme entre les quatre murs d'une prison et fait de moi la propriété exclusive d'un homme [...] </w:t>
      </w:r>
      <w:r w:rsidRPr="00BB11AF">
        <w:rPr>
          <w:bCs/>
        </w:rPr>
        <w:t>(Sardines,</w:t>
      </w:r>
      <w:r w:rsidRPr="00BB11AF">
        <w:t xml:space="preserve"> p.192).</w:t>
      </w:r>
    </w:p>
    <w:p w:rsidR="003A3061" w:rsidRPr="00BB11AF" w:rsidRDefault="003A3061" w:rsidP="003A3061">
      <w:pPr>
        <w:pStyle w:val="Grillecouleur-Accent1"/>
      </w:pPr>
    </w:p>
    <w:p w:rsidR="003A3061" w:rsidRPr="00BB11AF" w:rsidRDefault="003A3061" w:rsidP="003A3061">
      <w:pPr>
        <w:spacing w:before="120" w:after="120"/>
        <w:jc w:val="both"/>
      </w:pPr>
      <w:r w:rsidRPr="00BB11AF">
        <w:t>En lisant le même rapport du PNUD de 2012 sur le développ</w:t>
      </w:r>
      <w:r w:rsidRPr="00BB11AF">
        <w:t>e</w:t>
      </w:r>
      <w:r w:rsidRPr="00BB11AF">
        <w:t>ment humain en Somalie, on peut constater que les entrevues réal</w:t>
      </w:r>
      <w:r w:rsidRPr="00BB11AF">
        <w:t>i</w:t>
      </w:r>
      <w:r w:rsidRPr="00BB11AF">
        <w:t>sées dans le cadre de ce rapport confirment que le mariage précoce et forcé se pratique encore en Somalie. Ainsi, beaucoup de filles somaliennes sont « données en mariage » à un âge précoce, après quoi elles doivent commencer à produire des enfants. Il est cons</w:t>
      </w:r>
      <w:r w:rsidRPr="00BB11AF">
        <w:t>i</w:t>
      </w:r>
      <w:r w:rsidRPr="00BB11AF">
        <w:t>déré comme normal qu'un homme âgé épouse une adolescente. Les principales raisons de cette pratique sont la valeur accordée à la virginité des filles et le prix de la mariée. Cette pratique est reflétée dans les romans de Farah. D</w:t>
      </w:r>
      <w:r w:rsidRPr="00BB11AF">
        <w:t>u</w:t>
      </w:r>
      <w:r w:rsidRPr="00BB11AF">
        <w:t>niya (Dons 1986) et la jeune femme du vieux Caloosha, le seigneur de guerre (Exils 2003), sont toutes deux victimes du mariage précoce. Ceux qui continuent à propager cette tradition méprisante sont les hommes et les femmes conservateurs de tous âges. Dans Sardines (1981), nous rencontrons le père de Médina ainsi qu'ldil, la mère de Samater, deux personnages qui tiennent à la tradition de leur peuple. Idil veut infibuler sa petite-fille Ubax, mais n'y arrive pas parce que cette dernière reçoit la haute protection de sa mère, Médina, instruite et émancipée et qui s'oppose à l'excision. Dans Dons (1986), Shiiriye, le frère de D</w:t>
      </w:r>
      <w:r w:rsidRPr="00BB11AF">
        <w:t>u</w:t>
      </w:r>
      <w:r w:rsidRPr="00BB11AF">
        <w:t>niya, tient à ce que la femme, en se référant à sa sœur, ait toujours besoin d'un homme à côté d'elle si celle-ci veut qu'on la prenne au sérieux. Cette dernière a été victime d'un mariage arrangé par son père, décédé, avec un vieux malade. Dans Exils (2003), C</w:t>
      </w:r>
      <w:r w:rsidRPr="00BB11AF">
        <w:t>a</w:t>
      </w:r>
      <w:r w:rsidRPr="00BB11AF">
        <w:t>loosha représente ces anciens protecteurs de la tradition qui humilient les femmes. Il a épousé une jeune fille qui pourrait être sa petite-fille.</w:t>
      </w:r>
    </w:p>
    <w:p w:rsidR="003A3061" w:rsidRPr="00BB11AF" w:rsidRDefault="003A3061" w:rsidP="003A3061">
      <w:pPr>
        <w:spacing w:before="120" w:after="120"/>
        <w:jc w:val="both"/>
      </w:pPr>
      <w:r w:rsidRPr="00BB11AF">
        <w:t>La question de l'excision ne cesse de préoccuper Farah qui mult</w:t>
      </w:r>
      <w:r w:rsidRPr="00BB11AF">
        <w:t>i</w:t>
      </w:r>
      <w:r w:rsidRPr="00BB11AF">
        <w:t>plie les références dans ses romans. Il parle en détail des effets nég</w:t>
      </w:r>
      <w:r w:rsidRPr="00BB11AF">
        <w:t>a</w:t>
      </w:r>
      <w:r w:rsidRPr="00BB11AF">
        <w:t>tifs qui résultent de cette pratique qu'il qualifie de « barbare ».</w:t>
      </w:r>
    </w:p>
    <w:p w:rsidR="003A3061" w:rsidRPr="00BB11AF" w:rsidRDefault="003A3061" w:rsidP="003A3061">
      <w:pPr>
        <w:spacing w:before="120" w:after="120"/>
        <w:jc w:val="both"/>
      </w:pPr>
      <w:r w:rsidRPr="00BB11AF">
        <w:t>[113]</w:t>
      </w:r>
    </w:p>
    <w:p w:rsidR="003A3061" w:rsidRPr="00BB11AF" w:rsidRDefault="003A3061" w:rsidP="003A3061">
      <w:pPr>
        <w:spacing w:before="120" w:after="120"/>
        <w:jc w:val="both"/>
      </w:pPr>
      <w:r w:rsidRPr="00BB11AF">
        <w:t>L'accouchement est présenté dans ses romans comme montrant toute la gravité de cette pratique et de ses conséquences. Par exe</w:t>
      </w:r>
      <w:r w:rsidRPr="00BB11AF">
        <w:t>m</w:t>
      </w:r>
      <w:r w:rsidRPr="00BB11AF">
        <w:t>ple, le lecteur peut imaginer l'intensité de la douleur en lisant les paragr</w:t>
      </w:r>
      <w:r w:rsidRPr="00BB11AF">
        <w:t>a</w:t>
      </w:r>
      <w:r w:rsidRPr="00BB11AF">
        <w:t>phes détaillant la douleur qu'a éprouvée Médina lors de l'accouch</w:t>
      </w:r>
      <w:r w:rsidRPr="00BB11AF">
        <w:t>e</w:t>
      </w:r>
      <w:r w:rsidRPr="00BB11AF">
        <w:t>ment de sa fille Ubax (Sardines 1981 : 86-87). D'autres femmes dans l'œuvre de Farah ont subi cette humiliation, à savoir Ébla, Am</w:t>
      </w:r>
      <w:r w:rsidRPr="00BB11AF">
        <w:t>i</w:t>
      </w:r>
      <w:r w:rsidRPr="00BB11AF">
        <w:t>na, (Sardines 1981) et Duniya (Dons 1986). En outre, il faut savoir que l'excision est une pratique encore courante parmi les Somaliennes. Le rapport de l'état de la pratique de l'excision en Somalie publié en jui</w:t>
      </w:r>
      <w:r w:rsidRPr="00BB11AF">
        <w:t>l</w:t>
      </w:r>
      <w:r w:rsidRPr="00BB11AF">
        <w:t>let 2013 par le Fonds des Nations unies pour l'enfance (UNICEF) a</w:t>
      </w:r>
      <w:r w:rsidRPr="00BB11AF">
        <w:t>f</w:t>
      </w:r>
      <w:r w:rsidRPr="00BB11AF">
        <w:t>firme que l'e</w:t>
      </w:r>
      <w:r w:rsidRPr="00BB11AF">
        <w:t>x</w:t>
      </w:r>
      <w:r w:rsidRPr="00BB11AF">
        <w:t>cision est une pratique toujours présente dans beaucoup de pays africains et asiatiques. Selon ce rapport, 98% des Somalie</w:t>
      </w:r>
      <w:r w:rsidRPr="00BB11AF">
        <w:t>n</w:t>
      </w:r>
      <w:r w:rsidRPr="00BB11AF">
        <w:t>nes seraient excisées.</w:t>
      </w:r>
    </w:p>
    <w:p w:rsidR="003A3061" w:rsidRPr="00BB11AF" w:rsidRDefault="003A3061" w:rsidP="003A3061">
      <w:pPr>
        <w:spacing w:before="120" w:after="120"/>
        <w:jc w:val="both"/>
      </w:pPr>
      <w:r w:rsidRPr="00BB11AF">
        <w:t>De même, Farah nous informe que, traditionnellement, le viol n'est pas un crime punissable en Somalie. Le violeur épouse si</w:t>
      </w:r>
      <w:r w:rsidRPr="00BB11AF">
        <w:t>m</w:t>
      </w:r>
      <w:r w:rsidRPr="00BB11AF">
        <w:t>plement sa victime (Sardines 1981 : 170). Les femmes habitant des villages s</w:t>
      </w:r>
      <w:r w:rsidRPr="00BB11AF">
        <w:t>o</w:t>
      </w:r>
      <w:r w:rsidRPr="00BB11AF">
        <w:t>maliens et également celles déplacées à l'intérieur de leur propre pays, connaissent souvent cette forme de sévices sexuels. Le rapport actuel au sujet du harcèlement sexuel en Somalie est publié en 2014 par l'o</w:t>
      </w:r>
      <w:r w:rsidRPr="00BB11AF">
        <w:t>r</w:t>
      </w:r>
      <w:r w:rsidRPr="00BB11AF">
        <w:t xml:space="preserve">ganisation non gouvernementale </w:t>
      </w:r>
      <w:r w:rsidRPr="00BB11AF">
        <w:rPr>
          <w:i/>
        </w:rPr>
        <w:t>H</w:t>
      </w:r>
      <w:r w:rsidRPr="00BB11AF">
        <w:rPr>
          <w:i/>
        </w:rPr>
        <w:t>u</w:t>
      </w:r>
      <w:r w:rsidRPr="00BB11AF">
        <w:rPr>
          <w:i/>
        </w:rPr>
        <w:t>man Rights Watch</w:t>
      </w:r>
      <w:r w:rsidRPr="00BB11AF">
        <w:t xml:space="preserve">. Son titre </w:t>
      </w:r>
      <w:r w:rsidRPr="00BB11AF">
        <w:rPr>
          <w:i/>
        </w:rPr>
        <w:t>Here Rape is Normal : A Five-point Plan to Curtail Sexual Violence in S</w:t>
      </w:r>
      <w:r w:rsidRPr="00BB11AF">
        <w:rPr>
          <w:i/>
        </w:rPr>
        <w:t>o</w:t>
      </w:r>
      <w:r w:rsidRPr="00BB11AF">
        <w:rPr>
          <w:i/>
        </w:rPr>
        <w:t>malia</w:t>
      </w:r>
      <w:r w:rsidRPr="00BB11AF">
        <w:t xml:space="preserve"> illustre l'état de ces s</w:t>
      </w:r>
      <w:r w:rsidRPr="00BB11AF">
        <w:t>é</w:t>
      </w:r>
      <w:r w:rsidRPr="00BB11AF">
        <w:t>vices. La violence sexuelle est répandue dans une grande partie de la Somalie. Deux décennies de guerre civile et l'effondrement de l'État ont créé une grande population de perso</w:t>
      </w:r>
      <w:r w:rsidRPr="00BB11AF">
        <w:t>n</w:t>
      </w:r>
      <w:r w:rsidRPr="00BB11AF">
        <w:t>nes déplacées et d'autres personnes vulnérables à la violence sexuelle. Des assai</w:t>
      </w:r>
      <w:r w:rsidRPr="00BB11AF">
        <w:t>l</w:t>
      </w:r>
      <w:r w:rsidRPr="00BB11AF">
        <w:t>lants armés, y compris les membres des forces de sécurité de l'État, commettent en toute impunité des agressions sexuelles et des viols dans des camps des personnes déplacées ou même lorsqu'elles sont sur la route, vers le marché notamment. Selon ce même rapport, l'Organisation des Nations Unies aurait rapporté près de 800 cas de violence sexuelle à Mogadiscio pour les six pr</w:t>
      </w:r>
      <w:r w:rsidRPr="00BB11AF">
        <w:t>e</w:t>
      </w:r>
      <w:r w:rsidRPr="00BB11AF">
        <w:t>miers mois de 2013. Le nombre réel est probablement beaucoup plus élevé, affirme néa</w:t>
      </w:r>
      <w:r w:rsidRPr="00BB11AF">
        <w:t>n</w:t>
      </w:r>
      <w:r w:rsidRPr="00BB11AF">
        <w:t>moins le rapport, puisque beaucoup de victimes ne s</w:t>
      </w:r>
      <w:r w:rsidRPr="00BB11AF">
        <w:t>i</w:t>
      </w:r>
      <w:r w:rsidRPr="00BB11AF">
        <w:t>gnalent pas le viol et l'agression sexuelle parce qu'elles ne font pas confiance au sy</w:t>
      </w:r>
      <w:r w:rsidRPr="00BB11AF">
        <w:t>s</w:t>
      </w:r>
      <w:r w:rsidRPr="00BB11AF">
        <w:t>tème de justice somalien. La question du viol et du harcèlement sexuel fait écho aux sévices subit par Amina dans le r</w:t>
      </w:r>
      <w:r w:rsidRPr="00BB11AF">
        <w:t>o</w:t>
      </w:r>
      <w:r w:rsidRPr="00BB11AF">
        <w:t>man Sardines (1986). Amina a été violée par trois hommes bien co</w:t>
      </w:r>
      <w:r w:rsidRPr="00BB11AF">
        <w:t>n</w:t>
      </w:r>
      <w:r w:rsidRPr="00BB11AF">
        <w:t>nus d'elle et du Général (Siad Barre). Deux coupables s'enfuient alors que l'un est arrêté et l</w:t>
      </w:r>
      <w:r w:rsidRPr="00BB11AF">
        <w:t>i</w:t>
      </w:r>
      <w:r w:rsidRPr="00BB11AF">
        <w:t>béré un mois après. Amina tombe e</w:t>
      </w:r>
      <w:r w:rsidRPr="00BB11AF">
        <w:t>n</w:t>
      </w:r>
      <w:r w:rsidRPr="00BB11AF">
        <w:t>ceinte et elle n'a d'autre choix que d'élever toute seule une de ses jumelles qui survit. C'est à partir de ces quelques exemples que nous pouvons tirer la conclusion que l'œuvre de Farah est un miroir de la société som</w:t>
      </w:r>
      <w:r w:rsidRPr="00BB11AF">
        <w:t>a</w:t>
      </w:r>
      <w:r w:rsidRPr="00BB11AF">
        <w:t>lienne.</w:t>
      </w:r>
    </w:p>
    <w:p w:rsidR="003A3061" w:rsidRPr="00BB11AF" w:rsidRDefault="003A3061" w:rsidP="003A3061">
      <w:pPr>
        <w:spacing w:before="120" w:after="120"/>
        <w:jc w:val="both"/>
      </w:pPr>
      <w:r>
        <w:br w:type="page"/>
      </w:r>
    </w:p>
    <w:p w:rsidR="003A3061" w:rsidRPr="00BB11AF" w:rsidRDefault="003A3061" w:rsidP="003A3061">
      <w:pPr>
        <w:pStyle w:val="planche"/>
      </w:pPr>
      <w:r w:rsidRPr="00BB11AF">
        <w:t>La prise d</w:t>
      </w:r>
      <w:r>
        <w:t>e parole comme outil</w:t>
      </w:r>
      <w:r>
        <w:br/>
      </w:r>
      <w:r w:rsidRPr="00BB11AF">
        <w:t>d'émancipation de la femme</w:t>
      </w:r>
    </w:p>
    <w:p w:rsidR="003A3061" w:rsidRPr="00BB11AF" w:rsidRDefault="003A3061" w:rsidP="003A3061">
      <w:pPr>
        <w:spacing w:before="120" w:after="120"/>
        <w:jc w:val="both"/>
      </w:pPr>
    </w:p>
    <w:p w:rsidR="003A3061" w:rsidRPr="00BB11AF" w:rsidRDefault="003A3061" w:rsidP="003A3061">
      <w:pPr>
        <w:pStyle w:val="a"/>
      </w:pPr>
      <w:r w:rsidRPr="00BB11AF">
        <w:t>Une quête au préalable</w:t>
      </w:r>
    </w:p>
    <w:p w:rsidR="003A3061" w:rsidRDefault="003A3061" w:rsidP="003A3061">
      <w:pPr>
        <w:spacing w:before="120" w:after="120"/>
        <w:jc w:val="both"/>
      </w:pPr>
    </w:p>
    <w:p w:rsidR="003A3061" w:rsidRPr="00BB11AF" w:rsidRDefault="003A3061" w:rsidP="003A3061">
      <w:pPr>
        <w:spacing w:before="120" w:after="120"/>
        <w:jc w:val="both"/>
      </w:pPr>
      <w:r w:rsidRPr="00BB11AF">
        <w:t>[114]</w:t>
      </w:r>
    </w:p>
    <w:p w:rsidR="003A3061" w:rsidRPr="00BB11AF" w:rsidRDefault="003A3061" w:rsidP="003A3061">
      <w:pPr>
        <w:spacing w:before="120" w:after="120"/>
        <w:jc w:val="both"/>
      </w:pPr>
      <w:r w:rsidRPr="00BB11AF">
        <w:t>Ébla a grandi dans une concession somalienne. Comme nous l'avons déjà évoqué, le grand-père d'Ébla qui était son gardien un</w:t>
      </w:r>
      <w:r w:rsidRPr="00BB11AF">
        <w:t>i</w:t>
      </w:r>
      <w:r w:rsidRPr="00BB11AF">
        <w:t>que avait promis sa main à un vieux marchand de vaches. Ébla a décidé de s'enfuir. Sa décision n'était pas uniquement pour éviter le mariage fo</w:t>
      </w:r>
      <w:r w:rsidRPr="00BB11AF">
        <w:t>r</w:t>
      </w:r>
      <w:r w:rsidRPr="00BB11AF">
        <w:t>cé, mais aussi pour se libérer et jouir pleinement de ses droits. Elle vo</w:t>
      </w:r>
      <w:r w:rsidRPr="00BB11AF">
        <w:t>u</w:t>
      </w:r>
      <w:r w:rsidRPr="00BB11AF">
        <w:t>lait abandonner la concession pour aller vers une vie totalement différente. Son rêve de liberté est illustré dans les mots suivants ass</w:t>
      </w:r>
      <w:r w:rsidRPr="00BB11AF">
        <w:t>u</w:t>
      </w:r>
      <w:r w:rsidRPr="00BB11AF">
        <w:t>més par Farah :</w:t>
      </w:r>
    </w:p>
    <w:p w:rsidR="003A3061" w:rsidRDefault="003A3061" w:rsidP="003A3061">
      <w:pPr>
        <w:pStyle w:val="Grillecouleur-Accent1"/>
      </w:pPr>
    </w:p>
    <w:p w:rsidR="003A3061" w:rsidRDefault="003A3061" w:rsidP="003A3061">
      <w:pPr>
        <w:pStyle w:val="Grillecouleur-Accent1"/>
      </w:pPr>
      <w:r w:rsidRPr="00BB11AF">
        <w:t>[...] Quel bonheur de ne plus avoir à vivre au seul rythme des sa</w:t>
      </w:r>
      <w:r w:rsidRPr="00BB11AF">
        <w:t>i</w:t>
      </w:r>
      <w:r w:rsidRPr="00BB11AF">
        <w:t>sons, ce terrible calendrier des nomades, d'oublier les chamaill</w:t>
      </w:r>
      <w:r w:rsidRPr="00BB11AF">
        <w:t>e</w:t>
      </w:r>
      <w:r w:rsidRPr="00BB11AF">
        <w:t>ries au puits quand les pluies qui tardent rendent l'eau rare ! Quel soulagement d'écha</w:t>
      </w:r>
      <w:r w:rsidRPr="00BB11AF">
        <w:t>p</w:t>
      </w:r>
      <w:r w:rsidRPr="00BB11AF">
        <w:t>per aux innombrables corvées qui retombent sans cesse sur les femmes ! Ce n'est pas qu'elle rêve d'une vie de paresse mais les tâches des femmes sont si monotones : charger les ânes et les ch</w:t>
      </w:r>
      <w:r w:rsidRPr="00BB11AF">
        <w:t>a</w:t>
      </w:r>
      <w:r w:rsidRPr="00BB11AF">
        <w:t>meaux, les décharger quand on arrive à l'étape. Et puis s'occuper des mêmes animaux, les chèvres pour les filles, les chameaux pour les garçons. Toujours aussi la même répart</w:t>
      </w:r>
      <w:r w:rsidRPr="00BB11AF">
        <w:t>i</w:t>
      </w:r>
      <w:r w:rsidRPr="00BB11AF">
        <w:t>tion du travail. Quel ennui ! [...] (</w:t>
      </w:r>
      <w:r w:rsidRPr="00BB11AF">
        <w:rPr>
          <w:i/>
        </w:rPr>
        <w:t xml:space="preserve">Née </w:t>
      </w:r>
      <w:r w:rsidRPr="00BB11AF">
        <w:rPr>
          <w:bCs/>
          <w:i/>
        </w:rPr>
        <w:t>de la côte d'Adam,</w:t>
      </w:r>
      <w:r w:rsidRPr="00BB11AF">
        <w:t xml:space="preserve"> p.19).</w:t>
      </w:r>
    </w:p>
    <w:p w:rsidR="003A3061" w:rsidRPr="00BB11AF" w:rsidRDefault="003A3061" w:rsidP="003A3061">
      <w:pPr>
        <w:pStyle w:val="Grillecouleur-Accent1"/>
      </w:pPr>
    </w:p>
    <w:p w:rsidR="003A3061" w:rsidRPr="00BB11AF" w:rsidRDefault="003A3061" w:rsidP="003A3061">
      <w:pPr>
        <w:spacing w:before="120" w:after="120"/>
        <w:jc w:val="both"/>
      </w:pPr>
      <w:r w:rsidRPr="00BB11AF">
        <w:t>Elle sentirait un soulagement qui adviendrait quand elle ne serait plus chargée de toutes les corvées lui étant réservées. Ébla aspire à la libe</w:t>
      </w:r>
      <w:r w:rsidRPr="00BB11AF">
        <w:t>r</w:t>
      </w:r>
      <w:r w:rsidRPr="00BB11AF">
        <w:t>té au moyen de la pensée et désire rester soi-même :</w:t>
      </w:r>
    </w:p>
    <w:p w:rsidR="003A3061" w:rsidRDefault="003A3061" w:rsidP="003A3061">
      <w:pPr>
        <w:pStyle w:val="Grillecouleur-Accent1"/>
      </w:pPr>
    </w:p>
    <w:p w:rsidR="003A3061" w:rsidRDefault="003A3061" w:rsidP="003A3061">
      <w:pPr>
        <w:pStyle w:val="Grillecouleur-Accent1"/>
      </w:pPr>
      <w:r w:rsidRPr="00BB11AF">
        <w:t>[...] Les gens n'ont pas les mêmes goûts, un point c'est tout. Il faut que je me fasse une idée par moi-même [...]. (</w:t>
      </w:r>
      <w:r w:rsidRPr="00BB11AF">
        <w:rPr>
          <w:i/>
        </w:rPr>
        <w:t xml:space="preserve">Née </w:t>
      </w:r>
      <w:r w:rsidRPr="00BB11AF">
        <w:rPr>
          <w:bCs/>
          <w:i/>
        </w:rPr>
        <w:t>de la côte d'Adam</w:t>
      </w:r>
      <w:r w:rsidRPr="00BB11AF">
        <w:t>, p.32).</w:t>
      </w:r>
    </w:p>
    <w:p w:rsidR="003A3061" w:rsidRPr="00BB11AF" w:rsidRDefault="003A3061" w:rsidP="003A3061">
      <w:pPr>
        <w:pStyle w:val="Grillecouleur-Accent1"/>
      </w:pPr>
    </w:p>
    <w:p w:rsidR="003A3061" w:rsidRPr="00BB11AF" w:rsidRDefault="003A3061" w:rsidP="003A3061">
      <w:pPr>
        <w:spacing w:before="120" w:after="120"/>
        <w:jc w:val="both"/>
      </w:pPr>
      <w:r w:rsidRPr="00BB11AF">
        <w:t>En d'autres termes, Ébla veut être maîtresse de sa propre âme afin de décider seule et d'assumer ses responsabilités. Fuir la concession était la première étape de la recherche de cette liberté. Durant sa vie dans le roman, Ébla s'est trouvée face à face avec ses adversaires et s'est donné l'occasion de lutter contre sa position i</w:t>
      </w:r>
      <w:r w:rsidRPr="00BB11AF">
        <w:t>n</w:t>
      </w:r>
      <w:r w:rsidRPr="00BB11AF">
        <w:t>férieure à celle de l'homme. La révolte contre les hommes et leur idéologie rabaissant la femme prend forme dans ses pensées et dans sa parole. Son refus de prendre la place qui lui est prescrite par l'homme l'a encouragé à r</w:t>
      </w:r>
      <w:r w:rsidRPr="00BB11AF">
        <w:t>é</w:t>
      </w:r>
      <w:r w:rsidRPr="00BB11AF">
        <w:t>clamer ce</w:t>
      </w:r>
      <w:r w:rsidRPr="00BB11AF">
        <w:t>l</w:t>
      </w:r>
      <w:r w:rsidRPr="00BB11AF">
        <w:t>le qu'elle souhaite : être à un pas égal avec l'homme.</w:t>
      </w:r>
    </w:p>
    <w:p w:rsidR="003A3061" w:rsidRPr="00BB11AF" w:rsidRDefault="003A3061" w:rsidP="003A3061">
      <w:pPr>
        <w:spacing w:before="120" w:after="120"/>
        <w:jc w:val="both"/>
      </w:pPr>
      <w:r w:rsidRPr="00BB11AF">
        <w:t>Ainsi, Ébla, qui est plus âgée que son frère dont le nom n'est pas me</w:t>
      </w:r>
      <w:r w:rsidRPr="00BB11AF">
        <w:t>n</w:t>
      </w:r>
      <w:r w:rsidRPr="00BB11AF">
        <w:t>tionné, entre en conflit avec ce dernier. Cela a commencé quand celui-ci lui a rendu visite à Mogadiscio ; une visite qui l'a troublé. Le frère voulait se renseigner sur tout ce qui était arrivé à Ébla depuis sa fuite. Ébla, se sentant libre de garder ses secrets ou de dire ce qu'il lui était utile d'exprimer, n'a pas trouvé nécessaire de tout raconter à son petit frère. Le conflit verbal entre le frère et la sœur éclate, comme le t</w:t>
      </w:r>
      <w:r w:rsidRPr="00BB11AF">
        <w:t>é</w:t>
      </w:r>
      <w:r w:rsidRPr="00BB11AF">
        <w:t>moigne cet extrait d'une conversation entre eux :</w:t>
      </w:r>
    </w:p>
    <w:p w:rsidR="003A3061" w:rsidRPr="00BB11AF" w:rsidRDefault="003A3061" w:rsidP="003A3061">
      <w:pPr>
        <w:spacing w:before="120" w:after="120"/>
        <w:jc w:val="both"/>
      </w:pPr>
    </w:p>
    <w:p w:rsidR="003A3061" w:rsidRPr="00BB11AF" w:rsidRDefault="003A3061" w:rsidP="003A3061">
      <w:pPr>
        <w:pStyle w:val="Citation0"/>
      </w:pPr>
      <w:r w:rsidRPr="00BB11AF">
        <w:t>- Alors, comme ça tu as abandonné les chameaux ?</w:t>
      </w:r>
    </w:p>
    <w:p w:rsidR="003A3061" w:rsidRPr="00BB11AF" w:rsidRDefault="003A3061" w:rsidP="003A3061">
      <w:pPr>
        <w:pStyle w:val="Citation0"/>
      </w:pPr>
      <w:r w:rsidRPr="00BB11AF">
        <w:t>- Comme toi, quand tu es partie...</w:t>
      </w:r>
    </w:p>
    <w:p w:rsidR="003A3061" w:rsidRPr="00BB11AF" w:rsidRDefault="003A3061" w:rsidP="003A3061">
      <w:pPr>
        <w:pStyle w:val="p"/>
      </w:pPr>
      <w:r w:rsidRPr="00BB11AF">
        <w:t>[115]</w:t>
      </w:r>
    </w:p>
    <w:p w:rsidR="003A3061" w:rsidRPr="00BB11AF" w:rsidRDefault="003A3061" w:rsidP="003A3061">
      <w:pPr>
        <w:pStyle w:val="Citation0"/>
      </w:pPr>
      <w:r w:rsidRPr="00BB11AF">
        <w:t>- Pour moi c'est différent... Moi, je suis une femme !</w:t>
      </w:r>
    </w:p>
    <w:p w:rsidR="003A3061" w:rsidRPr="00BB11AF" w:rsidRDefault="003A3061" w:rsidP="003A3061">
      <w:pPr>
        <w:pStyle w:val="Citation0"/>
      </w:pPr>
      <w:r w:rsidRPr="00BB11AF">
        <w:t>- Et moi, je suis un homme !</w:t>
      </w:r>
    </w:p>
    <w:p w:rsidR="003A3061" w:rsidRPr="00BB11AF" w:rsidRDefault="003A3061" w:rsidP="003A3061">
      <w:pPr>
        <w:pStyle w:val="Citation0"/>
      </w:pPr>
      <w:r w:rsidRPr="00BB11AF">
        <w:t xml:space="preserve">- Je sais, je sais... Pas besoin de me le répéter ! </w:t>
      </w:r>
      <w:r w:rsidRPr="00BB11AF">
        <w:rPr>
          <w:bCs/>
        </w:rPr>
        <w:t>(</w:t>
      </w:r>
      <w:r w:rsidRPr="00BB11AF">
        <w:rPr>
          <w:bCs/>
          <w:i/>
        </w:rPr>
        <w:t>Née de la côte d'Adam</w:t>
      </w:r>
      <w:r w:rsidRPr="00BB11AF">
        <w:rPr>
          <w:bCs/>
        </w:rPr>
        <w:t>,</w:t>
      </w:r>
      <w:r w:rsidRPr="00BB11AF">
        <w:t xml:space="preserve"> p.166).</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Les mots du frère fâchent Ébla. Elle insulte intérieurement son fr</w:t>
      </w:r>
      <w:r w:rsidRPr="00BB11AF">
        <w:t>è</w:t>
      </w:r>
      <w:r w:rsidRPr="00BB11AF">
        <w:t>re en le qualifiant de « sale gamin » et de « morveux ». Ébla croit avoir plus de force que son frère, car ils ne sont plus dans la conce</w:t>
      </w:r>
      <w:r w:rsidRPr="00BB11AF">
        <w:t>s</w:t>
      </w:r>
      <w:r w:rsidRPr="00BB11AF">
        <w:t>sion où les hommes font la loi. En changeant de sujet, Ébla demande à son petit frère quand allait-il retourner au pays. Le frère répond qu'il y retournerait aussitôt qu'elle lui donnerait l'argent pour payer son ti</w:t>
      </w:r>
      <w:r w:rsidRPr="00BB11AF">
        <w:t>c</w:t>
      </w:r>
      <w:r w:rsidRPr="00BB11AF">
        <w:t>ket. Le jeu de « moi » et « je » versus « toi » et « tu » relève d'une lu</w:t>
      </w:r>
      <w:r w:rsidRPr="00BB11AF">
        <w:t>t</w:t>
      </w:r>
      <w:r w:rsidRPr="00BB11AF">
        <w:t>te pour une position sociale entre les sexes opposés. Elle ne cherche pas une position plus élevée, mais plutôt une position égale à l'homme alors que le frère se voit dans une position supérieure parce qu'il est homme et veut maintenir son statut.</w:t>
      </w:r>
    </w:p>
    <w:p w:rsidR="003A3061" w:rsidRPr="00BB11AF" w:rsidRDefault="003A3061" w:rsidP="003A3061">
      <w:pPr>
        <w:spacing w:before="120" w:after="120"/>
        <w:jc w:val="both"/>
      </w:pPr>
      <w:r w:rsidRPr="00BB11AF">
        <w:t>Dans un incident séparé, après un moment de réflexion sur l'infidél</w:t>
      </w:r>
      <w:r w:rsidRPr="00BB11AF">
        <w:t>i</w:t>
      </w:r>
      <w:r w:rsidRPr="00BB11AF">
        <w:t>té de son mari, Ébla a décidé de se venger en amenant un autre homme, Tiffo, dans le lit conjugal. Le jeu devient intéressant quand elle décide de l'affoler en cherchant à connaître le nom de sa rivale et souhaite que son concubin aille parler d'elle à son épouse</w:t>
      </w:r>
      <w:r>
        <w:t> </w:t>
      </w:r>
      <w:r>
        <w:rPr>
          <w:rStyle w:val="Appelnotedebasdep"/>
        </w:rPr>
        <w:footnoteReference w:id="75"/>
      </w:r>
      <w:r w:rsidRPr="00BB11AF">
        <w:t>. Tiffo d</w:t>
      </w:r>
      <w:r w:rsidRPr="00BB11AF">
        <w:t>é</w:t>
      </w:r>
      <w:r w:rsidRPr="00BB11AF">
        <w:t>cline en disant que ce n'est pas nécessaire que sa femme le sache. Ébla insiste et réussit sa mission de mettre Tiffo en colère. Se sentant m</w:t>
      </w:r>
      <w:r w:rsidRPr="00BB11AF">
        <w:t>e</w:t>
      </w:r>
      <w:r w:rsidRPr="00BB11AF">
        <w:t>nacé, l'homme ordonne à Ébla d'arrêter de lui parler sur un ton péjor</w:t>
      </w:r>
      <w:r w:rsidRPr="00BB11AF">
        <w:t>a</w:t>
      </w:r>
      <w:r w:rsidRPr="00BB11AF">
        <w:t>tif en lui rappelant qu'elle n'avait pas le droit de lui parler comme cela, étant une femme. Au bout de leur conversation, Ébla dévoile son s</w:t>
      </w:r>
      <w:r w:rsidRPr="00BB11AF">
        <w:t>e</w:t>
      </w:r>
      <w:r w:rsidRPr="00BB11AF">
        <w:t>cret en disant qu'elle avait un autre mari à part lui. Le ton de son di</w:t>
      </w:r>
      <w:r w:rsidRPr="00BB11AF">
        <w:t>s</w:t>
      </w:r>
      <w:r w:rsidRPr="00BB11AF">
        <w:t>cours témoigne de sa révolte ou de sa vengeance contre l'injustice s</w:t>
      </w:r>
      <w:r w:rsidRPr="00BB11AF">
        <w:t>o</w:t>
      </w:r>
      <w:r w:rsidRPr="00BB11AF">
        <w:t>ciale : « À part toi, il y a un autre [...]. J'ai un autre mari. Vous pr</w:t>
      </w:r>
      <w:r w:rsidRPr="00BB11AF">
        <w:t>e</w:t>
      </w:r>
      <w:r w:rsidRPr="00BB11AF">
        <w:t>nez chacun votre tour [...] » (Née de la côte d'Adam 1970 :174). Le ton privilégié implique au</w:t>
      </w:r>
      <w:r w:rsidRPr="00BB11AF">
        <w:t>s</w:t>
      </w:r>
      <w:r w:rsidRPr="00BB11AF">
        <w:t>si de demander à l'homme de lui accorder une sorte de respect qu'elle mérite non seulement en tant que femme, mais aussi parce qu'elle est un être humain comme lui. Elle veut dire à Tiffo que s'il lui était accordé le droit d'avoir une autre épouse, ce droit d</w:t>
      </w:r>
      <w:r w:rsidRPr="00BB11AF">
        <w:t>e</w:t>
      </w:r>
      <w:r w:rsidRPr="00BB11AF">
        <w:t>vait également s'appliquer aux femmes. Selon elle, c'est ça l'égalité.</w:t>
      </w:r>
    </w:p>
    <w:p w:rsidR="003A3061" w:rsidRDefault="003A3061" w:rsidP="003A3061">
      <w:pPr>
        <w:spacing w:before="120" w:after="120"/>
        <w:jc w:val="both"/>
      </w:pPr>
      <w:r w:rsidRPr="00BB11AF">
        <w:t>Ces luttes verbales que nous venons de relever dans les dialogues entre Ébla et ses adversaires attestent de la présence d'une rivalité e</w:t>
      </w:r>
      <w:r w:rsidRPr="00BB11AF">
        <w:t>n</w:t>
      </w:r>
      <w:r w:rsidRPr="00BB11AF">
        <w:t>tre les sexes. Ébla qui est considérée au bas de l'échelle sociale use de la parole comme arme lui permettant d'avoir accès à une ascension de son propre statut. Il est important de noter que ces exemples de dial</w:t>
      </w:r>
      <w:r w:rsidRPr="00BB11AF">
        <w:t>o</w:t>
      </w:r>
      <w:r w:rsidRPr="00BB11AF">
        <w:t>gues sont loin d'être les seuls qui prouvent l'exi</w:t>
      </w:r>
      <w:r w:rsidRPr="00BB11AF">
        <w:t>s</w:t>
      </w:r>
      <w:r w:rsidRPr="00BB11AF">
        <w:t>tence de cette guerre des sexes dans Née de la côte d'Adam. Ébla s'est plongée dans des lu</w:t>
      </w:r>
      <w:r w:rsidRPr="00BB11AF">
        <w:t>t</w:t>
      </w:r>
      <w:r w:rsidRPr="00BB11AF">
        <w:t>tes similaires et dans des monologues qui nous ont montré ses inte</w:t>
      </w:r>
      <w:r w:rsidRPr="00BB11AF">
        <w:t>n</w:t>
      </w:r>
      <w:r w:rsidRPr="00BB11AF">
        <w:t>tions et ses projets. La parole est la seule arme que Farah va utiliser dans sa mission littéraire pour insinuer le rôle du patriarcat familial dans le dysfonctionnement de la soci</w:t>
      </w:r>
      <w:r w:rsidRPr="00BB11AF">
        <w:t>é</w:t>
      </w:r>
      <w:r w:rsidRPr="00BB11AF">
        <w:t>té somalienne et utiliser cette même arme à travers ses personnages pour proposer une solution qui réside dans l'équité des sexes.</w:t>
      </w:r>
    </w:p>
    <w:p w:rsidR="003A3061" w:rsidRPr="00BB11AF" w:rsidRDefault="003A3061" w:rsidP="003A3061">
      <w:pPr>
        <w:spacing w:before="120" w:after="120"/>
        <w:jc w:val="both"/>
      </w:pPr>
    </w:p>
    <w:p w:rsidR="003A3061" w:rsidRDefault="003A3061" w:rsidP="003A3061">
      <w:pPr>
        <w:spacing w:before="120" w:after="120"/>
        <w:jc w:val="both"/>
      </w:pPr>
      <w:r w:rsidRPr="00BB11AF">
        <w:t>[116]</w:t>
      </w:r>
    </w:p>
    <w:p w:rsidR="003A3061" w:rsidRPr="00BB11AF" w:rsidRDefault="003A3061" w:rsidP="003A3061">
      <w:pPr>
        <w:spacing w:before="120" w:after="120"/>
        <w:jc w:val="both"/>
      </w:pPr>
    </w:p>
    <w:p w:rsidR="003A3061" w:rsidRPr="00BB11AF" w:rsidRDefault="003A3061" w:rsidP="003A3061">
      <w:pPr>
        <w:pStyle w:val="a"/>
      </w:pPr>
      <w:r>
        <w:t>Changement spatial</w:t>
      </w:r>
      <w:r>
        <w:br/>
      </w:r>
      <w:r w:rsidRPr="00BB11AF">
        <w:t>ou épanouissement spirituel ?</w:t>
      </w:r>
    </w:p>
    <w:p w:rsidR="003A3061" w:rsidRDefault="003A3061" w:rsidP="003A3061">
      <w:pPr>
        <w:spacing w:before="120" w:after="120"/>
        <w:jc w:val="both"/>
      </w:pPr>
    </w:p>
    <w:p w:rsidR="003A3061" w:rsidRPr="00BB11AF" w:rsidRDefault="003A3061" w:rsidP="003A3061">
      <w:pPr>
        <w:spacing w:before="120" w:after="120"/>
        <w:jc w:val="both"/>
      </w:pPr>
      <w:r w:rsidRPr="00BB11AF">
        <w:t>L'effet de scolarisation et du changement spatial est bien démontré dans les œuvres de fiction de Farah. Farah fait partager à son le</w:t>
      </w:r>
      <w:r w:rsidRPr="00BB11AF">
        <w:t>c</w:t>
      </w:r>
      <w:r w:rsidRPr="00BB11AF">
        <w:t>teur son avis sur le fait que vivre en ville octroie aux citadins des opport</w:t>
      </w:r>
      <w:r w:rsidRPr="00BB11AF">
        <w:t>u</w:t>
      </w:r>
      <w:r w:rsidRPr="00BB11AF">
        <w:t>nités d'avancement qui seraient rares, voire absentes, au village. La vie d'Ébla change considérablement quand elle arrive en ville. Son histoire est reprise dans le roman Sardines (1981). Dans sa quête de l'émancipation, elle divorce de son mari Awill qui l'avait trompée et elle se remarie avec un homme qui la traite bien. Peu après, ce dernier meurt, mais, à l'avantage d'Ébla, la voilà hér</w:t>
      </w:r>
      <w:r w:rsidRPr="00BB11AF">
        <w:t>i</w:t>
      </w:r>
      <w:r w:rsidRPr="00BB11AF">
        <w:t>tière de ses entreprises. Ébla souhaite une vie meilleure que la sienne pour sa fille Sagal. Elle la scolarise et lui évite l'excision.</w:t>
      </w:r>
    </w:p>
    <w:p w:rsidR="003A3061" w:rsidRPr="00BB11AF" w:rsidRDefault="003A3061" w:rsidP="003A3061">
      <w:pPr>
        <w:spacing w:before="120" w:after="120"/>
        <w:jc w:val="both"/>
      </w:pPr>
      <w:r w:rsidRPr="00BB11AF">
        <w:t>Dans les romans qui suivront Née de la côte d'Adam, le lieu des récits de Farah reste Mogadiscio, la ville, et les femmes présentent e</w:t>
      </w:r>
      <w:r w:rsidRPr="00BB11AF">
        <w:t>n</w:t>
      </w:r>
      <w:r w:rsidRPr="00BB11AF">
        <w:t>core un fort désir d'émancipation. Dans le roman Sardines (1981), l'héroïne Médina est journaliste de formation. C'est une féministe et elle ne supporte pas les conservateurs de la tradition comme sa belle-mère Idil qui veut exciser sa petite fille. Amina, dans le même roman, est victime de viol et souhaite qu'il y ait un système juridique pour pers</w:t>
      </w:r>
      <w:r w:rsidRPr="00BB11AF">
        <w:t>é</w:t>
      </w:r>
      <w:r w:rsidRPr="00BB11AF">
        <w:t>cuter les coupables. Dans Sésame ferme-toi (1983), la servante de S</w:t>
      </w:r>
      <w:r w:rsidRPr="00BB11AF">
        <w:t>a</w:t>
      </w:r>
      <w:r w:rsidRPr="00BB11AF">
        <w:t>laado est étudiante à l'université. Duniya, l'héroïne du roman Dons (1986), est infirmière dans une clinique de femmes et est égal</w:t>
      </w:r>
      <w:r w:rsidRPr="00BB11AF">
        <w:t>e</w:t>
      </w:r>
      <w:r w:rsidRPr="00BB11AF">
        <w:t>ment féministe. À l'âge de dix-sept ans, elle avait été victime du m</w:t>
      </w:r>
      <w:r w:rsidRPr="00BB11AF">
        <w:t>a</w:t>
      </w:r>
      <w:r w:rsidRPr="00BB11AF">
        <w:t>riage arrangé avec un homme aveugle âgé de soixante ans. Ce premier mari est mort alors qu'elle allaitait encore ses jumeaux. À l'âge d'env</w:t>
      </w:r>
      <w:r w:rsidRPr="00BB11AF">
        <w:t>i</w:t>
      </w:r>
      <w:r w:rsidRPr="00BB11AF">
        <w:t>ron 35 ans, elle est divorcée une fois, mère de trois enfants et encore à la r</w:t>
      </w:r>
      <w:r w:rsidRPr="00BB11AF">
        <w:t>e</w:t>
      </w:r>
      <w:r w:rsidRPr="00BB11AF">
        <w:t>cherche de son âme sœur. Elle aussi protège ses filles, Nasiiba et Y</w:t>
      </w:r>
      <w:r w:rsidRPr="00BB11AF">
        <w:t>a</w:t>
      </w:r>
      <w:r w:rsidRPr="00BB11AF">
        <w:t>rey, contre les pratiques traditionnelles auxquelles elle n'adhère pas. Elle accorde à ses enfants une liberté individuelle. Par exemple, lor</w:t>
      </w:r>
      <w:r w:rsidRPr="00BB11AF">
        <w:t>s</w:t>
      </w:r>
      <w:r w:rsidRPr="00BB11AF">
        <w:t>qu'elle s'enquiert de l'habitude de sa fille fumeuse et de celle de son fils qui sort avec une femme plus âgée que lui, elle n'a pas le moindre souci puisque, comme elle le souligne : « dans sa famille, il y avait un certain degré de liberté individuelle et de discussion comm</w:t>
      </w:r>
      <w:r w:rsidRPr="00BB11AF">
        <w:t>u</w:t>
      </w:r>
      <w:r w:rsidRPr="00BB11AF">
        <w:t>ne des problèmes, puisqu'il n'y avait pas d'autorité masculine : ne fa</w:t>
      </w:r>
      <w:r w:rsidRPr="00BB11AF">
        <w:t>l</w:t>
      </w:r>
      <w:r w:rsidRPr="00BB11AF">
        <w:t>lait-il pas profiter de telles libertés ? » (Dons 1986 : 276). Dans ces paroles, Farah semble nier à ce personnage la faculté de cerner la di</w:t>
      </w:r>
      <w:r w:rsidRPr="00BB11AF">
        <w:t>f</w:t>
      </w:r>
      <w:r w:rsidRPr="00BB11AF">
        <w:t>férence entre moralité et liberté. Duniya, par exemple, ne se donne pas la peine de remettre en question les comport</w:t>
      </w:r>
      <w:r w:rsidRPr="00BB11AF">
        <w:t>e</w:t>
      </w:r>
      <w:r w:rsidRPr="00BB11AF">
        <w:t>ments de ses adolescents au nom d'une « liberté individuelle » favorisée par l'absence d'une a</w:t>
      </w:r>
      <w:r w:rsidRPr="00BB11AF">
        <w:t>u</w:t>
      </w:r>
      <w:r w:rsidRPr="00BB11AF">
        <w:t>tor</w:t>
      </w:r>
      <w:r w:rsidRPr="00BB11AF">
        <w:t>i</w:t>
      </w:r>
      <w:r w:rsidRPr="00BB11AF">
        <w:t>té masculine.</w:t>
      </w:r>
    </w:p>
    <w:p w:rsidR="003A3061" w:rsidRPr="00BB11AF" w:rsidRDefault="003A3061" w:rsidP="003A3061">
      <w:pPr>
        <w:spacing w:before="120" w:after="120"/>
        <w:jc w:val="both"/>
      </w:pPr>
      <w:r w:rsidRPr="00BB11AF">
        <w:t>De même, Knots (2007) est un roman qui raconte les péripéties de Cambara, une femme somalienne scolarisée au Canada qui fait un r</w:t>
      </w:r>
      <w:r w:rsidRPr="00BB11AF">
        <w:t>e</w:t>
      </w:r>
      <w:r w:rsidRPr="00BB11AF">
        <w:t>tour en Somalie. À la suite du coup d'État de 1991, ses parents se r</w:t>
      </w:r>
      <w:r w:rsidRPr="00BB11AF">
        <w:t>é</w:t>
      </w:r>
      <w:r w:rsidRPr="00BB11AF">
        <w:t>fugient au Canada et y poursuivent leur vie en tranquillité. Doués en commerce, ils font tout pour que leur fille accède à une meilleure éd</w:t>
      </w:r>
      <w:r w:rsidRPr="00BB11AF">
        <w:t>u</w:t>
      </w:r>
      <w:r w:rsidRPr="00BB11AF">
        <w:t>cation. Cambara est déçue par la vie quand son mari la trompe</w:t>
      </w:r>
      <w:r>
        <w:t xml:space="preserve"> </w:t>
      </w:r>
      <w:r w:rsidRPr="00BB11AF">
        <w:t>[117]</w:t>
      </w:r>
      <w:r>
        <w:t xml:space="preserve"> </w:t>
      </w:r>
      <w:r w:rsidRPr="00BB11AF">
        <w:t>et que son fils unique se noie en compagnie de son père et de la ma</w:t>
      </w:r>
      <w:r w:rsidRPr="00BB11AF">
        <w:t>i</w:t>
      </w:r>
      <w:r w:rsidRPr="00BB11AF">
        <w:t>tresse de celui-ci. Cambara décide de rentrer en Somalie, son pays n</w:t>
      </w:r>
      <w:r w:rsidRPr="00BB11AF">
        <w:t>a</w:t>
      </w:r>
      <w:r w:rsidRPr="00BB11AF">
        <w:t>tal, pour reprendre des forces et rétablir sa vie en récupérant les pr</w:t>
      </w:r>
      <w:r w:rsidRPr="00BB11AF">
        <w:t>o</w:t>
      </w:r>
      <w:r w:rsidRPr="00BB11AF">
        <w:t>priétés de sa famille.</w:t>
      </w:r>
    </w:p>
    <w:p w:rsidR="003A3061" w:rsidRPr="00BB11AF" w:rsidRDefault="003A3061" w:rsidP="003A3061">
      <w:pPr>
        <w:spacing w:before="120" w:after="120"/>
        <w:jc w:val="both"/>
      </w:pPr>
      <w:r w:rsidRPr="00BB11AF">
        <w:t>La démarche de Cambara n'est pas étrangère à la réalité de nombre</w:t>
      </w:r>
      <w:r w:rsidRPr="00BB11AF">
        <w:t>u</w:t>
      </w:r>
      <w:r w:rsidRPr="00BB11AF">
        <w:t>ses femmes somaliennes émigrées dans les pays du Nord. L'étude de McGrown (2003) portant sur les Somaliennes réfugiées dans les pays du Nord, par exemple dans les grandes villes de Toronto, Lo</w:t>
      </w:r>
      <w:r w:rsidRPr="00BB11AF">
        <w:t>n</w:t>
      </w:r>
      <w:r w:rsidRPr="00BB11AF">
        <w:t>dres et Washington DC, montre qu'elles ont appris à vivre en tant que fe</w:t>
      </w:r>
      <w:r w:rsidRPr="00BB11AF">
        <w:t>m</w:t>
      </w:r>
      <w:r w:rsidRPr="00BB11AF">
        <w:t>mes somaliennes dans un environnement étranger non-musulman. Elles ont su et dû définir la religion et co</w:t>
      </w:r>
      <w:r w:rsidRPr="00BB11AF">
        <w:t>m</w:t>
      </w:r>
      <w:r w:rsidRPr="00BB11AF">
        <w:t>prendre ce qui est attendu d'elles en tant que musulmanes. Elles ont découvert, par exemple, que l'excision n'est pas exigée par la rel</w:t>
      </w:r>
      <w:r w:rsidRPr="00BB11AF">
        <w:t>i</w:t>
      </w:r>
      <w:r w:rsidRPr="00BB11AF">
        <w:t>gion et, par la suite, elles ont commencé à rechercher une certaine vérité sur leur religion sans a</w:t>
      </w:r>
      <w:r w:rsidRPr="00BB11AF">
        <w:t>u</w:t>
      </w:r>
      <w:r w:rsidRPr="00BB11AF">
        <w:t>tant en perdre leur identité dans cette quête émancipatrice. Le retour de Cambara pourrait être le leur.</w:t>
      </w:r>
    </w:p>
    <w:p w:rsidR="003A3061" w:rsidRPr="00BB11AF" w:rsidRDefault="003A3061" w:rsidP="003A3061">
      <w:pPr>
        <w:spacing w:before="120" w:after="120"/>
        <w:jc w:val="both"/>
      </w:pPr>
      <w:r w:rsidRPr="00BB11AF">
        <w:t>L'histoire de Cambara se déroule dans un Mogadiscio en pleine guerre civile. L'héroïne est touchée par la situation pitoyable des femmes de Mogadiscio, aggravée par la guerre. Dans leurs yeux, elle lit la misère. Les femmes de cette époque semblent fatiguées par les conséquences de la guerre et résignées face à leur situation. Toutefois, celles qui sont scolarisées vont s'organiser pour contrecarrer les vices des miliciens et de leur régime d'administration intimidant les fe</w:t>
      </w:r>
      <w:r w:rsidRPr="00BB11AF">
        <w:t>m</w:t>
      </w:r>
      <w:r w:rsidRPr="00BB11AF">
        <w:t>mes. Une allusion est faite aux amies de Cambara telles que Raxma, Kiin et Farxia la femme docteur et aussi au réseau des femmes co</w:t>
      </w:r>
      <w:r w:rsidRPr="00BB11AF">
        <w:t>m</w:t>
      </w:r>
      <w:r w:rsidRPr="00BB11AF">
        <w:t>battant la violence armée. Selon ces femmes, la violence armée est la cause de l'insécurité et du harcèlement sexuel et moral de la femme. Elle est aussi contre le voile qu'elle appelle une « tente corp</w:t>
      </w:r>
      <w:r w:rsidRPr="00BB11AF">
        <w:t>o</w:t>
      </w:r>
      <w:r w:rsidRPr="00BB11AF">
        <w:t>relle ». Mais les migrations n'ont pas besoin d'être internationales pour cha</w:t>
      </w:r>
      <w:r w:rsidRPr="00BB11AF">
        <w:t>n</w:t>
      </w:r>
      <w:r w:rsidRPr="00BB11AF">
        <w:t>ger les femmes.</w:t>
      </w:r>
    </w:p>
    <w:p w:rsidR="003A3061" w:rsidRPr="00BB11AF" w:rsidRDefault="003A3061" w:rsidP="003A3061">
      <w:pPr>
        <w:spacing w:before="120" w:after="120"/>
        <w:jc w:val="both"/>
      </w:pPr>
      <w:r w:rsidRPr="00BB11AF">
        <w:t>L'exode rural d'Ébla et celui de Caaliya dans Hier, demain (2000), nous permettent de suivre le destin de ces émigrantes. Dans ce dernier témoignage, Caaliya est diplômée et travaille comme femme de chambre. Son frère, moins scolarisé, ne veut pas travailler. Il se contente de rester à la maison, dans l'espoir que sa sœur lui trouve a</w:t>
      </w:r>
      <w:r w:rsidRPr="00BB11AF">
        <w:t>s</w:t>
      </w:r>
      <w:r w:rsidRPr="00BB11AF">
        <w:t>sez d'argent pour l'envoyer en Amérique du Nord. Toutefois, il fait les tâches ménagères, ce qu'en temps normal un Somalien n'aurait jamais imaginé faire. Désormais, beaucoup de Somaliennes ont adopté le rôle traditionnel de l'homme qui consi</w:t>
      </w:r>
      <w:r w:rsidRPr="00BB11AF">
        <w:t>s</w:t>
      </w:r>
      <w:r w:rsidRPr="00BB11AF">
        <w:t>te à apporter de l'argent à la maison, à être pourvoyeur. Pour elles, les conséquences des conflits armés - y compris la mort d'un conjoint ou un autre membre de la famille, le déplacement, la perte de biens ou les hommes absents - signifient qu'il n'existe aucune a</w:t>
      </w:r>
      <w:r w:rsidRPr="00BB11AF">
        <w:t>u</w:t>
      </w:r>
      <w:r w:rsidRPr="00BB11AF">
        <w:t>tre option que celle d'assumer le rôle de soutien de famille. Cette situation oblige les femmes à chercher et à prendre un travail là où elles peuvent en trouver. Ceci étant dit, les femmes ont maintenant la liberté de prendre des décisions relevant des questions importantes de leur vie et de celle de leurs enfants. Elles sont dev</w:t>
      </w:r>
      <w:r w:rsidRPr="00BB11AF">
        <w:t>e</w:t>
      </w:r>
      <w:r w:rsidRPr="00BB11AF">
        <w:t>nues ainsi le soutien économique de</w:t>
      </w:r>
      <w:r>
        <w:t xml:space="preserve"> </w:t>
      </w:r>
      <w:r w:rsidRPr="00BB11AF">
        <w:t>[118]</w:t>
      </w:r>
      <w:r>
        <w:t xml:space="preserve"> </w:t>
      </w:r>
      <w:r w:rsidRPr="00BB11AF">
        <w:t>leurs proches et s'octroient par là la liberté d'agir à leur guise. Ces femmes prennent toutes les décisions importantes et peuvent se passer de l'avis de leurs comp</w:t>
      </w:r>
      <w:r w:rsidRPr="00BB11AF">
        <w:t>a</w:t>
      </w:r>
      <w:r w:rsidRPr="00BB11AF">
        <w:t>gnons, car ces derniers sont devenus dépendants d'elles</w:t>
      </w:r>
      <w:r>
        <w:t> </w:t>
      </w:r>
      <w:r>
        <w:rPr>
          <w:rStyle w:val="Appelnotedebasdep"/>
        </w:rPr>
        <w:footnoteReference w:id="76"/>
      </w:r>
      <w:r w:rsidRPr="00BB11AF">
        <w:t>. Cette me</w:t>
      </w:r>
      <w:r w:rsidRPr="00BB11AF">
        <w:t>n</w:t>
      </w:r>
      <w:r w:rsidRPr="00BB11AF">
        <w:t>talité de l'inversion de rôle entre femmes et hommes peut être const</w:t>
      </w:r>
      <w:r w:rsidRPr="00BB11AF">
        <w:t>a</w:t>
      </w:r>
      <w:r w:rsidRPr="00BB11AF">
        <w:t>tée dans les aspirations de Farah. Dans Knots, paru en 2007, la parole de Farah est portée par le chauffeur de Zaak, qui adresse son discours aux jeunes armés pour les encourager à effe</w:t>
      </w:r>
      <w:r w:rsidRPr="00BB11AF">
        <w:t>c</w:t>
      </w:r>
      <w:r w:rsidRPr="00BB11AF">
        <w:t>tuer les tâches dites « de femmes » :</w:t>
      </w:r>
    </w:p>
    <w:p w:rsidR="003A3061" w:rsidRDefault="003A3061" w:rsidP="003A3061">
      <w:pPr>
        <w:pStyle w:val="Grillecouleur-Accent1"/>
      </w:pPr>
      <w:r w:rsidRPr="00BB11AF">
        <w:t>[...] les femmes font les emplois des hommes [...]. Ils élèvent la jeune famille et gardent la maison et la maintiennent unie, à l'abri de la faim et de la mort. Et comme les femmes font nos emplois, il s'e</w:t>
      </w:r>
      <w:r w:rsidRPr="00BB11AF">
        <w:t>n</w:t>
      </w:r>
      <w:r w:rsidRPr="00BB11AF">
        <w:t xml:space="preserve">suit que nous devons faire les leurs, n'est-ce pas ? [...] </w:t>
      </w:r>
      <w:r w:rsidRPr="00BB11AF">
        <w:rPr>
          <w:bCs/>
        </w:rPr>
        <w:t>(Knots,</w:t>
      </w:r>
      <w:r w:rsidRPr="00BB11AF">
        <w:t xml:space="preserve"> p.100, traduction libre).</w:t>
      </w:r>
    </w:p>
    <w:p w:rsidR="003A3061" w:rsidRPr="00BB11AF" w:rsidRDefault="003A3061" w:rsidP="003A3061">
      <w:pPr>
        <w:pStyle w:val="Grillecouleur-Accent1"/>
      </w:pPr>
    </w:p>
    <w:p w:rsidR="003A3061" w:rsidRPr="00BB11AF" w:rsidRDefault="003A3061" w:rsidP="003A3061">
      <w:pPr>
        <w:spacing w:before="120" w:after="120"/>
        <w:jc w:val="both"/>
      </w:pPr>
      <w:r w:rsidRPr="00BB11AF">
        <w:t>Les femmes des romans de Farah ne sont pas seules dans leur qu</w:t>
      </w:r>
      <w:r w:rsidRPr="00BB11AF">
        <w:t>ê</w:t>
      </w:r>
      <w:r w:rsidRPr="00BB11AF">
        <w:t>te d'émancipation. Elles sont soutenues par les hommes scolar</w:t>
      </w:r>
      <w:r w:rsidRPr="00BB11AF">
        <w:t>i</w:t>
      </w:r>
      <w:r w:rsidRPr="00BB11AF">
        <w:t>sés qui partagent leur rêve. Nous rencontrons plusieurs de ces hommes dans les récits de Farah : dans Sardines (1981), il y a Samater ; dans Sés</w:t>
      </w:r>
      <w:r w:rsidRPr="00BB11AF">
        <w:t>a</w:t>
      </w:r>
      <w:r w:rsidRPr="00BB11AF">
        <w:t>me ferme-toi (1983), il y a Deeriye le vieil ex-prisonnier de guerre, son fils Mursal, et Muktaar et Jibril Mohammed-Somali qui sont a</w:t>
      </w:r>
      <w:r w:rsidRPr="00BB11AF">
        <w:t>s</w:t>
      </w:r>
      <w:r w:rsidRPr="00BB11AF">
        <w:t>sassinés en raison de leur révolte contre la dictature ; dans Exils (2003), on retrouve Jeebleh, Bile, Seamus, Dajaal ; ces trois derniers se trouvent aussi dans Knots (2007). Ces trois hommes sont en fait des intellectuels qui se rebellent contre le régime de dictature et avaient constaté que le Général les utilisait pour exercer son autorité. Samater se dit : « nous sommes ceux qui maintiennent les dictateurs au po</w:t>
      </w:r>
      <w:r w:rsidRPr="00BB11AF">
        <w:t>u</w:t>
      </w:r>
      <w:r w:rsidRPr="00BB11AF">
        <w:t>voir » (Sardines 1981 :105). En outre, le récit Sésame ferme-toi (1983) est celui qui accentue le plus le prix à payer pour les intelle</w:t>
      </w:r>
      <w:r w:rsidRPr="00BB11AF">
        <w:t>c</w:t>
      </w:r>
      <w:r w:rsidRPr="00BB11AF">
        <w:t>tuels se rebellant contre le r</w:t>
      </w:r>
      <w:r w:rsidRPr="00BB11AF">
        <w:t>é</w:t>
      </w:r>
      <w:r w:rsidRPr="00BB11AF">
        <w:t>gime dictatorial.</w:t>
      </w:r>
    </w:p>
    <w:p w:rsidR="003A3061" w:rsidRPr="00BB11AF" w:rsidRDefault="003A3061" w:rsidP="003A3061">
      <w:pPr>
        <w:spacing w:before="120" w:after="120"/>
        <w:jc w:val="both"/>
      </w:pPr>
    </w:p>
    <w:p w:rsidR="003A3061" w:rsidRPr="00BB11AF" w:rsidRDefault="003A3061" w:rsidP="003A3061">
      <w:pPr>
        <w:pStyle w:val="planche"/>
      </w:pPr>
      <w:r w:rsidRPr="00BB11AF">
        <w:t>Conclusion : la quête au futur</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À la veille de la guerre civile des années 1990, Farah est touché par la situation de son pays et il identifie vite la source éventuelle de la lib</w:t>
      </w:r>
      <w:r w:rsidRPr="00BB11AF">
        <w:t>é</w:t>
      </w:r>
      <w:r w:rsidRPr="00BB11AF">
        <w:t>ration de ce dernier : l'épanouissement des femmes. Les années 1970 et 1980 avaient été des années caractérisées par un mécontent</w:t>
      </w:r>
      <w:r w:rsidRPr="00BB11AF">
        <w:t>e</w:t>
      </w:r>
      <w:r w:rsidRPr="00BB11AF">
        <w:t>ment de la population civile envers le régime politique de l'époque. Farah croit que les Somaliens avaient été trahis par les anciens des clans, les chefs de guerre et les religieux représentant le régime dict</w:t>
      </w:r>
      <w:r w:rsidRPr="00BB11AF">
        <w:t>a</w:t>
      </w:r>
      <w:r w:rsidRPr="00BB11AF">
        <w:t>torial (Exiles 2003 :381). Il constate que la dictature familiale est d</w:t>
      </w:r>
      <w:r w:rsidRPr="00BB11AF">
        <w:t>i</w:t>
      </w:r>
      <w:r w:rsidRPr="00BB11AF">
        <w:t>rectement liée à la dictature nationale. C'est pourquoi, dit-il, à travers Médina dans Sardines (1981), que la famille traditionnelle somalienne représente le régime du dictateur et sa manière de gouverner est expl</w:t>
      </w:r>
      <w:r w:rsidRPr="00BB11AF">
        <w:t>i</w:t>
      </w:r>
      <w:r w:rsidRPr="00BB11AF">
        <w:t>quée à travers la façon d'élever les enfants (Sardines 1981 : 196-198). Il faudrait donc « démolir » toutes les familles patriarcales pour la survie de la femme (Sardines 1981 :341). Farah dit encore, à travers Samater et Médina, que la politique du pouvoir somalien ne laisse pas de place aux femmes et que dans un système comme celui du Général, il n'y a pas d'espoir pour elles. C'est pour cette raison qu'il conseille aux femmes de se lever et</w:t>
      </w:r>
      <w:r>
        <w:t xml:space="preserve"> </w:t>
      </w:r>
      <w:r w:rsidRPr="00BB11AF">
        <w:t>[119]</w:t>
      </w:r>
      <w:r>
        <w:t xml:space="preserve"> </w:t>
      </w:r>
      <w:r w:rsidRPr="00BB11AF">
        <w:t>lutter pour leurs droits tant au niveau familial qu'au niveau nati</w:t>
      </w:r>
      <w:r w:rsidRPr="00BB11AF">
        <w:t>o</w:t>
      </w:r>
      <w:r w:rsidRPr="00BB11AF">
        <w:t>nal. Les femmes doivent informer le public désinformé sur les sujets aussi importants que l'infibulation (Sardines, 1981 : 104).</w:t>
      </w:r>
    </w:p>
    <w:p w:rsidR="003A3061" w:rsidRPr="00BB11AF" w:rsidRDefault="003A3061" w:rsidP="003A3061">
      <w:pPr>
        <w:spacing w:before="120" w:after="120"/>
        <w:jc w:val="both"/>
      </w:pPr>
      <w:r w:rsidRPr="00BB11AF">
        <w:t>Le temps change lentement en Somalie apportant avec lui un e</w:t>
      </w:r>
      <w:r w:rsidRPr="00BB11AF">
        <w:t>s</w:t>
      </w:r>
      <w:r w:rsidRPr="00BB11AF">
        <w:t>poir. D'une manière générale, on peut affirmer que les héroïnes des romans de Farah sont les porteuses de la parole et de l'espoir pour la Somalie. L'œuvre entière de Farah. représente le rêve d'un écrivain engagé pour la cause de la libération des femmes som</w:t>
      </w:r>
      <w:r w:rsidRPr="00BB11AF">
        <w:t>a</w:t>
      </w:r>
      <w:r w:rsidRPr="00BB11AF">
        <w:t>liennes et de son peuple qui est enfermé en quelque sorte dans une crise sociopol</w:t>
      </w:r>
      <w:r w:rsidRPr="00BB11AF">
        <w:t>i</w:t>
      </w:r>
      <w:r w:rsidRPr="00BB11AF">
        <w:t>tique profonde et complexe. Farah verbalise ses rêves à travers les Somaliennes fictives qu'il crée. Il les encourage en leur prêtant la p</w:t>
      </w:r>
      <w:r w:rsidRPr="00BB11AF">
        <w:t>a</w:t>
      </w:r>
      <w:r w:rsidRPr="00BB11AF">
        <w:t>role pour se défendre contre l'injustice. Ainsi, nous pouvons entendre ces femmes dénoncer les manières de faire qu'elles jugent arriérées et rétrogrades chez des hommes qui maltraitent les femmes. Par exe</w:t>
      </w:r>
      <w:r w:rsidRPr="00BB11AF">
        <w:t>m</w:t>
      </w:r>
      <w:r w:rsidRPr="00BB11AF">
        <w:t>ple, Duniya, l'une des héroïnes de Farah, dit :</w:t>
      </w:r>
    </w:p>
    <w:p w:rsidR="003A3061" w:rsidRDefault="003A3061" w:rsidP="003A3061">
      <w:pPr>
        <w:pStyle w:val="Grillecouleur-Accent1"/>
      </w:pPr>
    </w:p>
    <w:p w:rsidR="003A3061" w:rsidRDefault="003A3061" w:rsidP="003A3061">
      <w:pPr>
        <w:pStyle w:val="Grillecouleur-Accent1"/>
      </w:pPr>
      <w:r w:rsidRPr="00BB11AF">
        <w:t>[...] J'ai appris à me méfier des hommes [...]. La raison pour laque</w:t>
      </w:r>
      <w:r w:rsidRPr="00BB11AF">
        <w:t>l</w:t>
      </w:r>
      <w:r w:rsidRPr="00BB11AF">
        <w:t>le je me rebelle contre l'autorité des hommes c'est qu'ils ont te</w:t>
      </w:r>
      <w:r w:rsidRPr="00BB11AF">
        <w:t>n</w:t>
      </w:r>
      <w:r w:rsidRPr="00BB11AF">
        <w:t>dance à prendre des décisions qui affectent la vie des femmes dans des asse</w:t>
      </w:r>
      <w:r w:rsidRPr="00BB11AF">
        <w:t>m</w:t>
      </w:r>
      <w:r w:rsidRPr="00BB11AF">
        <w:t>blées d'où les femmes sont absentes [...] (</w:t>
      </w:r>
      <w:r w:rsidRPr="00BB11AF">
        <w:rPr>
          <w:i/>
        </w:rPr>
        <w:t>Dons</w:t>
      </w:r>
      <w:r w:rsidRPr="00BB11AF">
        <w:t>, p.207).</w:t>
      </w:r>
    </w:p>
    <w:p w:rsidR="003A3061" w:rsidRPr="00BB11AF" w:rsidRDefault="003A3061" w:rsidP="003A3061">
      <w:pPr>
        <w:pStyle w:val="Grillecouleur-Accent1"/>
      </w:pPr>
    </w:p>
    <w:p w:rsidR="003A3061" w:rsidRPr="00BB11AF" w:rsidRDefault="003A3061" w:rsidP="003A3061">
      <w:pPr>
        <w:spacing w:before="120" w:after="120"/>
        <w:jc w:val="both"/>
      </w:pPr>
      <w:r w:rsidRPr="00BB11AF">
        <w:t>Farah croit que la sortie de la crise sociopolitique chez son peuple réside dans la conviction que la femme porte en elle la solution à la misère du peuple. Il faudra dire aux hommes d'arrêter de ma</w:t>
      </w:r>
      <w:r w:rsidRPr="00BB11AF">
        <w:t>l</w:t>
      </w:r>
      <w:r w:rsidRPr="00BB11AF">
        <w:t>traiter la femme, d'arrêter la guerre pour un moment et de lui prêter attention, pour qu'elle ait une chance de changer leur monde. Le rêve de Farah trouve son incarnation et sa consolidation dans la parole du chauffeur de Zaak qui dit aux jeunes armés :</w:t>
      </w:r>
    </w:p>
    <w:p w:rsidR="003A3061" w:rsidRDefault="003A3061" w:rsidP="003A3061">
      <w:pPr>
        <w:pStyle w:val="Grillecouleur-Accent1"/>
      </w:pPr>
    </w:p>
    <w:p w:rsidR="003A3061" w:rsidRDefault="003A3061" w:rsidP="003A3061">
      <w:pPr>
        <w:pStyle w:val="Grillecouleur-Accent1"/>
      </w:pPr>
      <w:r w:rsidRPr="00BB11AF">
        <w:t>[...] Je suis plus âgé et je me rappelle les années où tout le monde avait un boulot à faire. J'étais chauffeur, quelqu'un était nettoyeur, un autre était commis [...] qualifié ou non, il y avait un président [...] et nous avions un gouvernement [...] nous avions la paix. Vous n'avez pas de so</w:t>
      </w:r>
      <w:r w:rsidRPr="00BB11AF">
        <w:t>u</w:t>
      </w:r>
      <w:r w:rsidRPr="00BB11AF">
        <w:t>venirs [...] moi si. Vous n'êtes pas la sécurité, vous le savez [...]. Nous sommes me</w:t>
      </w:r>
      <w:r w:rsidRPr="00BB11AF">
        <w:t>m</w:t>
      </w:r>
      <w:r w:rsidRPr="00BB11AF">
        <w:t>bres d'une nation de perdants, de clans belligérants, de jeunes non scolar</w:t>
      </w:r>
      <w:r w:rsidRPr="00BB11AF">
        <w:t>i</w:t>
      </w:r>
      <w:r w:rsidRPr="00BB11AF">
        <w:t>sés, de femmes haranguées [...]. Si vous pensez comme je le fais, alors ce</w:t>
      </w:r>
      <w:r w:rsidRPr="00BB11AF">
        <w:t>t</w:t>
      </w:r>
      <w:r w:rsidRPr="00BB11AF">
        <w:t>te dame est aubaine. Elle est ici avec nous pour quelques heures et rega</w:t>
      </w:r>
      <w:r w:rsidRPr="00BB11AF">
        <w:t>r</w:t>
      </w:r>
      <w:r w:rsidRPr="00BB11AF">
        <w:t>dez ce qu'elle a accompli. Si elle peut apporter de tels changements pos</w:t>
      </w:r>
      <w:r w:rsidRPr="00BB11AF">
        <w:t>i</w:t>
      </w:r>
      <w:r w:rsidRPr="00BB11AF">
        <w:t>tifs dans le peu de temps qu'elle a été avec nous, imaginez ce que ce sera quand elle aura été avec nous plus longtemps. Mes frères, nous allons tous reprendre le travail, car il est encore temps de nous sauver. Il y a encore de l'espoir pour nous de retrouver la paix [...] (Knots, pp.99-100, traduction libre).</w:t>
      </w:r>
    </w:p>
    <w:p w:rsidR="003A3061" w:rsidRPr="00BB11AF" w:rsidRDefault="003A3061" w:rsidP="003A3061">
      <w:pPr>
        <w:pStyle w:val="Grillecouleur-Accent1"/>
      </w:pPr>
    </w:p>
    <w:p w:rsidR="003A3061" w:rsidRPr="00BB11AF" w:rsidRDefault="003A3061" w:rsidP="003A3061">
      <w:pPr>
        <w:spacing w:before="120" w:after="120"/>
        <w:jc w:val="both"/>
      </w:pPr>
      <w:r w:rsidRPr="00BB11AF">
        <w:t>L'espoir dont parle Farah est conjugué au futur. Dans une entr</w:t>
      </w:r>
      <w:r w:rsidRPr="00BB11AF">
        <w:t>e</w:t>
      </w:r>
      <w:r w:rsidRPr="00BB11AF">
        <w:t>vue accordée à Steven Gray en 2000, Farah confirme que son œ</w:t>
      </w:r>
      <w:r w:rsidRPr="00BB11AF">
        <w:t>u</w:t>
      </w:r>
      <w:r w:rsidRPr="00BB11AF">
        <w:t>vre parle au futur. Imitant un soldat américain qui dit qu'afin de fusiller que</w:t>
      </w:r>
      <w:r w:rsidRPr="00BB11AF">
        <w:t>l</w:t>
      </w:r>
      <w:r w:rsidRPr="00BB11AF">
        <w:t>qu'un en train de courir, il faut le cibler dans la direction de son pa</w:t>
      </w:r>
      <w:r w:rsidRPr="00BB11AF">
        <w:t>r</w:t>
      </w:r>
      <w:r w:rsidRPr="00BB11AF">
        <w:t>cours, il suggère que ce que fait</w:t>
      </w:r>
      <w:r>
        <w:t xml:space="preserve"> </w:t>
      </w:r>
      <w:r w:rsidRPr="00BB11AF">
        <w:t>[120]</w:t>
      </w:r>
      <w:r>
        <w:t xml:space="preserve"> </w:t>
      </w:r>
      <w:r w:rsidRPr="00BB11AF">
        <w:t>un écrivain qui écrit à propos de demain doit attendre à ce que ce d</w:t>
      </w:r>
      <w:r w:rsidRPr="00BB11AF">
        <w:t>e</w:t>
      </w:r>
      <w:r w:rsidRPr="00BB11AF">
        <w:t>main adviendra pour embrasser ce demain écrit</w:t>
      </w:r>
      <w:r>
        <w:t> </w:t>
      </w:r>
      <w:r>
        <w:rPr>
          <w:rStyle w:val="Appelnotedebasdep"/>
        </w:rPr>
        <w:footnoteReference w:id="77"/>
      </w:r>
      <w:r w:rsidRPr="00BB11AF">
        <w:t>.</w:t>
      </w:r>
    </w:p>
    <w:p w:rsidR="003A3061" w:rsidRPr="00BB11AF" w:rsidRDefault="003A3061" w:rsidP="003A3061">
      <w:pPr>
        <w:spacing w:before="120" w:after="120"/>
        <w:jc w:val="both"/>
      </w:pPr>
      <w:r w:rsidRPr="00BB11AF">
        <w:t>Plus concrètement, nous voyons naître cet espoir à travers le travail et les accomplissements de femmes telles qu'Asha Hagi Elmi, la fo</w:t>
      </w:r>
      <w:r w:rsidRPr="00BB11AF">
        <w:t>n</w:t>
      </w:r>
      <w:r w:rsidRPr="00BB11AF">
        <w:t>datrice et directrice de la plus importante organisation non gouvern</w:t>
      </w:r>
      <w:r w:rsidRPr="00BB11AF">
        <w:t>e</w:t>
      </w:r>
      <w:r w:rsidRPr="00BB11AF">
        <w:t xml:space="preserve">mentale de Somalie </w:t>
      </w:r>
      <w:r w:rsidRPr="00BB11AF">
        <w:rPr>
          <w:i/>
        </w:rPr>
        <w:t>Save Somali Women and Children</w:t>
      </w:r>
      <w:r w:rsidRPr="00BB11AF">
        <w:t xml:space="preserve"> (SSWC) et membre du parlement somalien depuis 2012. En effet, grâce aux e</w:t>
      </w:r>
      <w:r w:rsidRPr="00BB11AF">
        <w:t>f</w:t>
      </w:r>
      <w:r w:rsidRPr="00BB11AF">
        <w:t>forts du fameux mouvement des femmes « Sixth Clan » dirigé par Elmi, la nouvelle constitution somalienne de 2012 reconnaît, pour la première fois dans l'histoire, la place des femmes dans les processus politiques et de paix au sein du parl</w:t>
      </w:r>
      <w:r w:rsidRPr="00BB11AF">
        <w:t>e</w:t>
      </w:r>
      <w:r w:rsidRPr="00BB11AF">
        <w:t>ment national. La crise des sexes est aujourd'hui un sujet épineux abordé par ces femmes scolarisées</w:t>
      </w:r>
      <w:r>
        <w:t> </w:t>
      </w:r>
      <w:r>
        <w:rPr>
          <w:rStyle w:val="Appelnotedebasdep"/>
        </w:rPr>
        <w:footnoteReference w:id="78"/>
      </w:r>
      <w:r w:rsidRPr="00BB11AF">
        <w:t>, mais qui demeure encore un grand problème dans le temps pr</w:t>
      </w:r>
      <w:r w:rsidRPr="00BB11AF">
        <w:t>é</w:t>
      </w:r>
      <w:r w:rsidRPr="00BB11AF">
        <w:t>sent marqué par la guerre civile qui semble multiplier les problèmes des femmes.</w:t>
      </w:r>
    </w:p>
    <w:p w:rsidR="003A3061" w:rsidRPr="00BB11AF" w:rsidRDefault="003A3061" w:rsidP="003A3061">
      <w:pPr>
        <w:pStyle w:val="p"/>
      </w:pPr>
      <w:r w:rsidRPr="00BB11AF">
        <w:br w:type="page"/>
        <w:t>[121]</w:t>
      </w:r>
    </w:p>
    <w:p w:rsidR="003A3061" w:rsidRPr="00BB11AF" w:rsidRDefault="003A3061" w:rsidP="003A3061">
      <w:pPr>
        <w:spacing w:before="120" w:after="120"/>
        <w:jc w:val="both"/>
      </w:pPr>
    </w:p>
    <w:p w:rsidR="003A3061" w:rsidRPr="00BB11AF" w:rsidRDefault="003A3061" w:rsidP="003A3061">
      <w:pPr>
        <w:pStyle w:val="planche"/>
      </w:pPr>
      <w:r w:rsidRPr="00BB11AF">
        <w:t>Références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Abdi, M. et al., Cité par Hart, B. et Saed, M. 2010. « Integrating Principles and Practices of Customary Law, Conflict Transform</w:t>
      </w:r>
      <w:r w:rsidRPr="00BB11AF">
        <w:t>a</w:t>
      </w:r>
      <w:r w:rsidRPr="00BB11AF">
        <w:t>tion and Restorative Justice in Somaliland ». African Peace and Conflict Journal 3(2) : 1-17.</w:t>
      </w:r>
    </w:p>
    <w:p w:rsidR="003A3061" w:rsidRPr="00BB11AF" w:rsidRDefault="003A3061" w:rsidP="003A3061">
      <w:pPr>
        <w:spacing w:before="120" w:after="120"/>
        <w:jc w:val="both"/>
      </w:pPr>
      <w:r w:rsidRPr="00BB11AF">
        <w:t>Abdullahi M. D. 2001. Culture and Customs of Somalia. Wes</w:t>
      </w:r>
      <w:r w:rsidRPr="00BB11AF">
        <w:t>t</w:t>
      </w:r>
      <w:r w:rsidRPr="00BB11AF">
        <w:t>port : Greenwood Press.</w:t>
      </w:r>
    </w:p>
    <w:p w:rsidR="003A3061" w:rsidRPr="00BB11AF" w:rsidRDefault="003A3061" w:rsidP="003A3061">
      <w:pPr>
        <w:spacing w:before="120" w:after="120"/>
        <w:jc w:val="both"/>
      </w:pPr>
      <w:r w:rsidRPr="00BB11AF">
        <w:t>Al-Hîlâl M. T. 1998. Translation of the Meanings of The Noble Qur'an in the English Language. Madinah : King Fahad Complex.</w:t>
      </w:r>
    </w:p>
    <w:p w:rsidR="003A3061" w:rsidRPr="00BB11AF" w:rsidRDefault="003A3061" w:rsidP="003A3061">
      <w:pPr>
        <w:spacing w:before="120" w:after="120"/>
        <w:jc w:val="both"/>
      </w:pPr>
      <w:r w:rsidRPr="00BB11AF">
        <w:t>Bardolph, J. 1998. « Dreams and Identity in the Novels of Nuru</w:t>
      </w:r>
      <w:r w:rsidRPr="00BB11AF">
        <w:t>d</w:t>
      </w:r>
      <w:r w:rsidRPr="00BB11AF">
        <w:t>din Farah ». Research in African Literatures 29(1) : 163-173.</w:t>
      </w:r>
    </w:p>
    <w:p w:rsidR="003A3061" w:rsidRPr="00BB11AF" w:rsidRDefault="003A3061" w:rsidP="003A3061">
      <w:pPr>
        <w:spacing w:before="120" w:after="120"/>
        <w:jc w:val="both"/>
      </w:pPr>
      <w:r w:rsidRPr="00BB11AF">
        <w:t>BBC News Africa. 2008/12/9. « Somali's President Quits Off</w:t>
      </w:r>
      <w:r w:rsidRPr="00BB11AF">
        <w:t>i</w:t>
      </w:r>
      <w:r w:rsidRPr="00BB11AF">
        <w:t xml:space="preserve">ce ». Document électronique, </w:t>
      </w:r>
      <w:hyperlink r:id="rId33" w:history="1">
        <w:r w:rsidRPr="00BB11AF">
          <w:rPr>
            <w:rStyle w:val="Lienhypertexte"/>
            <w:lang w:bidi="en-US"/>
          </w:rPr>
          <w:t>http://news.bbc.co.Uk/2/hi/africa/7802622.stm</w:t>
        </w:r>
      </w:hyperlink>
      <w:r w:rsidRPr="00BB11AF">
        <w:rPr>
          <w:lang w:bidi="en-US"/>
        </w:rPr>
        <w:t xml:space="preserve">, </w:t>
      </w:r>
      <w:r w:rsidRPr="00BB11AF">
        <w:t>consulté le 8 oct</w:t>
      </w:r>
      <w:r w:rsidRPr="00BB11AF">
        <w:t>o</w:t>
      </w:r>
      <w:r w:rsidRPr="00BB11AF">
        <w:t>bre 2012.</w:t>
      </w:r>
    </w:p>
    <w:p w:rsidR="003A3061" w:rsidRPr="00BB11AF" w:rsidRDefault="003A3061" w:rsidP="003A3061">
      <w:pPr>
        <w:spacing w:before="120" w:after="120"/>
        <w:jc w:val="both"/>
      </w:pPr>
      <w:r w:rsidRPr="00BB11AF">
        <w:t>BBC News Africa. 2012/02/23. « In Pictures : Somali Samosa Se</w:t>
      </w:r>
      <w:r w:rsidRPr="00BB11AF">
        <w:t>l</w:t>
      </w:r>
      <w:r w:rsidRPr="00BB11AF">
        <w:t xml:space="preserve">ler ». Document électronique, </w:t>
      </w:r>
      <w:hyperlink r:id="rId34" w:history="1">
        <w:r w:rsidRPr="008A7C9A">
          <w:rPr>
            <w:rStyle w:val="Lienhypertexte"/>
            <w:lang w:bidi="en-US"/>
          </w:rPr>
          <w:t>http://www.bbc.co.uk/news/world-africa-17116237</w:t>
        </w:r>
      </w:hyperlink>
      <w:r w:rsidRPr="00BB11AF">
        <w:rPr>
          <w:lang w:bidi="en-US"/>
        </w:rPr>
        <w:t xml:space="preserve">, </w:t>
      </w:r>
      <w:r w:rsidRPr="00BB11AF">
        <w:t>consulté le 7 octobre 2012.</w:t>
      </w:r>
    </w:p>
    <w:p w:rsidR="003A3061" w:rsidRPr="00BB11AF" w:rsidRDefault="003A3061" w:rsidP="003A3061">
      <w:pPr>
        <w:spacing w:before="120" w:after="120"/>
        <w:jc w:val="both"/>
      </w:pPr>
      <w:r w:rsidRPr="00BB11AF">
        <w:t>Farah, N. 1987 [1970]. Née de la côte d'Adam. G. Jackson, trad. Paris : Hatier.</w:t>
      </w:r>
    </w:p>
    <w:p w:rsidR="003A3061" w:rsidRPr="00BB11AF" w:rsidRDefault="003A3061" w:rsidP="003A3061">
      <w:pPr>
        <w:spacing w:before="120" w:after="120"/>
        <w:jc w:val="both"/>
      </w:pPr>
      <w:r w:rsidRPr="00BB11AF">
        <w:t>—1995 [1979]. Du lait aigre-doux. C. Surber, trad. Genève : Zoé.</w:t>
      </w:r>
    </w:p>
    <w:p w:rsidR="003A3061" w:rsidRPr="00BB11AF" w:rsidRDefault="003A3061" w:rsidP="003A3061">
      <w:pPr>
        <w:spacing w:before="120" w:after="120"/>
        <w:jc w:val="both"/>
      </w:pPr>
      <w:r w:rsidRPr="00BB11AF">
        <w:t>1994 [1986]. Territoires. J. Bardolph, trad. Paris : Le Serpent à plumes.</w:t>
      </w:r>
    </w:p>
    <w:p w:rsidR="003A3061" w:rsidRPr="00BB11AF" w:rsidRDefault="003A3061" w:rsidP="003A3061">
      <w:pPr>
        <w:spacing w:before="120" w:after="120"/>
        <w:jc w:val="both"/>
      </w:pPr>
      <w:r w:rsidRPr="00BB11AF">
        <w:t>1996 [1981]. Sardines. C. Surber, trad. Genève : Zoé.</w:t>
      </w:r>
    </w:p>
    <w:p w:rsidR="003A3061" w:rsidRPr="00BB11AF" w:rsidRDefault="003A3061" w:rsidP="003A3061">
      <w:pPr>
        <w:spacing w:before="120" w:after="120"/>
        <w:jc w:val="both"/>
      </w:pPr>
      <w:r w:rsidRPr="00BB11AF">
        <w:t>—1998 [1983]. Sésame, ferme-toi. C. Surber, trad. Genève : Zoé.</w:t>
      </w:r>
    </w:p>
    <w:p w:rsidR="003A3061" w:rsidRPr="00BB11AF" w:rsidRDefault="003A3061" w:rsidP="003A3061">
      <w:pPr>
        <w:spacing w:before="120" w:after="120"/>
        <w:jc w:val="both"/>
      </w:pPr>
      <w:r w:rsidRPr="00BB11AF">
        <w:t>1998 [1986], Dons. J. Bardolph, trad. Paris : Le Serpenta plumes.</w:t>
      </w:r>
    </w:p>
    <w:p w:rsidR="003A3061" w:rsidRPr="00BB11AF" w:rsidRDefault="003A3061" w:rsidP="003A3061">
      <w:pPr>
        <w:spacing w:before="120" w:after="120"/>
        <w:jc w:val="both"/>
      </w:pPr>
      <w:r w:rsidRPr="00BB11AF">
        <w:t>—1999 [1998]. Secrets. J. Bardolph, trad. Paris : Le Serpent à plumes.</w:t>
      </w:r>
    </w:p>
    <w:p w:rsidR="003A3061" w:rsidRPr="00BB11AF" w:rsidRDefault="003A3061" w:rsidP="003A3061">
      <w:pPr>
        <w:spacing w:before="120" w:after="120"/>
        <w:jc w:val="both"/>
      </w:pPr>
      <w:r w:rsidRPr="00BB11AF">
        <w:t>2001 [2000]. Hier, demain. Voix et témoignages de la diaspora somalienne. G. Cingal, trad. Paris : Le Serpenta plumes.</w:t>
      </w:r>
    </w:p>
    <w:p w:rsidR="003A3061" w:rsidRPr="00BB11AF" w:rsidRDefault="003A3061" w:rsidP="003A3061">
      <w:pPr>
        <w:spacing w:before="120" w:after="120"/>
        <w:jc w:val="both"/>
      </w:pPr>
      <w:r w:rsidRPr="00BB11AF">
        <w:t>2007. Knots. New York : Riverhead Books.</w:t>
      </w:r>
    </w:p>
    <w:p w:rsidR="003A3061" w:rsidRPr="00BB11AF" w:rsidRDefault="003A3061" w:rsidP="003A3061">
      <w:pPr>
        <w:spacing w:before="120" w:after="120"/>
        <w:jc w:val="both"/>
      </w:pPr>
      <w:r w:rsidRPr="00BB11AF">
        <w:t>2007 [1975]. Une aiguille nue. C. Pierre-Bon, trad. Paris : L'Or des Fous</w:t>
      </w:r>
    </w:p>
    <w:p w:rsidR="003A3061" w:rsidRPr="00BB11AF" w:rsidRDefault="003A3061" w:rsidP="003A3061">
      <w:pPr>
        <w:spacing w:before="120" w:after="120"/>
        <w:jc w:val="both"/>
      </w:pPr>
      <w:r w:rsidRPr="00BB11AF">
        <w:t>2010 [2003]. Exils. M.-O. Fortier-Masek, trad. Paris : Le Serpent à Plumes.</w:t>
      </w:r>
    </w:p>
    <w:p w:rsidR="003A3061" w:rsidRPr="00BB11AF" w:rsidRDefault="003A3061" w:rsidP="003A3061">
      <w:pPr>
        <w:spacing w:before="120" w:after="120"/>
        <w:jc w:val="both"/>
      </w:pPr>
      <w:r w:rsidRPr="00BB11AF">
        <w:t>2011. Crossbones. New York : Riverhead Books.</w:t>
      </w:r>
    </w:p>
    <w:p w:rsidR="003A3061" w:rsidRPr="00BB11AF" w:rsidRDefault="003A3061" w:rsidP="003A3061">
      <w:pPr>
        <w:spacing w:before="120" w:after="120"/>
        <w:jc w:val="both"/>
      </w:pPr>
      <w:r w:rsidRPr="00BB11AF">
        <w:t>Fund for Peace. 2011. « The Failed States Index Ranking ». D</w:t>
      </w:r>
      <w:r w:rsidRPr="00BB11AF">
        <w:t>o</w:t>
      </w:r>
      <w:r w:rsidRPr="00BB11AF">
        <w:t xml:space="preserve">cument électronique, </w:t>
      </w:r>
      <w:hyperlink r:id="rId35" w:history="1">
        <w:r>
          <w:rPr>
            <w:rStyle w:val="Lienhypertexte"/>
            <w:lang w:bidi="en-US"/>
          </w:rPr>
          <w:t>http</w:t>
        </w:r>
        <w:r w:rsidRPr="00BB11AF">
          <w:rPr>
            <w:rStyle w:val="Lienhypertexte"/>
            <w:lang w:bidi="en-US"/>
          </w:rPr>
          <w:t>://ffp.statesindex.org/rankings</w:t>
        </w:r>
      </w:hyperlink>
      <w:r w:rsidRPr="00BB11AF">
        <w:rPr>
          <w:lang w:bidi="en-US"/>
        </w:rPr>
        <w:t xml:space="preserve">, </w:t>
      </w:r>
      <w:r w:rsidRPr="00BB11AF">
        <w:t>consulté le 8 octobre 2012.</w:t>
      </w:r>
    </w:p>
    <w:p w:rsidR="003A3061" w:rsidRPr="00BB11AF" w:rsidRDefault="003A3061" w:rsidP="003A3061">
      <w:pPr>
        <w:spacing w:before="120" w:after="120"/>
        <w:jc w:val="both"/>
      </w:pPr>
      <w:r w:rsidRPr="00BB11AF">
        <w:t xml:space="preserve">Goldmann, L. 1964. </w:t>
      </w:r>
      <w:r w:rsidRPr="00BB11AF">
        <w:rPr>
          <w:i/>
        </w:rPr>
        <w:fldChar w:fldCharType="begin"/>
      </w:r>
      <w:r w:rsidRPr="00BB11AF">
        <w:rPr>
          <w:i/>
        </w:rPr>
        <w:instrText xml:space="preserve"> </w:instrText>
      </w:r>
      <w:r w:rsidR="005C513B">
        <w:rPr>
          <w:i/>
        </w:rPr>
        <w:instrText>HYPERLINK</w:instrText>
      </w:r>
      <w:r w:rsidRPr="00BB11AF">
        <w:rPr>
          <w:i/>
        </w:rPr>
        <w:instrText xml:space="preserve"> "http://classiques.uqac.ca/contemporains/goldmann_lucien/Pour_une_socio_du_roman/Pour_une_socio_du_roman.html" </w:instrText>
      </w:r>
      <w:r w:rsidRPr="00BB11AF">
        <w:rPr>
          <w:i/>
        </w:rPr>
      </w:r>
      <w:r w:rsidRPr="00BB11AF">
        <w:rPr>
          <w:i/>
        </w:rPr>
        <w:fldChar w:fldCharType="separate"/>
      </w:r>
      <w:r w:rsidRPr="00BB11AF">
        <w:rPr>
          <w:rStyle w:val="Lienhypertexte"/>
          <w:i/>
        </w:rPr>
        <w:t>Pour une sociologie du roman</w:t>
      </w:r>
      <w:r w:rsidRPr="00BB11AF">
        <w:rPr>
          <w:i/>
        </w:rPr>
        <w:fldChar w:fldCharType="end"/>
      </w:r>
      <w:r w:rsidRPr="00BB11AF">
        <w:t>. Paris : Gall</w:t>
      </w:r>
      <w:r w:rsidRPr="00BB11AF">
        <w:t>i</w:t>
      </w:r>
      <w:r w:rsidRPr="00BB11AF">
        <w:t>mard.</w:t>
      </w:r>
    </w:p>
    <w:p w:rsidR="003A3061" w:rsidRPr="00BB11AF" w:rsidRDefault="003A3061" w:rsidP="003A3061">
      <w:pPr>
        <w:spacing w:before="120" w:after="120"/>
        <w:jc w:val="both"/>
      </w:pPr>
      <w:r w:rsidRPr="00BB11AF">
        <w:t>Gray, S. 2000. « Interview with Nuruddin Farah ». English in Afr</w:t>
      </w:r>
      <w:r w:rsidRPr="00BB11AF">
        <w:t>i</w:t>
      </w:r>
      <w:r w:rsidRPr="00BB11AF">
        <w:t>ca 27 (1) : 131-139.</w:t>
      </w:r>
    </w:p>
    <w:p w:rsidR="003A3061" w:rsidRPr="00BB11AF" w:rsidRDefault="003A3061" w:rsidP="003A3061">
      <w:pPr>
        <w:spacing w:before="120" w:after="120"/>
        <w:jc w:val="both"/>
      </w:pPr>
      <w:r w:rsidRPr="00BB11AF">
        <w:t>Hart, B. et Saed, M. 2010. « Integrating Principles and Practices of Customary Law, Conflict Transformation and Restorative Just</w:t>
      </w:r>
      <w:r w:rsidRPr="00BB11AF">
        <w:t>i</w:t>
      </w:r>
      <w:r w:rsidRPr="00BB11AF">
        <w:t>ce in Somaliland ». African Peace and Conflict Journal 3 (2) : 1-17.</w:t>
      </w:r>
    </w:p>
    <w:p w:rsidR="003A3061" w:rsidRPr="00BB11AF" w:rsidRDefault="003A3061" w:rsidP="003A3061">
      <w:pPr>
        <w:spacing w:before="120" w:after="120"/>
        <w:jc w:val="both"/>
      </w:pPr>
      <w:r w:rsidRPr="00BB11AF">
        <w:t>[122]</w:t>
      </w:r>
    </w:p>
    <w:p w:rsidR="003A3061" w:rsidRPr="00BB11AF" w:rsidRDefault="003A3061" w:rsidP="003A3061">
      <w:pPr>
        <w:spacing w:before="120" w:after="120"/>
        <w:jc w:val="both"/>
      </w:pPr>
      <w:r w:rsidRPr="00BB11AF">
        <w:t>Hawly, J. C. 2002. « Nuruddin Farah : Tribalism, Orality and Po</w:t>
      </w:r>
      <w:r w:rsidRPr="00BB11AF">
        <w:t>s</w:t>
      </w:r>
      <w:r w:rsidRPr="00BB11AF">
        <w:t>colonial Ultimate Reality and Meaning in Contemporary Som</w:t>
      </w:r>
      <w:r w:rsidRPr="00BB11AF">
        <w:t>a</w:t>
      </w:r>
      <w:r w:rsidRPr="00BB11AF">
        <w:t>lia ». In Emerging Perspectives on Nuruddin Farah. Wright D. ed. Pp. 567-590. Trenton : Africa World Press.</w:t>
      </w:r>
    </w:p>
    <w:p w:rsidR="003A3061" w:rsidRPr="00BB11AF" w:rsidRDefault="003A3061" w:rsidP="003A3061">
      <w:pPr>
        <w:spacing w:before="120" w:after="120"/>
        <w:jc w:val="both"/>
      </w:pPr>
      <w:r w:rsidRPr="00BB11AF">
        <w:t>Human Rights Watch. 2014. « Here, Rape is Normal : A Five-Point Plan to Curtail Sexual Violence in Somalia ». Document éle</w:t>
      </w:r>
      <w:r w:rsidRPr="00BB11AF">
        <w:t>c</w:t>
      </w:r>
      <w:r w:rsidRPr="00BB11AF">
        <w:t xml:space="preserve">tronique, </w:t>
      </w:r>
      <w:hyperlink r:id="rId36" w:history="1">
        <w:r w:rsidRPr="008A7C9A">
          <w:rPr>
            <w:rStyle w:val="Lienhypertexte"/>
            <w:lang w:bidi="en-US"/>
          </w:rPr>
          <w:t>http://www.hrw.org/sites/default/files</w:t>
        </w:r>
        <w:r w:rsidRPr="008A7C9A">
          <w:rPr>
            <w:rStyle w:val="Lienhypertexte"/>
          </w:rPr>
          <w:t>/reports/somalia0214_ForUpload.pdf</w:t>
        </w:r>
      </w:hyperlink>
      <w:r>
        <w:t xml:space="preserve"> </w:t>
      </w:r>
      <w:r w:rsidRPr="00BB11AF">
        <w:t>, consulté le 25 mars 2014.</w:t>
      </w:r>
    </w:p>
    <w:p w:rsidR="003A3061" w:rsidRPr="00BB11AF" w:rsidRDefault="003A3061" w:rsidP="003A3061">
      <w:pPr>
        <w:spacing w:before="120" w:after="120"/>
        <w:jc w:val="both"/>
      </w:pPr>
      <w:r w:rsidRPr="00BB11AF">
        <w:t>Jaggi, M. 2012. « Nuruddin Farah : A life in writing ». The Gua</w:t>
      </w:r>
      <w:r w:rsidRPr="00BB11AF">
        <w:t>r</w:t>
      </w:r>
      <w:r w:rsidRPr="00BB11AF">
        <w:t>dian, 21 Septembre. Document électronique,</w:t>
      </w:r>
      <w:r>
        <w:br/>
      </w:r>
      <w:hyperlink r:id="rId37" w:history="1">
        <w:r w:rsidRPr="00BB11AF">
          <w:rPr>
            <w:rStyle w:val="Lienhypertexte"/>
            <w:lang w:bidi="en-US"/>
          </w:rPr>
          <w:t>http://www.theguardian.com/culture/2012/sep/21/nuruddin-salah-life-in-writing</w:t>
        </w:r>
      </w:hyperlink>
      <w:r w:rsidRPr="00BB11AF">
        <w:rPr>
          <w:lang w:bidi="en-US"/>
        </w:rPr>
        <w:t xml:space="preserve">, </w:t>
      </w:r>
      <w:r w:rsidRPr="00BB11AF">
        <w:t>consulté le 21 septembre 2013.</w:t>
      </w:r>
    </w:p>
    <w:p w:rsidR="003A3061" w:rsidRPr="00BB11AF" w:rsidRDefault="003A3061" w:rsidP="003A3061">
      <w:pPr>
        <w:spacing w:before="120" w:after="120"/>
        <w:jc w:val="both"/>
      </w:pPr>
      <w:r w:rsidRPr="00BB11AF">
        <w:t>Kyalo, N. K. 2005. Le K.-O. verbal ou la communication confli</w:t>
      </w:r>
      <w:r w:rsidRPr="00BB11AF">
        <w:t>c</w:t>
      </w:r>
      <w:r w:rsidRPr="00BB11AF">
        <w:t>tuelle dans « Née de la côte d'Adam ». Mémoire de Maîtrise. Depar</w:t>
      </w:r>
      <w:r w:rsidRPr="00BB11AF">
        <w:t>t</w:t>
      </w:r>
      <w:r w:rsidRPr="00BB11AF">
        <w:t>ment of Foreign Languages, Kenyatta University.</w:t>
      </w:r>
    </w:p>
    <w:p w:rsidR="003A3061" w:rsidRPr="00BB11AF" w:rsidRDefault="003A3061" w:rsidP="003A3061">
      <w:pPr>
        <w:spacing w:before="120" w:after="120"/>
        <w:jc w:val="both"/>
      </w:pPr>
      <w:r w:rsidRPr="00BB11AF">
        <w:t>McGown, R. B. 2003. « Redefining Social Roles : The Extraord</w:t>
      </w:r>
      <w:r w:rsidRPr="00BB11AF">
        <w:t>i</w:t>
      </w:r>
      <w:r w:rsidRPr="00BB11AF">
        <w:t>nary Strength of Somali Women ». Women and Environments Inte</w:t>
      </w:r>
      <w:r w:rsidRPr="00BB11AF">
        <w:t>r</w:t>
      </w:r>
      <w:r w:rsidRPr="00BB11AF">
        <w:t>national Magazine 58/59 :13.</w:t>
      </w:r>
    </w:p>
    <w:p w:rsidR="003A3061" w:rsidRPr="00BB11AF" w:rsidRDefault="003A3061" w:rsidP="003A3061">
      <w:pPr>
        <w:spacing w:before="120" w:after="120"/>
        <w:jc w:val="both"/>
      </w:pPr>
      <w:r w:rsidRPr="00BB11AF">
        <w:t>Mirmotahari, E. 2011. Islam in the East African Novel. New Yolk : Palgrave Macmillan.</w:t>
      </w:r>
    </w:p>
    <w:p w:rsidR="003A3061" w:rsidRPr="00BB11AF" w:rsidRDefault="003A3061" w:rsidP="003A3061">
      <w:pPr>
        <w:spacing w:before="120" w:after="120"/>
        <w:jc w:val="both"/>
      </w:pPr>
      <w:r w:rsidRPr="00BB11AF">
        <w:t>Moore, G. H. 2002. « Nomads and Feminists : The Novels of N</w:t>
      </w:r>
      <w:r w:rsidRPr="00BB11AF">
        <w:t>u</w:t>
      </w:r>
      <w:r w:rsidRPr="00BB11AF">
        <w:t>ruddin Farah ». In Emerging Perspectives on Nuruddin Farah. D. Wright, ed. Pp. 155-173. Trenton : Africa World Press.</w:t>
      </w:r>
    </w:p>
    <w:p w:rsidR="003A3061" w:rsidRPr="00BB11AF" w:rsidRDefault="003A3061" w:rsidP="003A3061">
      <w:pPr>
        <w:spacing w:before="120" w:after="120"/>
        <w:jc w:val="both"/>
      </w:pPr>
      <w:r w:rsidRPr="00BB11AF">
        <w:t>Okonkwo, J. 1984. « Nuruddin Farah and the Changing Roles of Women ». World Literature Today 58(2) :215-21.</w:t>
      </w:r>
    </w:p>
    <w:p w:rsidR="003A3061" w:rsidRPr="00BB11AF" w:rsidRDefault="003A3061" w:rsidP="003A3061">
      <w:pPr>
        <w:spacing w:before="120" w:after="120"/>
        <w:jc w:val="both"/>
      </w:pPr>
      <w:r w:rsidRPr="00BB11AF">
        <w:t>Save Somali Women and Children. 2009. « Accomplishments ». Document électronique,</w:t>
      </w:r>
    </w:p>
    <w:p w:rsidR="003A3061" w:rsidRPr="00BB11AF" w:rsidRDefault="003A3061" w:rsidP="003A3061">
      <w:pPr>
        <w:spacing w:before="120" w:after="120"/>
        <w:jc w:val="both"/>
      </w:pPr>
      <w:hyperlink r:id="rId38" w:history="1">
        <w:r w:rsidRPr="00BB11AF">
          <w:rPr>
            <w:rStyle w:val="Lienhypertexte"/>
          </w:rPr>
          <w:t>http://www.sswc-som.com/index.php ?page=accomlishments</w:t>
        </w:r>
      </w:hyperlink>
      <w:r w:rsidRPr="00BB11AF">
        <w:t>, co</w:t>
      </w:r>
      <w:r w:rsidRPr="00BB11AF">
        <w:t>n</w:t>
      </w:r>
      <w:r w:rsidRPr="00BB11AF">
        <w:t>sulté le 7 octobre 2012.</w:t>
      </w:r>
    </w:p>
    <w:p w:rsidR="003A3061" w:rsidRPr="00BB11AF" w:rsidRDefault="003A3061" w:rsidP="003A3061">
      <w:pPr>
        <w:spacing w:before="120" w:after="120"/>
        <w:jc w:val="both"/>
      </w:pPr>
      <w:r w:rsidRPr="00BB11AF">
        <w:t>Turfan, B. 2002. « Opposing Dictatorship : Nuruddin Farah's V</w:t>
      </w:r>
      <w:r w:rsidRPr="00BB11AF">
        <w:t>a</w:t>
      </w:r>
      <w:r w:rsidRPr="00BB11AF">
        <w:t>riations on the Theme of an African Dictatorship ». In Emerging Per</w:t>
      </w:r>
      <w:r w:rsidRPr="00BB11AF">
        <w:t>s</w:t>
      </w:r>
      <w:r w:rsidRPr="00BB11AF">
        <w:t>pectives on Nuruddin Farah. Wright D. ed. Pp. 265-282. Trenton : Africa World Press.</w:t>
      </w:r>
    </w:p>
    <w:p w:rsidR="003A3061" w:rsidRPr="00BB11AF" w:rsidRDefault="003A3061" w:rsidP="003A3061">
      <w:pPr>
        <w:spacing w:before="120" w:after="120"/>
        <w:jc w:val="both"/>
      </w:pPr>
      <w:r w:rsidRPr="00BB11AF">
        <w:t xml:space="preserve">Fonds des Nations unies pour l'enfance. 2013. « Female Genital Mutilation/Cutting : A Statistical Overview and Exploration of the Dynamics of Change ». Document électronique, </w:t>
      </w:r>
      <w:hyperlink r:id="rId39" w:history="1">
        <w:r w:rsidRPr="00BB11AF">
          <w:rPr>
            <w:rStyle w:val="Lienhypertexte"/>
            <w:lang w:bidi="en-US"/>
          </w:rPr>
          <w:t>http://www.unicef.org/media/files/FGCM_Lo_res.pdf</w:t>
        </w:r>
      </w:hyperlink>
      <w:r w:rsidRPr="00BB11AF">
        <w:rPr>
          <w:lang w:bidi="en-US"/>
        </w:rPr>
        <w:t xml:space="preserve">, </w:t>
      </w:r>
      <w:r w:rsidRPr="00BB11AF">
        <w:t>consulté le 25 mars 2014.</w:t>
      </w:r>
    </w:p>
    <w:p w:rsidR="003A3061" w:rsidRPr="00BB11AF" w:rsidRDefault="003A3061" w:rsidP="003A3061">
      <w:pPr>
        <w:spacing w:before="120" w:after="120"/>
        <w:jc w:val="both"/>
      </w:pPr>
      <w:r w:rsidRPr="00BB11AF">
        <w:t>United Nations Development Program Somalia. 2012. « Somalia Human Development Report 2012 : Empowering Youth for Peace and Development ». Document électronique,</w:t>
      </w:r>
    </w:p>
    <w:p w:rsidR="003A3061" w:rsidRPr="00BB11AF" w:rsidRDefault="003A3061" w:rsidP="003A3061">
      <w:pPr>
        <w:spacing w:before="120" w:after="120"/>
        <w:jc w:val="both"/>
      </w:pPr>
      <w:hyperlink r:id="rId40" w:history="1">
        <w:r w:rsidRPr="008A7C9A">
          <w:rPr>
            <w:rStyle w:val="Lienhypertexte"/>
            <w:lang w:bidi="en-US"/>
          </w:rPr>
          <w:t>http://hdr.undp.org/en/reports/national/africa/somalia/Somalia%20Report%202012.pdf</w:t>
        </w:r>
      </w:hyperlink>
      <w:r w:rsidRPr="00BB11AF">
        <w:rPr>
          <w:lang w:bidi="en-US"/>
        </w:rPr>
        <w:t xml:space="preserve">, </w:t>
      </w:r>
      <w:r w:rsidRPr="00BB11AF">
        <w:t>consulté le 7 octobre 2012.</w:t>
      </w:r>
    </w:p>
    <w:p w:rsidR="003A3061" w:rsidRDefault="003A3061" w:rsidP="003A3061">
      <w:pPr>
        <w:spacing w:before="120" w:after="120"/>
        <w:jc w:val="both"/>
      </w:pPr>
      <w:r w:rsidRPr="00BB11AF">
        <w:t>Windisch, U. 1987. Le K.-O. verbal, la communication conflictue</w:t>
      </w:r>
      <w:r w:rsidRPr="00BB11AF">
        <w:t>l</w:t>
      </w:r>
      <w:r w:rsidRPr="00BB11AF">
        <w:t>le. Paris : Édition l'Âge d'homme.</w:t>
      </w:r>
    </w:p>
    <w:p w:rsidR="003A3061" w:rsidRDefault="003A3061" w:rsidP="003A3061">
      <w:pPr>
        <w:spacing w:before="120" w:after="120"/>
        <w:jc w:val="both"/>
      </w:pPr>
    </w:p>
    <w:p w:rsidR="003A3061" w:rsidRPr="00BB11AF" w:rsidRDefault="003A3061" w:rsidP="003A3061">
      <w:pPr>
        <w:spacing w:before="120" w:after="120"/>
        <w:jc w:val="both"/>
      </w:pPr>
    </w:p>
    <w:p w:rsidR="003A3061" w:rsidRDefault="003A3061" w:rsidP="003A3061">
      <w:pPr>
        <w:spacing w:before="120" w:after="120"/>
        <w:jc w:val="both"/>
      </w:pPr>
      <w:r w:rsidRPr="00BB11AF">
        <w:t>[123]</w:t>
      </w:r>
    </w:p>
    <w:p w:rsidR="003A3061" w:rsidRDefault="003A3061" w:rsidP="003A3061">
      <w:pPr>
        <w:spacing w:before="120" w:after="120"/>
        <w:jc w:val="both"/>
      </w:pPr>
    </w:p>
    <w:p w:rsidR="003A3061" w:rsidRDefault="003A3061" w:rsidP="003A3061">
      <w:pPr>
        <w:jc w:val="both"/>
      </w:pPr>
      <w:r w:rsidRPr="003F76B5">
        <w:rPr>
          <w:b/>
          <w:color w:val="FF0000"/>
        </w:rPr>
        <w:t>NOTES</w:t>
      </w:r>
    </w:p>
    <w:p w:rsidR="003A3061" w:rsidRDefault="003A3061" w:rsidP="003A3061">
      <w:pPr>
        <w:jc w:val="both"/>
      </w:pPr>
    </w:p>
    <w:p w:rsidR="003A3061" w:rsidRPr="00E07116" w:rsidRDefault="003A3061" w:rsidP="003A3061">
      <w:pPr>
        <w:jc w:val="both"/>
      </w:pPr>
      <w:r>
        <w:t>Pour faciliter la consultation des notes en fin de textes, nous les avons toutes converties, dans cette édition numérique des Classiques des sciences sociales, en notes de bas de page. JMT.</w:t>
      </w:r>
    </w:p>
    <w:p w:rsidR="003A3061" w:rsidRDefault="003A3061" w:rsidP="003A3061">
      <w:pPr>
        <w:spacing w:before="120" w:after="120"/>
        <w:jc w:val="both"/>
      </w:pP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[124]</w:t>
      </w:r>
    </w:p>
    <w:p w:rsidR="003A3061" w:rsidRPr="00BB11AF" w:rsidRDefault="003A3061" w:rsidP="003A3061">
      <w:pPr>
        <w:pStyle w:val="p"/>
      </w:pPr>
      <w:r w:rsidRPr="00BB11AF">
        <w:br w:type="page"/>
        <w:t>[125]</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hanging="20"/>
        <w:jc w:val="center"/>
        <w:rPr>
          <w:b/>
          <w:sz w:val="24"/>
        </w:rPr>
      </w:pPr>
      <w:bookmarkStart w:id="11" w:name="Crise_et_mise_en_crise_texte_08"/>
      <w:r w:rsidRPr="00BB11AF">
        <w:rPr>
          <w:b/>
          <w:i/>
          <w:color w:val="FF0000"/>
          <w:sz w:val="24"/>
        </w:rPr>
        <w:t>Crise</w:t>
      </w:r>
      <w:r w:rsidRPr="00BB11AF">
        <w:rPr>
          <w:b/>
          <w:sz w:val="24"/>
        </w:rPr>
        <w:t xml:space="preserve"> et mise en </w:t>
      </w:r>
      <w:r w:rsidRPr="00BB11AF">
        <w:rPr>
          <w:b/>
          <w:i/>
          <w:color w:val="FF0000"/>
          <w:sz w:val="24"/>
        </w:rPr>
        <w:t>crise</w:t>
      </w:r>
      <w:r w:rsidRPr="00BB11AF">
        <w:rPr>
          <w:b/>
          <w:sz w:val="24"/>
        </w:rPr>
        <w:t>.</w:t>
      </w:r>
    </w:p>
    <w:p w:rsidR="003A3061" w:rsidRPr="00BB11AF" w:rsidRDefault="003A3061" w:rsidP="003A3061">
      <w:pPr>
        <w:spacing w:after="120"/>
        <w:jc w:val="center"/>
        <w:rPr>
          <w:sz w:val="24"/>
        </w:rPr>
      </w:pPr>
      <w:r w:rsidRPr="00BB11AF">
        <w:rPr>
          <w:sz w:val="24"/>
        </w:rPr>
        <w:t>Actes du colloque annuel de l’ACSALF 2012.</w:t>
      </w:r>
    </w:p>
    <w:p w:rsidR="003A3061" w:rsidRPr="00BB11AF" w:rsidRDefault="003A3061" w:rsidP="003A3061">
      <w:pPr>
        <w:pStyle w:val="Titreniveau1"/>
      </w:pPr>
      <w:r w:rsidRPr="00BB11AF">
        <w:t>8</w:t>
      </w:r>
    </w:p>
    <w:p w:rsidR="003A3061" w:rsidRPr="00BB11AF" w:rsidRDefault="003A3061" w:rsidP="003A3061">
      <w:pPr>
        <w:pStyle w:val="Titreniveau2"/>
      </w:pPr>
      <w:r w:rsidRPr="00BB11AF">
        <w:t>“De la multitude au peuple.</w:t>
      </w:r>
      <w:r w:rsidRPr="00BB11AF">
        <w:br/>
        <w:t>Le discours kirchneriste</w:t>
      </w:r>
      <w:r w:rsidRPr="00BB11AF">
        <w:br/>
        <w:t>et la crise argentine</w:t>
      </w:r>
      <w:r w:rsidRPr="00BB11AF">
        <w:br/>
        <w:t>de décembre 2001.”</w:t>
      </w:r>
    </w:p>
    <w:bookmarkEnd w:id="11"/>
    <w:p w:rsidR="003A3061" w:rsidRPr="00BB11AF" w:rsidRDefault="003A3061" w:rsidP="003A3061">
      <w:pPr>
        <w:jc w:val="both"/>
        <w:rPr>
          <w:szCs w:val="36"/>
        </w:rPr>
      </w:pPr>
    </w:p>
    <w:p w:rsidR="003A3061" w:rsidRPr="00BB11AF" w:rsidRDefault="003A3061" w:rsidP="003A3061">
      <w:pPr>
        <w:pStyle w:val="suite"/>
      </w:pPr>
      <w:r w:rsidRPr="00BB11AF">
        <w:t>Par Ana SOLEDAD MONTERA</w:t>
      </w:r>
    </w:p>
    <w:p w:rsidR="003A3061" w:rsidRPr="00BB11AF" w:rsidRDefault="003A3061" w:rsidP="003A3061">
      <w:pPr>
        <w:pStyle w:val="auteurst"/>
      </w:pPr>
      <w:r w:rsidRPr="00BB11AF">
        <w:t>Universidad de Buenos Aires</w:t>
      </w:r>
    </w:p>
    <w:p w:rsidR="003A3061" w:rsidRDefault="003A3061" w:rsidP="003A3061">
      <w:pPr>
        <w:jc w:val="both"/>
      </w:pPr>
    </w:p>
    <w:p w:rsidR="003A3061" w:rsidRPr="00BB11AF" w:rsidRDefault="003A3061" w:rsidP="003A3061">
      <w:pPr>
        <w:jc w:val="both"/>
      </w:pPr>
    </w:p>
    <w:p w:rsidR="003A3061" w:rsidRPr="00BB11AF" w:rsidRDefault="003A3061" w:rsidP="003A3061">
      <w:pPr>
        <w:pStyle w:val="planche"/>
      </w:pPr>
      <w:r w:rsidRPr="00BB11AF">
        <w:t>Introduction</w:t>
      </w:r>
    </w:p>
    <w:p w:rsidR="003A3061" w:rsidRPr="00BB11AF" w:rsidRDefault="003A3061" w:rsidP="003A3061">
      <w:pPr>
        <w:jc w:val="both"/>
      </w:pPr>
    </w:p>
    <w:p w:rsidR="003A3061" w:rsidRPr="00BB11AF" w:rsidRDefault="003A3061" w:rsidP="003A3061">
      <w:pPr>
        <w:ind w:right="90" w:firstLine="0"/>
        <w:jc w:val="both"/>
        <w:rPr>
          <w:sz w:val="20"/>
        </w:rPr>
      </w:pPr>
      <w:hyperlink w:anchor="tdm" w:history="1">
        <w:r w:rsidRPr="00BB11AF">
          <w:rPr>
            <w:rStyle w:val="Lienhypertexte"/>
            <w:sz w:val="20"/>
          </w:rPr>
          <w:t>Retour à la table des matières</w:t>
        </w:r>
      </w:hyperlink>
    </w:p>
    <w:p w:rsidR="003A3061" w:rsidRPr="00BB11AF" w:rsidRDefault="00356B29" w:rsidP="003A3061">
      <w:pPr>
        <w:spacing w:before="120" w:after="120"/>
        <w:jc w:val="both"/>
      </w:pPr>
      <w:r w:rsidRPr="00BB11AF">
        <w:rPr>
          <w:noProof/>
          <w:lang w:val="fr-FR" w:eastAsia="fr-FR"/>
        </w:rPr>
        <w:drawing>
          <wp:anchor distT="0" distB="0" distL="63500" distR="182880" simplePos="0" relativeHeight="251659776" behindDoc="1" locked="0" layoutInCell="1" allowOverlap="0">
            <wp:simplePos x="0" y="0"/>
            <wp:positionH relativeFrom="margin">
              <wp:posOffset>51435</wp:posOffset>
            </wp:positionH>
            <wp:positionV relativeFrom="margin">
              <wp:posOffset>4917440</wp:posOffset>
            </wp:positionV>
            <wp:extent cx="1130300" cy="787400"/>
            <wp:effectExtent l="25400" t="25400" r="12700" b="12700"/>
            <wp:wrapTight wrapText="bothSides">
              <wp:wrapPolygon edited="0">
                <wp:start x="-485" y="-697"/>
                <wp:lineTo x="-485" y="21948"/>
                <wp:lineTo x="21843" y="21948"/>
                <wp:lineTo x="21843" y="-697"/>
                <wp:lineTo x="-485" y="-697"/>
              </wp:wrapPolygon>
            </wp:wrapTight>
            <wp:docPr id="16" name="Image 16"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image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0300" cy="7874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3A3061" w:rsidRPr="00BB11AF">
        <w:t>La crise économique, sociale, politique et inst</w:t>
      </w:r>
      <w:r w:rsidR="003A3061" w:rsidRPr="00BB11AF">
        <w:t>i</w:t>
      </w:r>
      <w:r w:rsidR="003A3061" w:rsidRPr="00BB11AF">
        <w:t>tutionnelle qui a éclaté en Argentine en décembre 2001 a engendré une vaste produ</w:t>
      </w:r>
      <w:r w:rsidR="003A3061" w:rsidRPr="00BB11AF">
        <w:t>c</w:t>
      </w:r>
      <w:r w:rsidR="003A3061" w:rsidRPr="00BB11AF">
        <w:t>tion d'études scientif</w:t>
      </w:r>
      <w:r w:rsidR="003A3061" w:rsidRPr="00BB11AF">
        <w:t>i</w:t>
      </w:r>
      <w:r w:rsidR="003A3061" w:rsidRPr="00BB11AF">
        <w:t>ques. Dans le champ de la sociologie politique ou de la théorie politique, les études ayant été réalisées dans les années immédiatement post</w:t>
      </w:r>
      <w:r w:rsidR="003A3061" w:rsidRPr="00BB11AF">
        <w:t>é</w:t>
      </w:r>
      <w:r w:rsidR="003A3061" w:rsidRPr="00BB11AF">
        <w:t>rieures à cette crise</w:t>
      </w:r>
      <w:r w:rsidR="003A3061">
        <w:t> </w:t>
      </w:r>
      <w:r w:rsidR="003A3061">
        <w:rPr>
          <w:rStyle w:val="Appelnotedebasdep"/>
        </w:rPr>
        <w:footnoteReference w:id="79"/>
      </w:r>
      <w:r w:rsidR="003A3061" w:rsidRPr="00BB11AF">
        <w:t xml:space="preserve"> proposent tant les diagnostics des causes po</w:t>
      </w:r>
      <w:r w:rsidR="003A3061" w:rsidRPr="00BB11AF">
        <w:t>s</w:t>
      </w:r>
      <w:r w:rsidR="003A3061" w:rsidRPr="00BB11AF">
        <w:t>sibles de la crise que des interprétations - souvent liées aux diagno</w:t>
      </w:r>
      <w:r w:rsidR="003A3061" w:rsidRPr="00BB11AF">
        <w:t>s</w:t>
      </w:r>
      <w:r w:rsidR="003A3061" w:rsidRPr="00BB11AF">
        <w:t>tics - des effets, des conséquences et des « sol</w:t>
      </w:r>
      <w:r w:rsidR="003A3061" w:rsidRPr="00BB11AF">
        <w:t>u</w:t>
      </w:r>
      <w:r w:rsidR="003A3061" w:rsidRPr="00BB11AF">
        <w:t>tions » possibles (et attendues) de la crise. Ces études peuvent être classées schématiqu</w:t>
      </w:r>
      <w:r w:rsidR="003A3061" w:rsidRPr="00BB11AF">
        <w:t>e</w:t>
      </w:r>
      <w:r w:rsidR="003A3061" w:rsidRPr="00BB11AF">
        <w:t>ment en deux groupes. D'une part, celles qui adoptent une perspe</w:t>
      </w:r>
      <w:r w:rsidR="003A3061" w:rsidRPr="00BB11AF">
        <w:t>c</w:t>
      </w:r>
      <w:r w:rsidR="003A3061" w:rsidRPr="00BB11AF">
        <w:t>tive explicative mettant l'accent sur le « social » et, d'autre part, celles qui focalisent le « politique » ; autrement dit, soit qu'elles se focalisent sur les proce</w:t>
      </w:r>
      <w:r w:rsidR="003A3061" w:rsidRPr="00BB11AF">
        <w:t>s</w:t>
      </w:r>
      <w:r w:rsidR="003A3061" w:rsidRPr="00BB11AF">
        <w:t>sus venant d'« en bas », soit qu'elles portent sur les processus situés « en haut » (Scillamá 2007). Si, dans le premier cas, l'analyse est ce</w:t>
      </w:r>
      <w:r w:rsidR="003A3061" w:rsidRPr="00BB11AF">
        <w:t>n</w:t>
      </w:r>
      <w:r w:rsidR="003A3061" w:rsidRPr="00BB11AF">
        <w:t>trée sur les processus de déstructuration des subjectivités sociopolit</w:t>
      </w:r>
      <w:r w:rsidR="003A3061" w:rsidRPr="00BB11AF">
        <w:t>i</w:t>
      </w:r>
      <w:r w:rsidR="003A3061" w:rsidRPr="00BB11AF">
        <w:t>ques, sur le phén</w:t>
      </w:r>
      <w:r w:rsidR="003A3061" w:rsidRPr="00BB11AF">
        <w:t>o</w:t>
      </w:r>
      <w:r w:rsidR="003A3061" w:rsidRPr="00BB11AF">
        <w:t>mène des nouveaux mouvements sociaux et sur les nouvelles formes de protestation, la deuxième ligne d'examen se pe</w:t>
      </w:r>
      <w:r w:rsidR="003A3061" w:rsidRPr="00BB11AF">
        <w:t>n</w:t>
      </w:r>
      <w:r w:rsidR="003A3061" w:rsidRPr="00BB11AF">
        <w:t>che sur les problèmes de la représentation politique associée aux inst</w:t>
      </w:r>
      <w:r w:rsidR="003A3061" w:rsidRPr="00BB11AF">
        <w:t>i</w:t>
      </w:r>
      <w:r w:rsidR="003A3061" w:rsidRPr="00BB11AF">
        <w:t>tutions, aux groupes de pouvoir et à la classe polit</w:t>
      </w:r>
      <w:r w:rsidR="003A3061" w:rsidRPr="00BB11AF">
        <w:t>i</w:t>
      </w:r>
      <w:r w:rsidR="003A3061" w:rsidRPr="00BB11AF">
        <w:t>que.</w:t>
      </w:r>
    </w:p>
    <w:p w:rsidR="003A3061" w:rsidRPr="00BB11AF" w:rsidRDefault="003A3061" w:rsidP="003A3061">
      <w:pPr>
        <w:spacing w:before="120" w:after="120"/>
        <w:jc w:val="both"/>
      </w:pPr>
      <w:r w:rsidRPr="00BB11AF">
        <w:t>Une lecture critique de ces deux types d'explication sur la nat</w:t>
      </w:r>
      <w:r w:rsidRPr="00BB11AF">
        <w:t>u</w:t>
      </w:r>
      <w:r w:rsidRPr="00BB11AF">
        <w:t>re de la crise de 2001 nous amène à examiner la lecture que le discours ki</w:t>
      </w:r>
      <w:r w:rsidRPr="00BB11AF">
        <w:t>r</w:t>
      </w:r>
      <w:r w:rsidRPr="00BB11AF">
        <w:t>chneriste a réalisée de la débâcle afin de mettre en évide</w:t>
      </w:r>
      <w:r w:rsidRPr="00BB11AF">
        <w:t>n</w:t>
      </w:r>
      <w:r w:rsidRPr="00BB11AF">
        <w:t>ce les effets de cette interprétation sur la configuration de l'identité kirchneriste. Cela nous permettra également de mettre en lumière les processus qui ont permis la sortie de la crise et la recomposition du tissu sociopolit</w:t>
      </w:r>
      <w:r w:rsidRPr="00BB11AF">
        <w:t>i</w:t>
      </w:r>
      <w:r w:rsidRPr="00BB11AF">
        <w:t>que argentin, alors profondément fracturé. En d'autres termes, cette contribution a pour ambition d'interroger la manière dont, à partir de 2003, le discours politique argentin s'est réapproprié les échos de la crise de 2001. Déclenchée par l'épuisement du régime de taux de change fixe (</w:t>
      </w:r>
      <w:r w:rsidRPr="00BB11AF">
        <w:rPr>
          <w:i/>
        </w:rPr>
        <w:t>Convertibilidad</w:t>
      </w:r>
      <w:r w:rsidRPr="00BB11AF">
        <w:t>) et par une série de mesures économ</w:t>
      </w:r>
      <w:r w:rsidRPr="00BB11AF">
        <w:t>i</w:t>
      </w:r>
      <w:r w:rsidRPr="00BB11AF">
        <w:t>ques contestées par la population</w:t>
      </w:r>
      <w:r>
        <w:t xml:space="preserve"> </w:t>
      </w:r>
      <w:r w:rsidRPr="00BB11AF">
        <w:t>[126]</w:t>
      </w:r>
      <w:r>
        <w:t xml:space="preserve"> </w:t>
      </w:r>
      <w:r w:rsidRPr="00BB11AF">
        <w:t>(notamment le corralito, un système de limitation de retraits ba</w:t>
      </w:r>
      <w:r w:rsidRPr="00BB11AF">
        <w:t>n</w:t>
      </w:r>
      <w:r w:rsidRPr="00BB11AF">
        <w:t>caires), la crise a éclaté les 19 et 20 décembre, lors d'une série de manifestations massives dans lesque</w:t>
      </w:r>
      <w:r w:rsidRPr="00BB11AF">
        <w:t>l</w:t>
      </w:r>
      <w:r w:rsidRPr="00BB11AF">
        <w:t>les les classes moyennes et les p</w:t>
      </w:r>
      <w:r w:rsidRPr="00BB11AF">
        <w:t>i</w:t>
      </w:r>
      <w:r w:rsidRPr="00BB11AF">
        <w:t>queteros (organisations de chômeurs qui manifestaient au moyen du blocage des rues) ont été protagoni</w:t>
      </w:r>
      <w:r w:rsidRPr="00BB11AF">
        <w:t>s</w:t>
      </w:r>
      <w:r w:rsidRPr="00BB11AF">
        <w:t>tes. Après la déroute du président Fernando de la Rua en décembre 2001, quatre présidents se sont su</w:t>
      </w:r>
      <w:r w:rsidRPr="00BB11AF">
        <w:t>c</w:t>
      </w:r>
      <w:r w:rsidRPr="00BB11AF">
        <w:t>cédés. Eduardo Duhalde, provenant du parti péroniste, a réussi à mai</w:t>
      </w:r>
      <w:r w:rsidRPr="00BB11AF">
        <w:t>n</w:t>
      </w:r>
      <w:r w:rsidRPr="00BB11AF">
        <w:t>tenir l'ordre pendant seize mois, mais en juin 2002 une féroce répression (fortement rejetée par la p</w:t>
      </w:r>
      <w:r w:rsidRPr="00BB11AF">
        <w:t>o</w:t>
      </w:r>
      <w:r w:rsidRPr="00BB11AF">
        <w:t>pulation) lors d'une mobilisation piquetera l'a forcé à accélérer la t</w:t>
      </w:r>
      <w:r w:rsidRPr="00BB11AF">
        <w:t>e</w:t>
      </w:r>
      <w:r w:rsidRPr="00BB11AF">
        <w:t>nue d'élections en avril 2003. Dans un contexte de division au sein du parti péroniste, Duhalde a sélectionné Néstor Kirchner- ancien go</w:t>
      </w:r>
      <w:r w:rsidRPr="00BB11AF">
        <w:t>u</w:t>
      </w:r>
      <w:r w:rsidRPr="00BB11AF">
        <w:t>verneur de la lointaine province de Santa Cruz-comme son dauphin. Kirchner a remporté les élections (avec seulement 22% de suffrages) suite au retrait de Menem (deux fois président pendant les années 1990 et candidat péroniste provenant d'une autre faction) au second tour. Malgré sa faible légitimité d'origine, Kirchner est néanmoins d</w:t>
      </w:r>
      <w:r w:rsidRPr="00BB11AF">
        <w:t>e</w:t>
      </w:r>
      <w:r w:rsidRPr="00BB11AF">
        <w:t>venu rapidement très populaire.</w:t>
      </w:r>
    </w:p>
    <w:p w:rsidR="003A3061" w:rsidRPr="00BB11AF" w:rsidRDefault="003A3061" w:rsidP="003A3061">
      <w:pPr>
        <w:spacing w:before="120" w:after="120"/>
        <w:jc w:val="both"/>
      </w:pPr>
      <w:r w:rsidRPr="00BB11AF">
        <w:t>À la croisée de disciplines telles que la sociologie politique, la théorie politique et l'analyse du discours politique, notre article s'in</w:t>
      </w:r>
      <w:r w:rsidRPr="00BB11AF">
        <w:t>s</w:t>
      </w:r>
      <w:r w:rsidRPr="00BB11AF">
        <w:t>crit dans un vaste éventail d'études qui s'interrogent sur le ph</w:t>
      </w:r>
      <w:r w:rsidRPr="00BB11AF">
        <w:t>é</w:t>
      </w:r>
      <w:r w:rsidRPr="00BB11AF">
        <w:t>nomène du kirchnerisme dans son rapport aux stratégies d'interpellation di</w:t>
      </w:r>
      <w:r w:rsidRPr="00BB11AF">
        <w:t>s</w:t>
      </w:r>
      <w:r w:rsidRPr="00BB11AF">
        <w:t>cursive et de construction des identités politiques. Nous nous pe</w:t>
      </w:r>
      <w:r w:rsidRPr="00BB11AF">
        <w:t>n</w:t>
      </w:r>
      <w:r w:rsidRPr="00BB11AF">
        <w:t>chons ainsi sur les aspects symboliques et imaginaires mis de l'avant par le gouvernement kirchneriste (en considérant certains faits ma</w:t>
      </w:r>
      <w:r w:rsidRPr="00BB11AF">
        <w:t>r</w:t>
      </w:r>
      <w:r w:rsidRPr="00BB11AF">
        <w:t>quants de la première année de mandat) et plus particuli</w:t>
      </w:r>
      <w:r w:rsidRPr="00BB11AF">
        <w:t>è</w:t>
      </w:r>
      <w:r w:rsidRPr="00BB11AF">
        <w:t>rement sur les interventions discursives du président Néstor Kirchner</w:t>
      </w:r>
      <w:r>
        <w:t> </w:t>
      </w:r>
      <w:r>
        <w:rPr>
          <w:rStyle w:val="Appelnotedebasdep"/>
        </w:rPr>
        <w:footnoteReference w:id="80"/>
      </w:r>
      <w:r w:rsidRPr="00BB11AF">
        <w:t>. De ce</w:t>
      </w:r>
      <w:r w:rsidRPr="00BB11AF">
        <w:t>t</w:t>
      </w:r>
      <w:r w:rsidRPr="00BB11AF">
        <w:t>te manière, nous espérons faire apparaître les limites des deux interprét</w:t>
      </w:r>
      <w:r w:rsidRPr="00BB11AF">
        <w:t>a</w:t>
      </w:r>
      <w:r w:rsidRPr="00BB11AF">
        <w:t>tions précédemment mentionnées et proposer une nouvelle grille de lecture du phénomène du kirchnerisme dans son rapport à la crise de 2001.</w:t>
      </w:r>
    </w:p>
    <w:p w:rsidR="003A3061" w:rsidRPr="00BB11AF" w:rsidRDefault="003A3061" w:rsidP="003A3061">
      <w:pPr>
        <w:spacing w:before="120" w:after="120"/>
        <w:jc w:val="both"/>
      </w:pPr>
      <w:r w:rsidRPr="00BB11AF">
        <w:t>L'hypothèse qui nous guide est que ni les interprétations centrées sur les aspects purement sociaux de la crise ni celles mettant l'accent sur sa dimension strictement institutionnelle ne suffisent pour co</w:t>
      </w:r>
      <w:r w:rsidRPr="00BB11AF">
        <w:t>m</w:t>
      </w:r>
      <w:r w:rsidRPr="00BB11AF">
        <w:t>prendre pleinement les causes et les conséquences de ce</w:t>
      </w:r>
      <w:r w:rsidRPr="00BB11AF">
        <w:t>t</w:t>
      </w:r>
      <w:r w:rsidRPr="00BB11AF">
        <w:t>te dernière. En effet, pour mieux appréhender le devenir de la crise, ainsi que l'émergence et le succès du kirchnerisme, il semble préférable d'ado</w:t>
      </w:r>
      <w:r w:rsidRPr="00BB11AF">
        <w:t>p</w:t>
      </w:r>
      <w:r w:rsidRPr="00BB11AF">
        <w:t>ter une perspective centrée sur la catégorie d'« hégémonie » (Porta</w:t>
      </w:r>
      <w:r w:rsidRPr="00BB11AF">
        <w:t>n</w:t>
      </w:r>
      <w:r w:rsidRPr="00BB11AF">
        <w:t>tiero 1977 ; Laclau et Mouffe 2008 ; L</w:t>
      </w:r>
      <w:r w:rsidRPr="00BB11AF">
        <w:t>a</w:t>
      </w:r>
      <w:r w:rsidRPr="00BB11AF">
        <w:t>clau 2008a), considérée en tant que processus de constitution d'identités politiques s'appuyant sur l'articulation de demandes hétérogènes à un discours politique qui i</w:t>
      </w:r>
      <w:r w:rsidRPr="00BB11AF">
        <w:t>n</w:t>
      </w:r>
      <w:r w:rsidRPr="00BB11AF">
        <w:t>carne une promesse d'ordre et de plénitude. De ce point de vue, nous pouvons estimer que le discours kirchneriste est au cœur d'un proce</w:t>
      </w:r>
      <w:r w:rsidRPr="00BB11AF">
        <w:t>s</w:t>
      </w:r>
      <w:r w:rsidRPr="00BB11AF">
        <w:t>sus de recomposition hégémonique qui a repris-mais aussi modelé et re-signifié-les d</w:t>
      </w:r>
      <w:r w:rsidRPr="00BB11AF">
        <w:t>e</w:t>
      </w:r>
      <w:r w:rsidRPr="00BB11AF">
        <w:t>mandes « d'en bas » tout en mettant parallèlement l'accent sur le problème de l'autorité politique.</w:t>
      </w:r>
    </w:p>
    <w:p w:rsidR="003A3061" w:rsidRPr="00BB11AF" w:rsidRDefault="003A3061" w:rsidP="003A3061">
      <w:pPr>
        <w:spacing w:before="120" w:after="120"/>
        <w:jc w:val="both"/>
      </w:pPr>
      <w:r w:rsidRPr="00BB11AF">
        <w:t>[127]</w:t>
      </w:r>
    </w:p>
    <w:p w:rsidR="003A3061" w:rsidRPr="00BB11AF" w:rsidRDefault="003A3061" w:rsidP="003A3061">
      <w:pPr>
        <w:spacing w:before="120" w:after="120"/>
        <w:jc w:val="both"/>
      </w:pPr>
      <w:r w:rsidRPr="00BB11AF">
        <w:t>Ce texte s'organise comme suit : dans la première section, nous exp</w:t>
      </w:r>
      <w:r w:rsidRPr="00BB11AF">
        <w:t>o</w:t>
      </w:r>
      <w:r w:rsidRPr="00BB11AF">
        <w:t>serons les grands axes explicatifs des diagnostics « sociaux » et « politiques » de la crise de 2001 en Argentine. Puis, dans une deuxième section, nous proposerons une explication du ra</w:t>
      </w:r>
      <w:r w:rsidRPr="00BB11AF">
        <w:t>p</w:t>
      </w:r>
      <w:r w:rsidRPr="00BB11AF">
        <w:t>port entre le discours kirchneriste et la crise compris en termes d'h</w:t>
      </w:r>
      <w:r w:rsidRPr="00BB11AF">
        <w:t>é</w:t>
      </w:r>
      <w:r w:rsidRPr="00BB11AF">
        <w:t>gémonie.</w:t>
      </w:r>
    </w:p>
    <w:p w:rsidR="003A3061" w:rsidRPr="00BB11AF" w:rsidRDefault="003A3061" w:rsidP="003A3061">
      <w:pPr>
        <w:spacing w:before="120" w:after="120"/>
        <w:jc w:val="both"/>
      </w:pPr>
    </w:p>
    <w:p w:rsidR="003A3061" w:rsidRPr="00BB11AF" w:rsidRDefault="003A3061" w:rsidP="003A3061">
      <w:pPr>
        <w:pStyle w:val="planche"/>
      </w:pPr>
      <w:r w:rsidRPr="00BB11AF">
        <w:t>Deux diagnostics de la crise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Plusieurs auteurs s'entendent sur le fait que la crise de 2001 a été l'aboutissement d'un long processus économique, social et pol</w:t>
      </w:r>
      <w:r w:rsidRPr="00BB11AF">
        <w:t>i</w:t>
      </w:r>
      <w:r w:rsidRPr="00BB11AF">
        <w:t>tique initié pendant la dernière dictature militaire ; processus qui a généré une « grande asymétrie » et dont le résultat global s'est m</w:t>
      </w:r>
      <w:r w:rsidRPr="00BB11AF">
        <w:t>a</w:t>
      </w:r>
      <w:r w:rsidRPr="00BB11AF">
        <w:t>nifesté à travers l'accentuation de la « fragmentation et la perte de pouvoir des secteurs populaires et d'une large partie des classes moyennes et [...] la plus forte concentration dans les élites du pouvoir politique et écon</w:t>
      </w:r>
      <w:r w:rsidRPr="00BB11AF">
        <w:t>o</w:t>
      </w:r>
      <w:r w:rsidRPr="00BB11AF">
        <w:t>mique internationalisé » (Svampa 2006 :142). L'antécédent le plus facilement identifiable de la crise réside dans le processus de réforme économique mis en œuvre durant les années 1990 (privatisations, adoption d'un taux de change fixe, hausse de la dette et du déficit bu</w:t>
      </w:r>
      <w:r w:rsidRPr="00BB11AF">
        <w:t>d</w:t>
      </w:r>
      <w:r w:rsidRPr="00BB11AF">
        <w:t>gétaire, taux de chômage élevés), modèle qui en 1999 montre déjà des signes d'épuisement alors que le pays entre en récession. À cela s'ajoutent d'autres facteurs tels les effets de la crise de 1998 (dévalu</w:t>
      </w:r>
      <w:r w:rsidRPr="00BB11AF">
        <w:t>a</w:t>
      </w:r>
      <w:r w:rsidRPr="00BB11AF">
        <w:t>tion au Brésil, crise en Russie et en Asie du Sud), le renforcement du dollar (et la d</w:t>
      </w:r>
      <w:r w:rsidRPr="00BB11AF">
        <w:t>é</w:t>
      </w:r>
      <w:r w:rsidRPr="00BB11AF">
        <w:t>préciation consécutive de la monnaie nationale), ainsi que la baisse du prix des biens exportables.</w:t>
      </w:r>
    </w:p>
    <w:p w:rsidR="003A3061" w:rsidRPr="00BB11AF" w:rsidRDefault="003A3061" w:rsidP="003A3061">
      <w:pPr>
        <w:spacing w:before="120" w:after="120"/>
        <w:jc w:val="both"/>
      </w:pPr>
      <w:r w:rsidRPr="00BB11AF">
        <w:t>Néanmoins, au-delà des causes économiques au niveau national et international (sur lesquelles il existe généralement un consensus), ce</w:t>
      </w:r>
      <w:r w:rsidRPr="00BB11AF">
        <w:t>r</w:t>
      </w:r>
      <w:r w:rsidRPr="00BB11AF">
        <w:t>tains diagnostics de la débâcle de 2001, proposés dans les années su</w:t>
      </w:r>
      <w:r w:rsidRPr="00BB11AF">
        <w:t>i</w:t>
      </w:r>
      <w:r w:rsidRPr="00BB11AF">
        <w:t>vant immédiatement cette dernière, posent le regard sur d'autres fa</w:t>
      </w:r>
      <w:r w:rsidRPr="00BB11AF">
        <w:t>c</w:t>
      </w:r>
      <w:r w:rsidRPr="00BB11AF">
        <w:t>teurs explicatifs : soit ils considèrent que la crise a émergé « d'en bas » et qu'elle exprimait une mutation des subject</w:t>
      </w:r>
      <w:r w:rsidRPr="00BB11AF">
        <w:t>i</w:t>
      </w:r>
      <w:r w:rsidRPr="00BB11AF">
        <w:t>vités sociopolitiques, soit ils la considèrent comme une crise pol</w:t>
      </w:r>
      <w:r w:rsidRPr="00BB11AF">
        <w:t>i</w:t>
      </w:r>
      <w:r w:rsidRPr="00BB11AF">
        <w:t>tique (au sens étroit du terme) et institutionnelle qui a eu lieu « en haut », exprimant une mutation de la représentation politique.</w:t>
      </w:r>
    </w:p>
    <w:p w:rsidR="003A3061" w:rsidRPr="00BB11AF" w:rsidRDefault="003A3061" w:rsidP="003A3061">
      <w:pPr>
        <w:spacing w:before="120" w:after="120"/>
        <w:jc w:val="both"/>
      </w:pPr>
      <w:r>
        <w:br w:type="page"/>
      </w:r>
    </w:p>
    <w:p w:rsidR="003A3061" w:rsidRPr="00BB11AF" w:rsidRDefault="003A3061" w:rsidP="003A3061">
      <w:pPr>
        <w:pStyle w:val="planche"/>
      </w:pPr>
      <w:r w:rsidRPr="00BB11AF">
        <w:t>« D'en bas » : subjectivités et multitude</w:t>
      </w:r>
      <w:r>
        <w:t> </w:t>
      </w:r>
      <w:r>
        <w:rPr>
          <w:rStyle w:val="Appelnotedebasdep"/>
        </w:rPr>
        <w:footnoteReference w:id="81"/>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Nombre d'études considèrent la crise de décembre 2001 comme étant l'expression d'une rupture des modèles de subjectivation (polit</w:t>
      </w:r>
      <w:r w:rsidRPr="00BB11AF">
        <w:t>i</w:t>
      </w:r>
      <w:r w:rsidRPr="00BB11AF">
        <w:t>que et sociale) qui trouverait ses racines dans les mutations du syst</w:t>
      </w:r>
      <w:r w:rsidRPr="00BB11AF">
        <w:t>è</w:t>
      </w:r>
      <w:r w:rsidRPr="00BB11AF">
        <w:t>me capitaliste mondial et qui s'exprimerait dans l'émergence de no</w:t>
      </w:r>
      <w:r w:rsidRPr="00BB11AF">
        <w:t>u</w:t>
      </w:r>
      <w:r w:rsidRPr="00BB11AF">
        <w:t>velles formes d'organisation du travail, dans des méthodes inédites de lutte politique, dans une critique profonde de l'État-nation et dans de no</w:t>
      </w:r>
      <w:r w:rsidRPr="00BB11AF">
        <w:t>u</w:t>
      </w:r>
      <w:r w:rsidRPr="00BB11AF">
        <w:t>velles formes d'organisation collective. S'appuyant sur le cadre théor</w:t>
      </w:r>
      <w:r w:rsidRPr="00BB11AF">
        <w:t>i</w:t>
      </w:r>
      <w:r w:rsidRPr="00BB11AF">
        <w:t>que marxiste « autonomiste », ces approches ont entrevu dans « l'explosion » de décembre 2001 le germe d'une nouvelle « Commune de Paris », entrainée par une multitude vivante, hétérog</w:t>
      </w:r>
      <w:r w:rsidRPr="00BB11AF">
        <w:t>è</w:t>
      </w:r>
      <w:r w:rsidRPr="00BB11AF">
        <w:t>ne et créative qui aurait</w:t>
      </w:r>
      <w:r>
        <w:t xml:space="preserve"> </w:t>
      </w:r>
      <w:r w:rsidRPr="00BB11AF">
        <w:t>[128]</w:t>
      </w:r>
      <w:r>
        <w:t xml:space="preserve"> </w:t>
      </w:r>
      <w:r w:rsidRPr="00BB11AF">
        <w:t>une capacité d'agir collectivement de manière horizontale et aut</w:t>
      </w:r>
      <w:r w:rsidRPr="00BB11AF">
        <w:t>o</w:t>
      </w:r>
      <w:r w:rsidRPr="00BB11AF">
        <w:t>nome et remettait fortement en question le modèle « national populaire » (Negri et Cocco 2003 ; Colectivo Situ</w:t>
      </w:r>
      <w:r w:rsidRPr="00BB11AF">
        <w:t>a</w:t>
      </w:r>
      <w:r w:rsidRPr="00BB11AF">
        <w:t>ciones 2002 ; Lewkowicz 2002 ; Grupo 12 2002 ; Zibecchi 2003).</w:t>
      </w:r>
    </w:p>
    <w:p w:rsidR="003A3061" w:rsidRPr="00BB11AF" w:rsidRDefault="003A3061" w:rsidP="003A3061">
      <w:pPr>
        <w:spacing w:before="120" w:after="120"/>
        <w:jc w:val="both"/>
      </w:pPr>
      <w:r w:rsidRPr="00BB11AF">
        <w:t>Les assemblées de quartier, les piquetés (blocages de rue) des chômeurs, les usines récupérées et gérées par les travailleurs, l'éc</w:t>
      </w:r>
      <w:r w:rsidRPr="00BB11AF">
        <w:t>o</w:t>
      </w:r>
      <w:r w:rsidRPr="00BB11AF">
        <w:t>nomie de troc solidaire, les épargnants (</w:t>
      </w:r>
      <w:r w:rsidRPr="00BB11AF">
        <w:rPr>
          <w:i/>
        </w:rPr>
        <w:t>ahorristas</w:t>
      </w:r>
      <w:r w:rsidRPr="00BB11AF">
        <w:t>) frappant aux po</w:t>
      </w:r>
      <w:r w:rsidRPr="00BB11AF">
        <w:t>r</w:t>
      </w:r>
      <w:r w:rsidRPr="00BB11AF">
        <w:t>tes des banques, les citoyens ordinaires manifestant dans les rues avec leurs casseroles (</w:t>
      </w:r>
      <w:r w:rsidRPr="00BB11AF">
        <w:rPr>
          <w:i/>
        </w:rPr>
        <w:t>cacerolazos</w:t>
      </w:r>
      <w:r w:rsidRPr="00BB11AF">
        <w:t>) et leur convergence dans les manifest</w:t>
      </w:r>
      <w:r w:rsidRPr="00BB11AF">
        <w:t>a</w:t>
      </w:r>
      <w:r w:rsidRPr="00BB11AF">
        <w:t>tions massives des 19 et 20 décembre 2001 au rythme de la consigne « Qu'ils s'en aillent tous ! Qu'il n'en reste pas un seul ! », toutes ces initiatives ne peuvent être conçues comme permettant l'émergence d'un « peuple » résultant d'une articulation hégémonique. Voilà pou</w:t>
      </w:r>
      <w:r w:rsidRPr="00BB11AF">
        <w:t>r</w:t>
      </w:r>
      <w:r w:rsidRPr="00BB11AF">
        <w:t>quoi Arditi inscrit ces événements-en suivant Beasley-Murray (2010)-dans une sorte de courant « post-hégémonique » et affirme qu'en A</w:t>
      </w:r>
      <w:r w:rsidRPr="00BB11AF">
        <w:t>r</w:t>
      </w:r>
      <w:r w:rsidRPr="00BB11AF">
        <w:t>gentine, en 2001, « il y a eu pr</w:t>
      </w:r>
      <w:r w:rsidRPr="00BB11AF">
        <w:t>o</w:t>
      </w:r>
      <w:r w:rsidRPr="00BB11AF">
        <w:t>testation et invention politique sans contre-hégémonie » (2007 : 15). Il s'agissait en effet, selon ces a</w:t>
      </w:r>
      <w:r w:rsidRPr="00BB11AF">
        <w:t>u</w:t>
      </w:r>
      <w:r w:rsidRPr="00BB11AF">
        <w:t>teurs, d'un « contrepouvoir » autonome, horizontal et territorial, qui s'opp</w:t>
      </w:r>
      <w:r w:rsidRPr="00BB11AF">
        <w:t>o</w:t>
      </w:r>
      <w:r w:rsidRPr="00BB11AF">
        <w:t>sait aux formes traditionnelles de la politique.</w:t>
      </w:r>
    </w:p>
    <w:p w:rsidR="003A3061" w:rsidRPr="00BB11AF" w:rsidRDefault="003A3061" w:rsidP="003A3061">
      <w:pPr>
        <w:spacing w:before="120" w:after="120"/>
        <w:jc w:val="both"/>
      </w:pPr>
      <w:r w:rsidRPr="00BB11AF">
        <w:t>Plus structurels, bien qu'également centrés sur les subjectivités s</w:t>
      </w:r>
      <w:r w:rsidRPr="00BB11AF">
        <w:t>o</w:t>
      </w:r>
      <w:r w:rsidRPr="00BB11AF">
        <w:t>ciopolitiques, les travaux de Svampa (2004a ; 2004b ; 2006) pl</w:t>
      </w:r>
      <w:r w:rsidRPr="00BB11AF">
        <w:t>a</w:t>
      </w:r>
      <w:r w:rsidRPr="00BB11AF">
        <w:t>cent les événements de décembre 2001 dans un vaste processus de tran</w:t>
      </w:r>
      <w:r w:rsidRPr="00BB11AF">
        <w:t>s</w:t>
      </w:r>
      <w:r w:rsidRPr="00BB11AF">
        <w:t>formation structurelle initié dans les années 1970 et approfo</w:t>
      </w:r>
      <w:r w:rsidRPr="00BB11AF">
        <w:t>n</w:t>
      </w:r>
      <w:r w:rsidRPr="00BB11AF">
        <w:t>di dans les années 1990. La crise de 2001 y est ainsi définie comme une ru</w:t>
      </w:r>
      <w:r w:rsidRPr="00BB11AF">
        <w:t>p</w:t>
      </w:r>
      <w:r w:rsidRPr="00BB11AF">
        <w:t>ture du consensus néolibéral et comme une crise d'hégémonie entra</w:t>
      </w:r>
      <w:r w:rsidRPr="00BB11AF">
        <w:t>î</w:t>
      </w:r>
      <w:r w:rsidRPr="00BB11AF">
        <w:t>née par les mouvements sociaux, fer de lance de la remise en question des modèles d'organisation sociale, institutionnelle, politique et éc</w:t>
      </w:r>
      <w:r w:rsidRPr="00BB11AF">
        <w:t>o</w:t>
      </w:r>
      <w:r w:rsidRPr="00BB11AF">
        <w:t>nomique du pays. Suivant des exigences a</w:t>
      </w:r>
      <w:r w:rsidRPr="00BB11AF">
        <w:t>m</w:t>
      </w:r>
      <w:r w:rsidRPr="00BB11AF">
        <w:t>bivalentes, contradictoires et variables, les mouvements sociaux luttaient non seulement pour une amélioration de leurs conditions matérielles, mais aussi pour une « nouvelle institutionnalisation » associée à l'incorporation de méc</w:t>
      </w:r>
      <w:r w:rsidRPr="00BB11AF">
        <w:t>a</w:t>
      </w:r>
      <w:r w:rsidRPr="00BB11AF">
        <w:t>nismes de la démocratie directe et participative « au détriment du monde institutionnel » (Svampa 2004b : 210). Au début de l'année 2003, ces demandes ont été remplacées par d'autres liées à la « normalité » et au retour de l'ordre, qui étaient de plus en plus répa</w:t>
      </w:r>
      <w:r w:rsidRPr="00BB11AF">
        <w:t>n</w:t>
      </w:r>
      <w:r w:rsidRPr="00BB11AF">
        <w:t>dues et éclipsaient les premières, mettant ainsi fin aux espaces d'aut</w:t>
      </w:r>
      <w:r w:rsidRPr="00BB11AF">
        <w:t>o</w:t>
      </w:r>
      <w:r w:rsidRPr="00BB11AF">
        <w:t>nomie, de participation colle</w:t>
      </w:r>
      <w:r w:rsidRPr="00BB11AF">
        <w:t>c</w:t>
      </w:r>
      <w:r w:rsidRPr="00BB11AF">
        <w:t>tive et de protestation.</w:t>
      </w:r>
    </w:p>
    <w:p w:rsidR="003A3061" w:rsidRPr="00BB11AF" w:rsidRDefault="003A3061" w:rsidP="003A3061">
      <w:pPr>
        <w:spacing w:before="120" w:after="120"/>
        <w:jc w:val="both"/>
      </w:pPr>
      <w:r w:rsidRPr="00BB11AF">
        <w:t>Bien que l'approche de Svampa ne s'inscrive pas dans un cadre théorique marxiste autonomiste, tant au niveau de la visée explic</w:t>
      </w:r>
      <w:r w:rsidRPr="00BB11AF">
        <w:t>a</w:t>
      </w:r>
      <w:r w:rsidRPr="00BB11AF">
        <w:t>tive (se centrant sur les mouvements et les pratiques qui découlent « d'en bas ») qu'au niveau de l'évaluation du devenir des organisations, l'a</w:t>
      </w:r>
      <w:r w:rsidRPr="00BB11AF">
        <w:t>p</w:t>
      </w:r>
      <w:r w:rsidRPr="00BB11AF">
        <w:t>proche de Svampa laisse néanmoins entrevoir, comme les premiers, une critique de l'État et, en particulier, une méfiance de la tradition nationale-populaire associée au péronisme-et, plus récemment, au ki</w:t>
      </w:r>
      <w:r w:rsidRPr="00BB11AF">
        <w:t>r</w:t>
      </w:r>
      <w:r w:rsidRPr="00BB11AF">
        <w:t>chnerisme. Ces études présupposent, en outre, une séparation entre le « social » et le « politique », donc une façon</w:t>
      </w:r>
      <w:r>
        <w:t xml:space="preserve"> </w:t>
      </w:r>
      <w:r w:rsidRPr="00BB11AF">
        <w:t>[129]</w:t>
      </w:r>
      <w:r>
        <w:t xml:space="preserve"> </w:t>
      </w:r>
      <w:r w:rsidRPr="00BB11AF">
        <w:t>particulière de concevoir la politique que le kirchnerisme, comme nous le verrons plus tard, va problématiser à travers ses discours. Selon ces interprét</w:t>
      </w:r>
      <w:r w:rsidRPr="00BB11AF">
        <w:t>a</w:t>
      </w:r>
      <w:r w:rsidRPr="00BB11AF">
        <w:t>tions, ceux qui ont été à la tête des mobilisations-spontanées, auton</w:t>
      </w:r>
      <w:r w:rsidRPr="00BB11AF">
        <w:t>o</w:t>
      </w:r>
      <w:r w:rsidRPr="00BB11AF">
        <w:t>mes et territoriales-ne sont pas considérés comme des acteurs impl</w:t>
      </w:r>
      <w:r w:rsidRPr="00BB11AF">
        <w:t>i</w:t>
      </w:r>
      <w:r w:rsidRPr="00BB11AF">
        <w:t>qués dans la « politique », à tout le moins dans un sens formel ou in</w:t>
      </w:r>
      <w:r w:rsidRPr="00BB11AF">
        <w:t>s</w:t>
      </w:r>
      <w:r w:rsidRPr="00BB11AF">
        <w:t>titutionnel</w:t>
      </w:r>
      <w:r>
        <w:t> </w:t>
      </w:r>
      <w:r>
        <w:rPr>
          <w:rStyle w:val="Appelnotedebasdep"/>
        </w:rPr>
        <w:footnoteReference w:id="82"/>
      </w:r>
      <w:r w:rsidRPr="00BB11AF">
        <w:t>.</w:t>
      </w:r>
    </w:p>
    <w:p w:rsidR="003A3061" w:rsidRPr="00BB11AF" w:rsidRDefault="003A3061" w:rsidP="003A3061">
      <w:pPr>
        <w:spacing w:before="120" w:after="120"/>
        <w:jc w:val="both"/>
      </w:pPr>
      <w:r>
        <w:br w:type="page"/>
      </w:r>
    </w:p>
    <w:p w:rsidR="003A3061" w:rsidRPr="00BB11AF" w:rsidRDefault="003A3061" w:rsidP="003A3061">
      <w:pPr>
        <w:pStyle w:val="planche"/>
      </w:pPr>
      <w:r w:rsidRPr="00BB11AF">
        <w:t>« D'en haut » :</w:t>
      </w:r>
      <w:r>
        <w:br/>
      </w:r>
      <w:r w:rsidRPr="00BB11AF">
        <w:t>représentation et autorité politique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Provenant du champ de la science politique, une seconde série d'ét</w:t>
      </w:r>
      <w:r w:rsidRPr="00BB11AF">
        <w:t>u</w:t>
      </w:r>
      <w:r w:rsidRPr="00BB11AF">
        <w:t>des explique les émeutes de décembre 2001 en termes de crise de représentation, ce qui relève notamment des questions relatives au gouvernement, au rôle du leadership politique, aux coalitions de po</w:t>
      </w:r>
      <w:r w:rsidRPr="00BB11AF">
        <w:t>u</w:t>
      </w:r>
      <w:r w:rsidRPr="00BB11AF">
        <w:t>voir et aux démarches de la classe politique. Dans cette optique, Po</w:t>
      </w:r>
      <w:r w:rsidRPr="00BB11AF">
        <w:t>u</w:t>
      </w:r>
      <w:r w:rsidRPr="00BB11AF">
        <w:t>sadela (2006) affirme que les événements de 2001 s'enc</w:t>
      </w:r>
      <w:r w:rsidRPr="00BB11AF">
        <w:t>a</w:t>
      </w:r>
      <w:r w:rsidRPr="00BB11AF">
        <w:t>drent dans une « crise de représentation »</w:t>
      </w:r>
      <w:r>
        <w:t> </w:t>
      </w:r>
      <w:r>
        <w:rPr>
          <w:rStyle w:val="Appelnotedebasdep"/>
        </w:rPr>
        <w:footnoteReference w:id="83"/>
      </w:r>
      <w:r w:rsidRPr="00BB11AF">
        <w:t xml:space="preserve"> dans laquelle « la représentation p</w:t>
      </w:r>
      <w:r w:rsidRPr="00BB11AF">
        <w:t>o</w:t>
      </w:r>
      <w:r w:rsidRPr="00BB11AF">
        <w:t>litique elle- même est devenue objet de discours et s'est placée au ce</w:t>
      </w:r>
      <w:r w:rsidRPr="00BB11AF">
        <w:t>n</w:t>
      </w:r>
      <w:r w:rsidRPr="00BB11AF">
        <w:t>tre des protestations » (2006 : 79), révélant une « fracture profonde » entre représentants et représentés. La crise a ainsi démontré un ma</w:t>
      </w:r>
      <w:r w:rsidRPr="00BB11AF">
        <w:t>n</w:t>
      </w:r>
      <w:r w:rsidRPr="00BB11AF">
        <w:t>que de reconnaissance du lien représentatif qui a atteint son ap</w:t>
      </w:r>
      <w:r w:rsidRPr="00BB11AF">
        <w:t>o</w:t>
      </w:r>
      <w:r w:rsidRPr="00BB11AF">
        <w:t>gée durant les journées (celle du 19, festive, et celle du 20, tragique) de décembre, d'autant plus que les acteurs, les revendications et les m</w:t>
      </w:r>
      <w:r w:rsidRPr="00BB11AF">
        <w:t>é</w:t>
      </w:r>
      <w:r w:rsidRPr="00BB11AF">
        <w:t>thodes étaient nouvelles, radicales et intenses, ce qui permet d'affi</w:t>
      </w:r>
      <w:r w:rsidRPr="00BB11AF">
        <w:t>r</w:t>
      </w:r>
      <w:r w:rsidRPr="00BB11AF">
        <w:t>mer, suivant Pousadela, que la logique représentative s'est vue re</w:t>
      </w:r>
      <w:r w:rsidRPr="00BB11AF">
        <w:t>m</w:t>
      </w:r>
      <w:r w:rsidRPr="00BB11AF">
        <w:t>placée par une « logique express</w:t>
      </w:r>
      <w:r w:rsidRPr="00BB11AF">
        <w:t>i</w:t>
      </w:r>
      <w:r w:rsidRPr="00BB11AF">
        <w:t>ve » avec un statut de révocation.</w:t>
      </w:r>
    </w:p>
    <w:p w:rsidR="003A3061" w:rsidRPr="00BB11AF" w:rsidRDefault="003A3061" w:rsidP="003A3061">
      <w:pPr>
        <w:spacing w:before="120" w:after="120"/>
        <w:jc w:val="both"/>
      </w:pPr>
      <w:r w:rsidRPr="00BB11AF">
        <w:t>C'est dans cette même perspective, centrée sur les acteurs polit</w:t>
      </w:r>
      <w:r w:rsidRPr="00BB11AF">
        <w:t>i</w:t>
      </w:r>
      <w:r w:rsidRPr="00BB11AF">
        <w:t>ques en tant que représentants et représentés, que Novaro (2002) ex</w:t>
      </w:r>
      <w:r w:rsidRPr="00BB11AF">
        <w:t>a</w:t>
      </w:r>
      <w:r w:rsidRPr="00BB11AF">
        <w:t>mine les facteurs « évitables » de la crise et signale que l'él</w:t>
      </w:r>
      <w:r w:rsidRPr="00BB11AF">
        <w:t>é</w:t>
      </w:r>
      <w:r w:rsidRPr="00BB11AF">
        <w:t>ment le plus important est lié à l'échec de l'Alianza</w:t>
      </w:r>
      <w:r>
        <w:t> </w:t>
      </w:r>
      <w:r>
        <w:rPr>
          <w:rStyle w:val="Appelnotedebasdep"/>
        </w:rPr>
        <w:footnoteReference w:id="84"/>
      </w:r>
      <w:r w:rsidRPr="00BB11AF">
        <w:t xml:space="preserve"> dans la construction d'un « noyau de gouvernance pour se maintenir au po</w:t>
      </w:r>
      <w:r w:rsidRPr="00BB11AF">
        <w:t>u</w:t>
      </w:r>
      <w:r w:rsidRPr="00BB11AF">
        <w:t>voir », échec qui revêt trois dimensions : d'abord, l'incapacité de la coalition à re</w:t>
      </w:r>
      <w:r w:rsidRPr="00BB11AF">
        <w:t>n</w:t>
      </w:r>
      <w:r w:rsidRPr="00BB11AF">
        <w:t>forcer le leadership et à contrôler les ressorts institutionnels ; puis, une év</w:t>
      </w:r>
      <w:r w:rsidRPr="00BB11AF">
        <w:t>a</w:t>
      </w:r>
      <w:r w:rsidRPr="00BB11AF">
        <w:t>luation erronée de l'ampleur de la crise économique entraînant la fragmentation au sein de l'équipe de gouve</w:t>
      </w:r>
      <w:r w:rsidRPr="00BB11AF">
        <w:t>r</w:t>
      </w:r>
      <w:r w:rsidRPr="00BB11AF">
        <w:t>nement quant aux actions à suivre ; enfin, les croissantes divisions et les conflits au sein de la coalition au pouvoir, aboutissant non seulement à la « fracture du sommet du gouvernement »-laquelle parvient à son apogée avec la démission du vice-président, Carlos Alvarez, révélant ainsi le faible et malléable leadership politique du président, Fernando de la Rua-, mais aussi à « l'effondrement de ce qui avait été pendant dix ans la ressou</w:t>
      </w:r>
      <w:r w:rsidRPr="00BB11AF">
        <w:t>r</w:t>
      </w:r>
      <w:r w:rsidRPr="00BB11AF">
        <w:t>ce essentielle de la go</w:t>
      </w:r>
      <w:r w:rsidRPr="00BB11AF">
        <w:t>u</w:t>
      </w:r>
      <w:r w:rsidRPr="00BB11AF">
        <w:t>vernance en Argentine, la convertibilité de la monnaie » (2002 :36-37)</w:t>
      </w:r>
      <w:r>
        <w:t> </w:t>
      </w:r>
      <w:r>
        <w:rPr>
          <w:rStyle w:val="Appelnotedebasdep"/>
        </w:rPr>
        <w:footnoteReference w:id="85"/>
      </w:r>
      <w:r w:rsidRPr="00BB11AF">
        <w:t>.</w:t>
      </w:r>
    </w:p>
    <w:p w:rsidR="003A3061" w:rsidRPr="00BB11AF" w:rsidRDefault="003A3061" w:rsidP="003A3061">
      <w:pPr>
        <w:spacing w:before="120" w:after="120"/>
        <w:jc w:val="both"/>
      </w:pPr>
      <w:r w:rsidRPr="00BB11AF">
        <w:t>Selon cette approche, la crise de 2001 a constitué, d'une part, un point de rupture dans le lien représentatif et, d'autre part, le point culminant d'un processus de dégradation de la représentativité polit</w:t>
      </w:r>
      <w:r w:rsidRPr="00BB11AF">
        <w:t>i</w:t>
      </w:r>
      <w:r w:rsidRPr="00BB11AF">
        <w:t>que et de la capacité à soutenir un ordre politique stable. Crise de r</w:t>
      </w:r>
      <w:r w:rsidRPr="00BB11AF">
        <w:t>e</w:t>
      </w:r>
      <w:r w:rsidRPr="00BB11AF">
        <w:t>présentation, mais aussi d'autorité, elle aurait été déclenchée par l'a</w:t>
      </w:r>
      <w:r w:rsidRPr="00BB11AF">
        <w:t>f</w:t>
      </w:r>
      <w:r w:rsidRPr="00BB11AF">
        <w:t>fro</w:t>
      </w:r>
      <w:r w:rsidRPr="00BB11AF">
        <w:t>n</w:t>
      </w:r>
      <w:r w:rsidRPr="00BB11AF">
        <w:t>tement de projets politiques économiques et</w:t>
      </w:r>
      <w:r>
        <w:t xml:space="preserve"> </w:t>
      </w:r>
      <w:r w:rsidRPr="00BB11AF">
        <w:t>[130]</w:t>
      </w:r>
      <w:r>
        <w:t xml:space="preserve"> </w:t>
      </w:r>
      <w:r w:rsidRPr="00BB11AF">
        <w:t>idéologiques faibles et contradictoires au sommet du pouvoir. Cela dit, il semble que ce que ces auteurs posent comme prémisse de leur analyse-soit l'existence d'une rupture du lien représentatif, la faible gouvernance et le manque d'autorité politique - est précis</w:t>
      </w:r>
      <w:r w:rsidRPr="00BB11AF">
        <w:t>é</w:t>
      </w:r>
      <w:r w:rsidRPr="00BB11AF">
        <w:t>ment ce qui, à notre avis, doit être expliqué afin de comprendre si-et surtout comment-le ki</w:t>
      </w:r>
      <w:r w:rsidRPr="00BB11AF">
        <w:t>r</w:t>
      </w:r>
      <w:r w:rsidRPr="00BB11AF">
        <w:t>chnerisme s'est approprié ces problémat</w:t>
      </w:r>
      <w:r w:rsidRPr="00BB11AF">
        <w:t>i</w:t>
      </w:r>
      <w:r w:rsidRPr="00BB11AF">
        <w:t>ques.</w:t>
      </w:r>
    </w:p>
    <w:p w:rsidR="003A3061" w:rsidRPr="00BB11AF" w:rsidRDefault="003A3061" w:rsidP="003A3061">
      <w:pPr>
        <w:spacing w:before="120" w:after="120"/>
        <w:jc w:val="both"/>
      </w:pPr>
    </w:p>
    <w:p w:rsidR="003A3061" w:rsidRPr="00BB11AF" w:rsidRDefault="003A3061" w:rsidP="003A3061">
      <w:pPr>
        <w:pStyle w:val="planche"/>
      </w:pPr>
      <w:r>
        <w:t>Le gouvernement de Kirchner :</w:t>
      </w:r>
      <w:r>
        <w:br/>
      </w:r>
      <w:r w:rsidRPr="00BB11AF">
        <w:t>recomposition hégémonique</w:t>
      </w:r>
      <w:r>
        <w:br/>
      </w:r>
      <w:r w:rsidRPr="00BB11AF">
        <w:t>et transformation symb</w:t>
      </w:r>
      <w:r w:rsidRPr="00BB11AF">
        <w:t>o</w:t>
      </w:r>
      <w:r w:rsidRPr="00BB11AF">
        <w:t>lique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Selon la première interprétation de la crise, les politiques mises en œuvre par Kirchner se sont caractérisées par le fait d'avoir « incarné » et « capitalisé » les demandes d'ordre et de normalité (et par cons</w:t>
      </w:r>
      <w:r w:rsidRPr="00BB11AF">
        <w:t>é</w:t>
      </w:r>
      <w:r w:rsidRPr="00BB11AF">
        <w:t>quent par le fait d'avoir éclipsé les revendications les plus radicales et les plus rebelles) à travers un ensemble de politiques</w:t>
      </w:r>
      <w:r>
        <w:t> </w:t>
      </w:r>
      <w:r>
        <w:rPr>
          <w:rStyle w:val="Appelnotedebasdep"/>
        </w:rPr>
        <w:footnoteReference w:id="86"/>
      </w:r>
      <w:r w:rsidRPr="00BB11AF">
        <w:t xml:space="preserve"> et un di</w:t>
      </w:r>
      <w:r w:rsidRPr="00BB11AF">
        <w:t>s</w:t>
      </w:r>
      <w:r w:rsidRPr="00BB11AF">
        <w:t>cours-une pure et simple « politique de gestes sy</w:t>
      </w:r>
      <w:r w:rsidRPr="00BB11AF">
        <w:t>m</w:t>
      </w:r>
      <w:r w:rsidRPr="00BB11AF">
        <w:t>boliques », selon Svampa (2004a)-au ton anti-néolibéral s'appropriant les positions e</w:t>
      </w:r>
      <w:r w:rsidRPr="00BB11AF">
        <w:t>x</w:t>
      </w:r>
      <w:r w:rsidRPr="00BB11AF">
        <w:t>primées depuis plusieurs années par certains secteurs mobilisés. Cela a entra</w:t>
      </w:r>
      <w:r w:rsidRPr="00BB11AF">
        <w:t>î</w:t>
      </w:r>
      <w:r w:rsidRPr="00BB11AF">
        <w:t>né des conséquences dissemblables pour les secteurs popula</w:t>
      </w:r>
      <w:r w:rsidRPr="00BB11AF">
        <w:t>i</w:t>
      </w:r>
      <w:r w:rsidRPr="00BB11AF">
        <w:t>res, et ce, à deux titres. D'une part, le gouvernement de Kirchner a e</w:t>
      </w:r>
      <w:r w:rsidRPr="00BB11AF">
        <w:t>f</w:t>
      </w:r>
      <w:r w:rsidRPr="00BB11AF">
        <w:t>ficacement mis en place un processus d'intégration, de cooptation et même d'inst</w:t>
      </w:r>
      <w:r w:rsidRPr="00BB11AF">
        <w:t>i</w:t>
      </w:r>
      <w:r w:rsidRPr="00BB11AF">
        <w:t xml:space="preserve">tutionnalisation de certains secteurs du mouvement </w:t>
      </w:r>
      <w:r w:rsidRPr="00BB11AF">
        <w:rPr>
          <w:i/>
        </w:rPr>
        <w:t>p</w:t>
      </w:r>
      <w:r w:rsidRPr="00BB11AF">
        <w:rPr>
          <w:i/>
        </w:rPr>
        <w:t>i</w:t>
      </w:r>
      <w:r w:rsidRPr="00BB11AF">
        <w:rPr>
          <w:i/>
        </w:rPr>
        <w:t>quetero</w:t>
      </w:r>
      <w:r w:rsidRPr="00BB11AF">
        <w:t xml:space="preserve"> qui avaient une affinité idéologique avec celui-ci et qui, en raison de leur proximité avec la tradition nationale-populaire, voyaient dans la figure du président la possibilité de retourner aux « sources historiques » du péronisme. D'autre part, la relation avec les « courants non proches » du gouvernement (des secteurs non péroni</w:t>
      </w:r>
      <w:r w:rsidRPr="00BB11AF">
        <w:t>s</w:t>
      </w:r>
      <w:r w:rsidRPr="00BB11AF">
        <w:t>tes non seulement anti-néolibéraux, mais aussi anticapitalistes) s'est affirmée sur la discipline, l'isolement et la judiciarisation de leurs revendications</w:t>
      </w:r>
      <w:r>
        <w:t> </w:t>
      </w:r>
      <w:r>
        <w:rPr>
          <w:rStyle w:val="Appelnotedebasdep"/>
        </w:rPr>
        <w:footnoteReference w:id="87"/>
      </w:r>
      <w:r w:rsidRPr="00BB11AF">
        <w:t>. S</w:t>
      </w:r>
      <w:r w:rsidRPr="00BB11AF">
        <w:t>e</w:t>
      </w:r>
      <w:r w:rsidRPr="00BB11AF">
        <w:t>lon cette perspective, les mouvements sociaux ont échoué dans leurs luttes :</w:t>
      </w:r>
    </w:p>
    <w:p w:rsidR="003A3061" w:rsidRDefault="003A3061" w:rsidP="003A3061">
      <w:pPr>
        <w:pStyle w:val="Grillecouleur-Accent1"/>
      </w:pPr>
    </w:p>
    <w:p w:rsidR="003A3061" w:rsidRDefault="003A3061" w:rsidP="003A3061">
      <w:pPr>
        <w:pStyle w:val="Grillecouleur-Accent1"/>
      </w:pPr>
      <w:r w:rsidRPr="00BB11AF">
        <w:t>Ainsi, la politique de contention du conflit social s'est développée pri</w:t>
      </w:r>
      <w:r w:rsidRPr="00BB11AF">
        <w:t>o</w:t>
      </w:r>
      <w:r w:rsidRPr="00BB11AF">
        <w:t>ritairement à travers la distribution de paquets de plans s</w:t>
      </w:r>
      <w:r w:rsidRPr="00BB11AF">
        <w:t>o</w:t>
      </w:r>
      <w:r w:rsidRPr="00BB11AF">
        <w:t>ciaux et d'aide alimentaire, en échange de l'enlèvement des barrages. Cette p</w:t>
      </w:r>
      <w:r w:rsidRPr="00BB11AF">
        <w:t>o</w:t>
      </w:r>
      <w:r w:rsidRPr="00BB11AF">
        <w:t>litique, à son tour, a été accompagnée de l'approfondissement du co</w:t>
      </w:r>
      <w:r w:rsidRPr="00BB11AF">
        <w:t>n</w:t>
      </w:r>
      <w:r w:rsidRPr="00BB11AF">
        <w:t xml:space="preserve">texte répressif. [...] Dès la prise du pouvoir de N. Kirchner, [les organisations </w:t>
      </w:r>
      <w:r w:rsidRPr="00BB11AF">
        <w:rPr>
          <w:bCs/>
          <w:i/>
        </w:rPr>
        <w:t>piqueteras</w:t>
      </w:r>
      <w:r w:rsidRPr="00BB11AF">
        <w:rPr>
          <w:bCs/>
        </w:rPr>
        <w:t>],</w:t>
      </w:r>
      <w:r w:rsidRPr="00BB11AF">
        <w:t xml:space="preserve"> après une lutte politique, ont été transito</w:t>
      </w:r>
      <w:r w:rsidRPr="00BB11AF">
        <w:t>i</w:t>
      </w:r>
      <w:r w:rsidRPr="00BB11AF">
        <w:t>rement intégrées et relativement contrôlées par le nouveau gouvern</w:t>
      </w:r>
      <w:r w:rsidRPr="00BB11AF">
        <w:t>e</w:t>
      </w:r>
      <w:r w:rsidRPr="00BB11AF">
        <w:t>ment et harcelées plus que jamais par les médias (Svampa, 2004b : 3-4 ; notre traduction).</w:t>
      </w:r>
    </w:p>
    <w:p w:rsidR="003A3061" w:rsidRPr="00BB11AF" w:rsidRDefault="003A3061" w:rsidP="003A3061">
      <w:pPr>
        <w:pStyle w:val="Grillecouleur-Accent1"/>
      </w:pPr>
    </w:p>
    <w:p w:rsidR="003A3061" w:rsidRPr="00BB11AF" w:rsidRDefault="003A3061" w:rsidP="003A3061">
      <w:pPr>
        <w:spacing w:before="120" w:after="120"/>
        <w:jc w:val="both"/>
      </w:pPr>
      <w:r w:rsidRPr="00BB11AF">
        <w:t>Dans la lecture proposée par la « science politique », Cheresky et Pousadela (2004) expliquent, de leur côté, la recomposition du lien politique postérieure à l'année 2003 à partir de ce qu'ils appe</w:t>
      </w:r>
      <w:r w:rsidRPr="00BB11AF">
        <w:t>l</w:t>
      </w:r>
      <w:r w:rsidRPr="00BB11AF">
        <w:t>lent le pouvoir « instituant du leadership représentatif », phénomène clair</w:t>
      </w:r>
      <w:r w:rsidRPr="00BB11AF">
        <w:t>e</w:t>
      </w:r>
      <w:r w:rsidRPr="00BB11AF">
        <w:t>ment marqué dans le cas de Kirchner : ce pouvoir instituant réside dans la capacité d'établir l'ordre du jour et d'imposer des initiatives et « des actions qui ont rendu possible, voire souha</w:t>
      </w:r>
      <w:r w:rsidRPr="00BB11AF">
        <w:t>i</w:t>
      </w:r>
      <w:r w:rsidRPr="00BB11AF">
        <w:t>table, quelque chose qui n'était ni</w:t>
      </w:r>
      <w:r>
        <w:t xml:space="preserve"> </w:t>
      </w:r>
      <w:r w:rsidRPr="00BB11AF">
        <w:t>[131]</w:t>
      </w:r>
      <w:r>
        <w:t xml:space="preserve"> </w:t>
      </w:r>
      <w:r w:rsidRPr="00BB11AF">
        <w:t>présent ni prévu » (2004 :31). Cherny, Feierherd et Novaro (2010), quant à eux, affirment que le processus de recompos</w:t>
      </w:r>
      <w:r w:rsidRPr="00BB11AF">
        <w:t>i</w:t>
      </w:r>
      <w:r w:rsidRPr="00BB11AF">
        <w:t>tion de l'autorité et du pouvoir présidentiel après la crise dépend e</w:t>
      </w:r>
      <w:r w:rsidRPr="00BB11AF">
        <w:t>s</w:t>
      </w:r>
      <w:r w:rsidRPr="00BB11AF">
        <w:t>sentiellement de deux facteurs : d'une part, l'accumulation de ressou</w:t>
      </w:r>
      <w:r w:rsidRPr="00BB11AF">
        <w:t>r</w:t>
      </w:r>
      <w:r w:rsidRPr="00BB11AF">
        <w:t>ces (financières, politiques et économiques) dans le pouvoir exécutif ; d'autre part, l'augmentation de la « popularité personnelle » du leader (Kirchner).</w:t>
      </w:r>
    </w:p>
    <w:p w:rsidR="003A3061" w:rsidRPr="00BB11AF" w:rsidRDefault="003A3061" w:rsidP="003A3061">
      <w:pPr>
        <w:spacing w:before="120" w:after="120"/>
        <w:jc w:val="both"/>
      </w:pPr>
      <w:r w:rsidRPr="00BB11AF">
        <w:t>Encore une fois, c'est précisément cette composante, la « popularité personnelle », le « pouvoir instituant » ou la gouve</w:t>
      </w:r>
      <w:r w:rsidRPr="00BB11AF">
        <w:t>r</w:t>
      </w:r>
      <w:r w:rsidRPr="00BB11AF">
        <w:t>nance qu'il faut expliquer. Sur quoi se fondent ladite « popularité », l'e</w:t>
      </w:r>
      <w:r w:rsidRPr="00BB11AF">
        <w:t>m</w:t>
      </w:r>
      <w:r w:rsidRPr="00BB11AF">
        <w:t>preinte instituante ou l'aptitude à maintenir la stabilité de la gouve</w:t>
      </w:r>
      <w:r w:rsidRPr="00BB11AF">
        <w:t>r</w:t>
      </w:r>
      <w:r w:rsidRPr="00BB11AF">
        <w:t>nance dans le cas du kirchnerisme ? Comment les interpell</w:t>
      </w:r>
      <w:r w:rsidRPr="00BB11AF">
        <w:t>a</w:t>
      </w:r>
      <w:r w:rsidRPr="00BB11AF">
        <w:t>tions et les articulations discursives de Kirchner ont-elles alimenté sa « popularité » et l'a</w:t>
      </w:r>
      <w:r w:rsidRPr="00BB11AF">
        <w:t>u</w:t>
      </w:r>
      <w:r w:rsidRPr="00BB11AF">
        <w:t>raient-elles doté de pouvoir et d'autorité ? Par quelles stratégies le kirchnerisme a-t-il désactivé le conflit social, re</w:t>
      </w:r>
      <w:r w:rsidRPr="00BB11AF">
        <w:t>s</w:t>
      </w:r>
      <w:r w:rsidRPr="00BB11AF">
        <w:t>tauré le leadership pol</w:t>
      </w:r>
      <w:r w:rsidRPr="00BB11AF">
        <w:t>i</w:t>
      </w:r>
      <w:r w:rsidRPr="00BB11AF">
        <w:t>tique et la légitimité représentative, concilié des réclamations et des intérêts hétérogènes, bref, rétabli l'ordre social et politique qui avait éclaté en mille morceaux ?</w:t>
      </w:r>
    </w:p>
    <w:p w:rsidR="003A3061" w:rsidRPr="00BB11AF" w:rsidRDefault="003A3061" w:rsidP="003A3061">
      <w:pPr>
        <w:spacing w:before="120" w:after="120"/>
        <w:jc w:val="both"/>
      </w:pPr>
      <w:r w:rsidRPr="00BB11AF">
        <w:t>Pour aborder ces questions, il nous semble que la notion d'hég</w:t>
      </w:r>
      <w:r w:rsidRPr="00BB11AF">
        <w:t>é</w:t>
      </w:r>
      <w:r w:rsidRPr="00BB11AF">
        <w:t>monie peut offrir quelques pistes satisfaisantes. De façon synthétique, l'hégémonie</w:t>
      </w:r>
      <w:r>
        <w:t> </w:t>
      </w:r>
      <w:r>
        <w:rPr>
          <w:rStyle w:val="Appelnotedebasdep"/>
        </w:rPr>
        <w:footnoteReference w:id="88"/>
      </w:r>
      <w:r w:rsidRPr="00BB11AF">
        <w:t xml:space="preserve"> peut être comprise comme un processus de constit</w:t>
      </w:r>
      <w:r w:rsidRPr="00BB11AF">
        <w:t>u</w:t>
      </w:r>
      <w:r w:rsidRPr="00BB11AF">
        <w:t>tion d'un ordre politique moins basé sur la coercition, la cooptation ou la domination pure que sur le consensus et l'articul</w:t>
      </w:r>
      <w:r w:rsidRPr="00BB11AF">
        <w:t>a</w:t>
      </w:r>
      <w:r w:rsidRPr="00BB11AF">
        <w:t>tion de différents secteurs politiques. Ce processus implique, d'un côté, une articulation de demandes hétérogènes par un discours politique (habituellement matérialisé dans la figure d'un leader politique) incarnant une prome</w:t>
      </w:r>
      <w:r w:rsidRPr="00BB11AF">
        <w:t>s</w:t>
      </w:r>
      <w:r w:rsidRPr="00BB11AF">
        <w:t>se d'ordre et de plénitude. Par ailleurs, cette logique de l'hégém</w:t>
      </w:r>
      <w:r w:rsidRPr="00BB11AF">
        <w:t>o</w:t>
      </w:r>
      <w:r w:rsidRPr="00BB11AF">
        <w:t>nie produit en outre un espace s</w:t>
      </w:r>
      <w:r w:rsidRPr="00BB11AF">
        <w:t>o</w:t>
      </w:r>
      <w:r w:rsidRPr="00BB11AF">
        <w:t>cial fracturé, qui apparaît ainsi divisé, fragmenté et scindé en deux camps opposés : le peuple et l'anti-peuple, le « nous » versus « eux ».</w:t>
      </w:r>
    </w:p>
    <w:p w:rsidR="003A3061" w:rsidRPr="00BB11AF" w:rsidRDefault="003A3061" w:rsidP="003A3061">
      <w:pPr>
        <w:spacing w:before="120" w:after="120"/>
        <w:jc w:val="both"/>
      </w:pPr>
      <w:r w:rsidRPr="00BB11AF">
        <w:t>Selon cette approche, la logique de l'hégémonie peut être conçue comme un terrain de constitution d'identités politiques. Ces dernières ne précèdent pas les stratégies de recomposition hég</w:t>
      </w:r>
      <w:r w:rsidRPr="00BB11AF">
        <w:t>é</w:t>
      </w:r>
      <w:r w:rsidRPr="00BB11AF">
        <w:t>monique, tout au contraire, elles sont le résultat de cette opération selon laquelle un di</w:t>
      </w:r>
      <w:r w:rsidRPr="00BB11AF">
        <w:t>s</w:t>
      </w:r>
      <w:r w:rsidRPr="00BB11AF">
        <w:t>cours politique intègre différentes demandes démocratiques qui sont partiellement « vidées » de leurs contenus particuliers et articulées dans une chaîne avec d'autres demandes hétérogènes, créant ainsi un champ d'identification subjectif (Ladau et Mouffe 2008 ; Laclau 2008a).</w:t>
      </w:r>
    </w:p>
    <w:p w:rsidR="003A3061" w:rsidRPr="00BB11AF" w:rsidRDefault="003A3061" w:rsidP="003A3061">
      <w:pPr>
        <w:spacing w:before="120" w:after="120"/>
        <w:jc w:val="both"/>
      </w:pPr>
      <w:r w:rsidRPr="00BB11AF">
        <w:t>Ni nouvelle « Commune de Paris » ni débâcle strictement instit</w:t>
      </w:r>
      <w:r w:rsidRPr="00BB11AF">
        <w:t>u</w:t>
      </w:r>
      <w:r w:rsidRPr="00BB11AF">
        <w:t>tionnelle, la crise argentine de décembre 2001 doit être envisagée, s</w:t>
      </w:r>
      <w:r w:rsidRPr="00BB11AF">
        <w:t>e</w:t>
      </w:r>
      <w:r w:rsidRPr="00BB11AF">
        <w:t>lon nous, comme une crise d'hégémonie, au sens gramscien récupéré par Portantiero (1977), autrement dit, comme une crise de l'incapacité des secteurs gouvernants à imposer leur propre projet politique, éc</w:t>
      </w:r>
      <w:r w:rsidRPr="00BB11AF">
        <w:t>o</w:t>
      </w:r>
      <w:r w:rsidRPr="00BB11AF">
        <w:t>nom</w:t>
      </w:r>
      <w:r w:rsidRPr="00BB11AF">
        <w:t>i</w:t>
      </w:r>
      <w:r w:rsidRPr="00BB11AF">
        <w:t>que et idéologique qui a pour conséquence d'entraîner un conflit ins</w:t>
      </w:r>
      <w:r w:rsidRPr="00BB11AF">
        <w:t>o</w:t>
      </w:r>
      <w:r w:rsidRPr="00BB11AF">
        <w:t>luble et pendulaire, de même qu'une égalité « catastrophique</w:t>
      </w:r>
      <w:r>
        <w:t xml:space="preserve"> </w:t>
      </w:r>
      <w:r w:rsidRPr="00BB11AF">
        <w:rPr>
          <w:szCs w:val="28"/>
        </w:rPr>
        <w:t>[132]</w:t>
      </w:r>
      <w:r>
        <w:rPr>
          <w:szCs w:val="28"/>
        </w:rPr>
        <w:t xml:space="preserve"> </w:t>
      </w:r>
      <w:r w:rsidRPr="00BB11AF">
        <w:t>(hégémonique) entre des forces politiques et sociales mutuellement neutralisées dans leur capacité à imposer les conditions de sortie de crise. D'une part, un mouvement social multiforme et disruptif (...]. D'autre part, un système politique corrompu dans sa légitimité instit</w:t>
      </w:r>
      <w:r w:rsidRPr="00BB11AF">
        <w:t>u</w:t>
      </w:r>
      <w:r w:rsidRPr="00BB11AF">
        <w:t>tionnelle [...]. De cette dislocation a émergé le kirchnerisme » (Pérez et Natalucci 2012 : 8 ; notre traduction). Dans une telle s</w:t>
      </w:r>
      <w:r w:rsidRPr="00BB11AF">
        <w:t>i</w:t>
      </w:r>
      <w:r w:rsidRPr="00BB11AF">
        <w:t>tuation de crise d'hégémonie, il arrive alors que l'État se voit « débordé par la société, et la possibilité d'un ordre politique [se voit] annulée à no</w:t>
      </w:r>
      <w:r w:rsidRPr="00BB11AF">
        <w:t>u</w:t>
      </w:r>
      <w:r w:rsidRPr="00BB11AF">
        <w:t>veau » (Portantiero 1977 :534 ; notre tradu</w:t>
      </w:r>
      <w:r w:rsidRPr="00BB11AF">
        <w:t>c</w:t>
      </w:r>
      <w:r w:rsidRPr="00BB11AF">
        <w:t>tion).</w:t>
      </w:r>
    </w:p>
    <w:p w:rsidR="003A3061" w:rsidRPr="00BB11AF" w:rsidRDefault="003A3061" w:rsidP="003A3061">
      <w:pPr>
        <w:spacing w:before="120" w:after="120"/>
        <w:jc w:val="both"/>
      </w:pPr>
      <w:r w:rsidRPr="00BB11AF">
        <w:t>Suivant cette perspective, la crise de l'année 2001 semble donc rev</w:t>
      </w:r>
      <w:r w:rsidRPr="00BB11AF">
        <w:t>ê</w:t>
      </w:r>
      <w:r w:rsidRPr="00BB11AF">
        <w:t>tir une double dimension : à la fois socio-subjective et politico-institutionnelle, dimensions que le discours kirchneriste a abo</w:t>
      </w:r>
      <w:r w:rsidRPr="00BB11AF">
        <w:t>r</w:t>
      </w:r>
      <w:r w:rsidRPr="00BB11AF">
        <w:t>dées, grosso modo, au moyen de quatre opérations politico-discursives :</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1. Tout d'abord, dans son discours d'investiture, le 25 mai 2003, le nouveau président définissait la situation argentine comme un « e</w:t>
      </w:r>
      <w:r w:rsidRPr="00BB11AF">
        <w:t>n</w:t>
      </w:r>
      <w:r w:rsidRPr="00BB11AF">
        <w:t>fer » qui exigeait un « </w:t>
      </w:r>
      <w:r w:rsidRPr="00D44B4A">
        <w:rPr>
          <w:b/>
          <w:i/>
        </w:rPr>
        <w:t>changement culturel et moral </w:t>
      </w:r>
      <w:r w:rsidRPr="00BB11AF">
        <w:t>» :</w:t>
      </w:r>
    </w:p>
    <w:p w:rsidR="003A3061" w:rsidRDefault="003A3061" w:rsidP="003A3061">
      <w:pPr>
        <w:pStyle w:val="Grillecouleur-Accent1"/>
      </w:pPr>
    </w:p>
    <w:p w:rsidR="003A3061" w:rsidRPr="00BB11AF" w:rsidRDefault="003A3061" w:rsidP="003A3061">
      <w:pPr>
        <w:pStyle w:val="Grillecouleur-Accent1"/>
      </w:pPr>
      <w:r w:rsidRPr="00BB11AF">
        <w:t>Par mandat populaire, par compréhension historique et par déc</w:t>
      </w:r>
      <w:r w:rsidRPr="00BB11AF">
        <w:t>i</w:t>
      </w:r>
      <w:r w:rsidRPr="00BB11AF">
        <w:t>sion politique, celle-ci est l'opportunité de la transformation, du cha</w:t>
      </w:r>
      <w:r w:rsidRPr="00BB11AF">
        <w:t>n</w:t>
      </w:r>
      <w:r w:rsidRPr="00BB11AF">
        <w:t>gement culturel et moral exigé par l'heure. Changement est le nom de l'avenir.</w:t>
      </w:r>
    </w:p>
    <w:p w:rsidR="003A3061" w:rsidRDefault="003A3061" w:rsidP="003A3061">
      <w:pPr>
        <w:pStyle w:val="Grillecouleur-Accent1"/>
      </w:pPr>
      <w:r w:rsidRPr="00BB11AF">
        <w:t xml:space="preserve">Nous, les Argentins, ne devons et ne pouvons pas nous contenter d'avoir choisi un nouveau gouvernement. La classe politique ne doit pas épuiser son programme avec l'obtention d'une victoire électorale, mais, au contraire, il s'agit de </w:t>
      </w:r>
      <w:r w:rsidRPr="00D44B4A">
        <w:rPr>
          <w:b/>
          <w:i/>
        </w:rPr>
        <w:t>changer les paradigmes</w:t>
      </w:r>
      <w:r w:rsidRPr="00BB11AF">
        <w:t xml:space="preserve"> de ce que nous considérons comme le succès ou l'échec dans la dire</w:t>
      </w:r>
      <w:r w:rsidRPr="00BB11AF">
        <w:t>c</w:t>
      </w:r>
      <w:r w:rsidRPr="00BB11AF">
        <w:t>tion d'un pays (Kirchner 2003a ; notre traduction).</w:t>
      </w:r>
    </w:p>
    <w:p w:rsidR="003A3061" w:rsidRPr="00BB11AF" w:rsidRDefault="003A3061" w:rsidP="003A3061">
      <w:pPr>
        <w:pStyle w:val="Grillecouleur-Accent1"/>
      </w:pPr>
    </w:p>
    <w:p w:rsidR="003A3061" w:rsidRPr="00BB11AF" w:rsidRDefault="003A3061" w:rsidP="003A3061">
      <w:pPr>
        <w:spacing w:before="120" w:after="120"/>
        <w:jc w:val="both"/>
      </w:pPr>
      <w:r w:rsidRPr="00BB11AF">
        <w:t>En fait, parler de crise d'hégémonie nous plonge dans la nature, n</w:t>
      </w:r>
      <w:r w:rsidRPr="00BB11AF">
        <w:t>o</w:t>
      </w:r>
      <w:r w:rsidRPr="00BB11AF">
        <w:t>tamment symbolique, de la crise de 2001, une crise qui dépassait l'a</w:t>
      </w:r>
      <w:r w:rsidRPr="00BB11AF">
        <w:t>s</w:t>
      </w:r>
      <w:r w:rsidRPr="00BB11AF">
        <w:t>pect économique, social ou institutionnel et qui atteignait les imag</w:t>
      </w:r>
      <w:r w:rsidRPr="00BB11AF">
        <w:t>i</w:t>
      </w:r>
      <w:r w:rsidRPr="00BB11AF">
        <w:t>naires, les valeurs, les croyances et les manières dont les sujets se r</w:t>
      </w:r>
      <w:r w:rsidRPr="00BB11AF">
        <w:t>e</w:t>
      </w:r>
      <w:r w:rsidRPr="00BB11AF">
        <w:t>présentaient eux-mêmes dans l'espace social. Dans un contexte tro</w:t>
      </w:r>
      <w:r w:rsidRPr="00BB11AF">
        <w:t>u</w:t>
      </w:r>
      <w:r w:rsidRPr="00BB11AF">
        <w:t>blé, instable et chaotique dans lequel aucun secteur politique n'a</w:t>
      </w:r>
      <w:r w:rsidRPr="00BB11AF">
        <w:t>u</w:t>
      </w:r>
      <w:r w:rsidRPr="00BB11AF">
        <w:t>rait eu la capacité de « retisser » le lien social d'une façon suffisa</w:t>
      </w:r>
      <w:r w:rsidRPr="00BB11AF">
        <w:t>m</w:t>
      </w:r>
      <w:r w:rsidRPr="00BB11AF">
        <w:t>ment stable ni de renverser la situation de désordre et avec une faible lég</w:t>
      </w:r>
      <w:r w:rsidRPr="00BB11AF">
        <w:t>i</w:t>
      </w:r>
      <w:r w:rsidRPr="00BB11AF">
        <w:t>timité d'origine. Lors de son premier discours, le nouveau Prés</w:t>
      </w:r>
      <w:r w:rsidRPr="00BB11AF">
        <w:t>i</w:t>
      </w:r>
      <w:r w:rsidRPr="00BB11AF">
        <w:t>dent imposait, dès le début de son mandat, la nécessité d'imposer une tran</w:t>
      </w:r>
      <w:r w:rsidRPr="00BB11AF">
        <w:t>s</w:t>
      </w:r>
      <w:r w:rsidRPr="00BB11AF">
        <w:t>formation d'ordre symbolique, à partir de laquelle les schémas de le</w:t>
      </w:r>
      <w:r w:rsidRPr="00BB11AF">
        <w:t>c</w:t>
      </w:r>
      <w:r w:rsidRPr="00BB11AF">
        <w:t>ture de la réalité et les paradigmes pour évaluer les politiques s</w:t>
      </w:r>
      <w:r w:rsidRPr="00BB11AF">
        <w:t>e</w:t>
      </w:r>
      <w:r w:rsidRPr="00BB11AF">
        <w:t>raient redéfinis et l'imaginaire sociopolitique sur le présent, le passé et l'av</w:t>
      </w:r>
      <w:r w:rsidRPr="00BB11AF">
        <w:t>e</w:t>
      </w:r>
      <w:r w:rsidRPr="00BB11AF">
        <w:t>nir de l'Argentine r</w:t>
      </w:r>
      <w:r w:rsidRPr="00BB11AF">
        <w:t>e</w:t>
      </w:r>
      <w:r w:rsidRPr="00BB11AF">
        <w:t>configuré.</w:t>
      </w:r>
    </w:p>
    <w:p w:rsidR="003A3061" w:rsidRDefault="003A3061" w:rsidP="003A3061">
      <w:pPr>
        <w:spacing w:before="120" w:after="120"/>
        <w:jc w:val="both"/>
      </w:pPr>
    </w:p>
    <w:p w:rsidR="003A3061" w:rsidRPr="00BB11AF" w:rsidRDefault="003A3061" w:rsidP="003A3061">
      <w:pPr>
        <w:spacing w:before="120" w:after="120"/>
        <w:jc w:val="both"/>
      </w:pPr>
      <w:r w:rsidRPr="00BB11AF">
        <w:t>2. Deuxièmement, le discours kirchneriste a proposé une nouvelle grille d'interprétation du passé récent et de l'histoire argentine pr</w:t>
      </w:r>
      <w:r w:rsidRPr="00BB11AF">
        <w:t>o</w:t>
      </w:r>
      <w:r w:rsidRPr="00BB11AF">
        <w:t>che : il s'agit de la construction d'un nouveau « récit » historique. Dans son discours, on peut affirmer que Kirchner présente deux visions du pa</w:t>
      </w:r>
      <w:r w:rsidRPr="00BB11AF">
        <w:t>s</w:t>
      </w:r>
      <w:r w:rsidRPr="00BB11AF">
        <w:t>sé, opposées et complémentaires. Une première vision construit l'im</w:t>
      </w:r>
      <w:r w:rsidRPr="00BB11AF">
        <w:t>a</w:t>
      </w:r>
      <w:r w:rsidRPr="00BB11AF">
        <w:t>ge d'un passé odieux et</w:t>
      </w:r>
      <w:r>
        <w:t xml:space="preserve"> </w:t>
      </w:r>
      <w:r w:rsidRPr="00BB11AF">
        <w:t>[133]</w:t>
      </w:r>
      <w:r>
        <w:t xml:space="preserve"> </w:t>
      </w:r>
      <w:r w:rsidRPr="00BB11AF">
        <w:t>rejeté, qui établit une continuité et une identité politique, économique et idéologique entre la dictature mil</w:t>
      </w:r>
      <w:r w:rsidRPr="00BB11AF">
        <w:t>i</w:t>
      </w:r>
      <w:r w:rsidRPr="00BB11AF">
        <w:t>taire et la mise en place et le développement du modèle économique néolibéral dont le cor</w:t>
      </w:r>
      <w:r w:rsidRPr="00BB11AF">
        <w:t>o</w:t>
      </w:r>
      <w:r w:rsidRPr="00BB11AF">
        <w:t>laire se serait manifesté dans les années 1990 et, finalement, dans la crise de 2001. Ainsi, les trois dernières déce</w:t>
      </w:r>
      <w:r w:rsidRPr="00BB11AF">
        <w:t>n</w:t>
      </w:r>
      <w:r w:rsidRPr="00BB11AF">
        <w:t>nies sont-elles r</w:t>
      </w:r>
      <w:r w:rsidRPr="00BB11AF">
        <w:t>e</w:t>
      </w:r>
      <w:r w:rsidRPr="00BB11AF">
        <w:t>présentées dans le discours présidentiel comme un bloc temporel allant de 1976 à 2001, bloc qui établit une homolog</w:t>
      </w:r>
      <w:r w:rsidRPr="00BB11AF">
        <w:t>a</w:t>
      </w:r>
      <w:r w:rsidRPr="00BB11AF">
        <w:t>tion entre les pratiques dictatoriales et le modèle économique néolib</w:t>
      </w:r>
      <w:r w:rsidRPr="00BB11AF">
        <w:t>é</w:t>
      </w:r>
      <w:r w:rsidRPr="00BB11AF">
        <w:t>ral.</w:t>
      </w:r>
    </w:p>
    <w:p w:rsidR="003A3061" w:rsidRDefault="003A3061" w:rsidP="003A3061">
      <w:pPr>
        <w:pStyle w:val="Grillecouleur-Accent1"/>
      </w:pPr>
      <w:r w:rsidRPr="00BB11AF">
        <w:t xml:space="preserve">Nous vivons la fin d'un cycle, nous sommes en train de mettre fin à </w:t>
      </w:r>
      <w:r w:rsidRPr="00D44B4A">
        <w:rPr>
          <w:b/>
          <w:i/>
        </w:rPr>
        <w:t>un cycle qui a débuté en 1976 et qui a explosé, tout en nous entraînant au sous-sol en 2001</w:t>
      </w:r>
      <w:r w:rsidRPr="00BB11AF">
        <w:t xml:space="preserve"> (Kirchner 2003b ; notre traduction).</w:t>
      </w:r>
    </w:p>
    <w:p w:rsidR="003A3061" w:rsidRPr="00BB11AF" w:rsidRDefault="003A3061" w:rsidP="003A3061">
      <w:pPr>
        <w:pStyle w:val="Grillecouleur-Accent1"/>
      </w:pPr>
    </w:p>
    <w:p w:rsidR="003A3061" w:rsidRPr="00BB11AF" w:rsidRDefault="003A3061" w:rsidP="003A3061">
      <w:pPr>
        <w:spacing w:before="120" w:after="120"/>
        <w:jc w:val="both"/>
      </w:pPr>
      <w:r w:rsidRPr="00BB11AF">
        <w:t>Cette façon de représenter le passé récent est l'une des opérations discursives les plus efficaces mises en œuvre par le discours kirchn</w:t>
      </w:r>
      <w:r w:rsidRPr="00BB11AF">
        <w:t>e</w:t>
      </w:r>
      <w:r w:rsidRPr="00BB11AF">
        <w:t>riste pendant les premières années de ce gouvernement, car il reçoit une haute acceptation sociale : en fait, actuellement, l'idée que la di</w:t>
      </w:r>
      <w:r w:rsidRPr="00BB11AF">
        <w:t>c</w:t>
      </w:r>
      <w:r w:rsidRPr="00BB11AF">
        <w:t>tature argentine a été un régime « civique-militaire » est absolument répa</w:t>
      </w:r>
      <w:r w:rsidRPr="00BB11AF">
        <w:t>n</w:t>
      </w:r>
      <w:r w:rsidRPr="00BB11AF">
        <w:t>due et acceptée dans la société argentine. De même, les procès de personnalités de la société civile (membres de l'Église et de la pre</w:t>
      </w:r>
      <w:r w:rsidRPr="00BB11AF">
        <w:t>s</w:t>
      </w:r>
      <w:r w:rsidRPr="00BB11AF">
        <w:t>se, juges) en vertu de leur complicité - active ou passive - durant les années de plomb sont de plus en plus fr</w:t>
      </w:r>
      <w:r w:rsidRPr="00BB11AF">
        <w:t>é</w:t>
      </w:r>
      <w:r w:rsidRPr="00BB11AF">
        <w:t>quents.</w:t>
      </w:r>
    </w:p>
    <w:p w:rsidR="003A3061" w:rsidRPr="00BB11AF" w:rsidRDefault="003A3061" w:rsidP="003A3061">
      <w:pPr>
        <w:spacing w:before="120" w:after="120"/>
        <w:jc w:val="both"/>
      </w:pPr>
      <w:r w:rsidRPr="00BB11AF">
        <w:t>Certes, même si cette vision du passé n'est pas arbitraire, il faut toutefois signaler qu'elle est ancrée dans la sociologie et l'histoire éc</w:t>
      </w:r>
      <w:r w:rsidRPr="00BB11AF">
        <w:t>o</w:t>
      </w:r>
      <w:r w:rsidRPr="00BB11AF">
        <w:t>nomique</w:t>
      </w:r>
      <w:r>
        <w:t> </w:t>
      </w:r>
      <w:r>
        <w:rPr>
          <w:rStyle w:val="Appelnotedebasdep"/>
        </w:rPr>
        <w:footnoteReference w:id="89"/>
      </w:r>
      <w:r w:rsidRPr="00BB11AF">
        <w:t>. C'est en effet l'hypothèse de Svampa (2004b), qui in</w:t>
      </w:r>
      <w:r w:rsidRPr="00BB11AF">
        <w:t>s</w:t>
      </w:r>
      <w:r w:rsidRPr="00BB11AF">
        <w:t>crit le cycle de mobilisation exprimé dans la crise de l'année 2001 dans un long processus de démantèlement de la matrice fo</w:t>
      </w:r>
      <w:r w:rsidRPr="00BB11AF">
        <w:t>r</w:t>
      </w:r>
      <w:r w:rsidRPr="00BB11AF">
        <w:t>diste initié en 1976 puis approfondi au cours de la décennie néolibérale. Le discours ki</w:t>
      </w:r>
      <w:r w:rsidRPr="00BB11AF">
        <w:t>r</w:t>
      </w:r>
      <w:r w:rsidRPr="00BB11AF">
        <w:t>chneriste se forge sur cette idée et, ce fa</w:t>
      </w:r>
      <w:r w:rsidRPr="00BB11AF">
        <w:t>i</w:t>
      </w:r>
      <w:r w:rsidRPr="00BB11AF">
        <w:t>sant, construit un véritable récit officiel du passé.</w:t>
      </w:r>
    </w:p>
    <w:p w:rsidR="003A3061" w:rsidRPr="00BB11AF" w:rsidRDefault="003A3061" w:rsidP="003A3061">
      <w:pPr>
        <w:spacing w:before="120" w:after="120"/>
        <w:jc w:val="both"/>
      </w:pPr>
      <w:r w:rsidRPr="00BB11AF">
        <w:t>Compte tenu de cette première vision du passé, on peut en disti</w:t>
      </w:r>
      <w:r w:rsidRPr="00BB11AF">
        <w:t>n</w:t>
      </w:r>
      <w:r w:rsidRPr="00BB11AF">
        <w:t>guer une seconde, plus personnelle, subjective et proche du témoign</w:t>
      </w:r>
      <w:r w:rsidRPr="00BB11AF">
        <w:t>a</w:t>
      </w:r>
      <w:r w:rsidRPr="00BB11AF">
        <w:t>ge : il s'agit d'un autre passé, celui de l'activisme politique, évoqué sur un ton indéniablement romantique, affectif et émotio</w:t>
      </w:r>
      <w:r w:rsidRPr="00BB11AF">
        <w:t>n</w:t>
      </w:r>
      <w:r w:rsidRPr="00BB11AF">
        <w:t>nel. Dans ce cas, le discours présidentiel sélectionne et met en relief certaines c</w:t>
      </w:r>
      <w:r w:rsidRPr="00BB11AF">
        <w:t>a</w:t>
      </w:r>
      <w:r w:rsidRPr="00BB11AF">
        <w:t>ractérist</w:t>
      </w:r>
      <w:r w:rsidRPr="00BB11AF">
        <w:t>i</w:t>
      </w:r>
      <w:r w:rsidRPr="00BB11AF">
        <w:t>ques liées au monde de l'activisme politique, en particulier la mémoire de ses amis, les « héros » militants disparus, kidnappés, to</w:t>
      </w:r>
      <w:r w:rsidRPr="00BB11AF">
        <w:t>r</w:t>
      </w:r>
      <w:r w:rsidRPr="00BB11AF">
        <w:t>turés ou assassinés pendant la dernière di</w:t>
      </w:r>
      <w:r w:rsidRPr="00BB11AF">
        <w:t>c</w:t>
      </w:r>
      <w:r w:rsidRPr="00BB11AF">
        <w:t>tature.</w:t>
      </w:r>
    </w:p>
    <w:p w:rsidR="003A3061" w:rsidRDefault="003A3061" w:rsidP="003A3061">
      <w:pPr>
        <w:pStyle w:val="Grillecouleur-Accent1"/>
      </w:pPr>
    </w:p>
    <w:p w:rsidR="003A3061" w:rsidRPr="00BB11AF" w:rsidRDefault="003A3061" w:rsidP="003A3061">
      <w:pPr>
        <w:pStyle w:val="Grillecouleur-Accent1"/>
      </w:pPr>
      <w:r w:rsidRPr="00BB11AF">
        <w:t xml:space="preserve">Je fais partie d'une </w:t>
      </w:r>
      <w:r w:rsidRPr="00D44B4A">
        <w:rPr>
          <w:b/>
          <w:i/>
        </w:rPr>
        <w:t>génération décimée</w:t>
      </w:r>
      <w:r w:rsidRPr="00BB11AF">
        <w:t>, frappée par des absences do</w:t>
      </w:r>
      <w:r w:rsidRPr="00BB11AF">
        <w:t>u</w:t>
      </w:r>
      <w:r w:rsidRPr="00BB11AF">
        <w:t xml:space="preserve">loureuses ; j'ai rejoint la lutte politique en croyant à des </w:t>
      </w:r>
      <w:r w:rsidRPr="00D44B4A">
        <w:rPr>
          <w:b/>
          <w:i/>
        </w:rPr>
        <w:t>v</w:t>
      </w:r>
      <w:r w:rsidRPr="00D44B4A">
        <w:rPr>
          <w:b/>
          <w:i/>
        </w:rPr>
        <w:t>a</w:t>
      </w:r>
      <w:r w:rsidRPr="00D44B4A">
        <w:rPr>
          <w:b/>
          <w:i/>
        </w:rPr>
        <w:t>leurs et des convictions que je ne vais pas abandonner à la porte d'entrée de la Casa Rosada</w:t>
      </w:r>
    </w:p>
    <w:p w:rsidR="003A3061" w:rsidRDefault="003A3061" w:rsidP="003A3061">
      <w:pPr>
        <w:pStyle w:val="Grillecouleur-Accent1"/>
      </w:pPr>
      <w:r w:rsidRPr="00BB11AF">
        <w:t>Je ne crois pas à l'axiome selon lequel lorsqu'on est au gouvern</w:t>
      </w:r>
      <w:r w:rsidRPr="00BB11AF">
        <w:t>e</w:t>
      </w:r>
      <w:r w:rsidRPr="00BB11AF">
        <w:t>ment, on change la conviction pour le pragmatisme. Cela const</w:t>
      </w:r>
      <w:r w:rsidRPr="00BB11AF">
        <w:t>i</w:t>
      </w:r>
      <w:r w:rsidRPr="00BB11AF">
        <w:t>tue vraiment un exercice d'hypocrisie et de</w:t>
      </w:r>
      <w:r>
        <w:t xml:space="preserve"> </w:t>
      </w:r>
      <w:r w:rsidRPr="00BB11AF">
        <w:t>[134]</w:t>
      </w:r>
      <w:r>
        <w:t xml:space="preserve"> </w:t>
      </w:r>
      <w:r w:rsidRPr="00BB11AF">
        <w:t xml:space="preserve">cynisme. J'ai rêvé pendant toute ma vie que celui-ci, notre pays, pourrait changer pour le mieux. </w:t>
      </w:r>
      <w:r w:rsidRPr="00D44B4A">
        <w:rPr>
          <w:b/>
          <w:i/>
        </w:rPr>
        <w:t>Nous sommes a</w:t>
      </w:r>
      <w:r w:rsidRPr="00D44B4A">
        <w:rPr>
          <w:b/>
          <w:i/>
        </w:rPr>
        <w:t>r</w:t>
      </w:r>
      <w:r w:rsidRPr="00D44B4A">
        <w:rPr>
          <w:b/>
          <w:i/>
        </w:rPr>
        <w:t>rivés sans ranc</w:t>
      </w:r>
      <w:r w:rsidRPr="00D44B4A">
        <w:rPr>
          <w:b/>
          <w:i/>
        </w:rPr>
        <w:t>u</w:t>
      </w:r>
      <w:r w:rsidRPr="00D44B4A">
        <w:rPr>
          <w:b/>
          <w:i/>
        </w:rPr>
        <w:t>ne</w:t>
      </w:r>
      <w:r w:rsidRPr="00BB11AF">
        <w:t xml:space="preserve">, mais </w:t>
      </w:r>
      <w:r w:rsidRPr="00D44B4A">
        <w:rPr>
          <w:b/>
          <w:i/>
        </w:rPr>
        <w:t>avec de la mémoire</w:t>
      </w:r>
      <w:r>
        <w:t>,</w:t>
      </w:r>
      <w:r w:rsidRPr="00BB11AF">
        <w:t xml:space="preserve"> Mémoire non seulement sur les erreurs et les horreurs de l'autre, mais également sur nos propres e</w:t>
      </w:r>
      <w:r w:rsidRPr="00BB11AF">
        <w:t>r</w:t>
      </w:r>
      <w:r w:rsidRPr="00BB11AF">
        <w:t>reurs. Mémoire sans rancœur, c'est l'apprentissage politique, le bilan hist</w:t>
      </w:r>
      <w:r w:rsidRPr="00BB11AF">
        <w:t>o</w:t>
      </w:r>
      <w:r w:rsidRPr="00BB11AF">
        <w:t>rique et le défi actuel du gouvernement (Kirchner 2003a ; notre tradu</w:t>
      </w:r>
      <w:r w:rsidRPr="00BB11AF">
        <w:t>c</w:t>
      </w:r>
      <w:r w:rsidRPr="00BB11AF">
        <w:t>tion).</w:t>
      </w:r>
    </w:p>
    <w:p w:rsidR="003A3061" w:rsidRPr="00BB11AF" w:rsidRDefault="003A3061" w:rsidP="003A3061">
      <w:pPr>
        <w:pStyle w:val="Grillecouleur-Accent1"/>
      </w:pPr>
    </w:p>
    <w:p w:rsidR="003A3061" w:rsidRPr="00BB11AF" w:rsidRDefault="003A3061" w:rsidP="003A3061">
      <w:pPr>
        <w:spacing w:before="120" w:after="120"/>
        <w:jc w:val="both"/>
      </w:pPr>
      <w:r w:rsidRPr="00BB11AF">
        <w:t>Cette deuxième opération discursive entraîne au moins deux cons</w:t>
      </w:r>
      <w:r w:rsidRPr="00BB11AF">
        <w:t>é</w:t>
      </w:r>
      <w:r w:rsidRPr="00BB11AF">
        <w:t>quences. D'abord, elle favorise l'identification d'un ennemi commun (la dictature, le néolibéralisme, bref la répression polit</w:t>
      </w:r>
      <w:r w:rsidRPr="00BB11AF">
        <w:t>i</w:t>
      </w:r>
      <w:r w:rsidRPr="00BB11AF">
        <w:t>que, mais aussi économique) à tous les secteurs mobilisés (les organis</w:t>
      </w:r>
      <w:r w:rsidRPr="00BB11AF">
        <w:t>a</w:t>
      </w:r>
      <w:r w:rsidRPr="00BB11AF">
        <w:t>tions sociales, les classes moyennes, les organismes de droits de l'homme). Ensuite, elle propose une lecture « épique » des luttes p</w:t>
      </w:r>
      <w:r w:rsidRPr="00BB11AF">
        <w:t>o</w:t>
      </w:r>
      <w:r w:rsidRPr="00BB11AF">
        <w:t>pulaires (Aboy Cariés 2011) - et surtout des luttes qui se sont dév</w:t>
      </w:r>
      <w:r w:rsidRPr="00BB11AF">
        <w:t>e</w:t>
      </w:r>
      <w:r w:rsidRPr="00BB11AF">
        <w:t>loppées lors de l'explosion de décembre 2001 - qui relie les actions héro</w:t>
      </w:r>
      <w:r w:rsidRPr="00BB11AF">
        <w:t>ï</w:t>
      </w:r>
      <w:r w:rsidRPr="00BB11AF">
        <w:t>ques des années 1970 à un appel à l'activisme et à la mobilisation politique du présent et qui, par ce biais, donne une signification no</w:t>
      </w:r>
      <w:r w:rsidRPr="00BB11AF">
        <w:t>u</w:t>
      </w:r>
      <w:r w:rsidRPr="00BB11AF">
        <w:t>velle aux mobilisations de décembre 2001.</w:t>
      </w:r>
    </w:p>
    <w:p w:rsidR="003A3061" w:rsidRPr="00BB11AF" w:rsidRDefault="003A3061" w:rsidP="003A3061">
      <w:pPr>
        <w:spacing w:before="120" w:after="120"/>
        <w:jc w:val="both"/>
      </w:pPr>
      <w:r w:rsidRPr="00BB11AF">
        <w:t>3. Troisièmement, le kirchnerisme a remis en question la division entre le social et le politique, et il a encouragé un processus croi</w:t>
      </w:r>
      <w:r w:rsidRPr="00BB11AF">
        <w:t>s</w:t>
      </w:r>
      <w:r w:rsidRPr="00BB11AF">
        <w:t>sant de politisation de différentes sphères ; à savoir la justice, l'économie et la presse. Cette opération implique un profond questionnement des crit</w:t>
      </w:r>
      <w:r w:rsidRPr="00BB11AF">
        <w:t>è</w:t>
      </w:r>
      <w:r w:rsidRPr="00BB11AF">
        <w:t>res d'évaluation de la crise argentine et une mise en avant du rôle de l'État et de l'autorité politique en tant qu'agents au cœur de la con</w:t>
      </w:r>
      <w:r w:rsidRPr="00BB11AF">
        <w:t>s</w:t>
      </w:r>
      <w:r w:rsidRPr="00BB11AF">
        <w:t>tit</w:t>
      </w:r>
      <w:r w:rsidRPr="00BB11AF">
        <w:t>u</w:t>
      </w:r>
      <w:r w:rsidRPr="00BB11AF">
        <w:t>tion d'une nouvelle communauté politique.</w:t>
      </w:r>
    </w:p>
    <w:p w:rsidR="003A3061" w:rsidRPr="00BB11AF" w:rsidRDefault="003A3061" w:rsidP="003A3061">
      <w:pPr>
        <w:spacing w:before="120" w:after="120"/>
        <w:jc w:val="both"/>
      </w:pPr>
      <w:r w:rsidRPr="00BB11AF">
        <w:t>Ainsi, ce « changement de paradigme » proposé par Kirchner dans son discours d'investiture, visant à redéfinir les critères mêmes de m</w:t>
      </w:r>
      <w:r w:rsidRPr="00BB11AF">
        <w:t>e</w:t>
      </w:r>
      <w:r w:rsidRPr="00BB11AF">
        <w:t>sure du succès en matière de gestion politique, exige un nouvel ex</w:t>
      </w:r>
      <w:r w:rsidRPr="00BB11AF">
        <w:t>a</w:t>
      </w:r>
      <w:r w:rsidRPr="00BB11AF">
        <w:t>men de là portée politique des processus sociaux, judiciaires, écon</w:t>
      </w:r>
      <w:r w:rsidRPr="00BB11AF">
        <w:t>o</w:t>
      </w:r>
      <w:r w:rsidRPr="00BB11AF">
        <w:t>miques, médiatiques, etc. Si, selon la perspective pr</w:t>
      </w:r>
      <w:r w:rsidRPr="00BB11AF">
        <w:t>é</w:t>
      </w:r>
      <w:r w:rsidRPr="00BB11AF">
        <w:t>sidentielle, dans les années 1980 l'accent était mis sur le simple maintien de l'État de droit en tant qu'ensemble de procédés et d'in</w:t>
      </w:r>
      <w:r w:rsidRPr="00BB11AF">
        <w:t>s</w:t>
      </w:r>
      <w:r w:rsidRPr="00BB11AF">
        <w:t>titutions ; si durant les années 1990 il suffisait de garantir la stabilité économique au détr</w:t>
      </w:r>
      <w:r w:rsidRPr="00BB11AF">
        <w:t>i</w:t>
      </w:r>
      <w:r w:rsidRPr="00BB11AF">
        <w:t>ment des droits sociaux et politiques en concevant la politique comme un terrain purement administratif ; si, finalement, le gouvernement de l'Alianza n'avait été centré que sur le problème de la transparence et de la corruption, le nouveau président, lui, affirmait que :</w:t>
      </w:r>
    </w:p>
    <w:p w:rsidR="003A3061" w:rsidRDefault="003A3061" w:rsidP="003A3061">
      <w:pPr>
        <w:pStyle w:val="Grillecouleur-Accent1"/>
      </w:pPr>
    </w:p>
    <w:p w:rsidR="003A3061" w:rsidRDefault="003A3061" w:rsidP="003A3061">
      <w:pPr>
        <w:pStyle w:val="Grillecouleur-Accent1"/>
      </w:pPr>
      <w:r w:rsidRPr="00BB11AF">
        <w:t xml:space="preserve">En ce nouveau millénaire, afin de surmonter le passé, </w:t>
      </w:r>
      <w:r w:rsidRPr="00D44B4A">
        <w:rPr>
          <w:b/>
          <w:i/>
        </w:rPr>
        <w:t>le succès des p</w:t>
      </w:r>
      <w:r w:rsidRPr="00D44B4A">
        <w:rPr>
          <w:b/>
          <w:i/>
        </w:rPr>
        <w:t>o</w:t>
      </w:r>
      <w:r w:rsidRPr="00D44B4A">
        <w:rPr>
          <w:b/>
          <w:i/>
        </w:rPr>
        <w:t>litiques devra être mesuré sur d'autres paramètres en fonction de no</w:t>
      </w:r>
      <w:r w:rsidRPr="00D44B4A">
        <w:rPr>
          <w:b/>
          <w:i/>
        </w:rPr>
        <w:t>u</w:t>
      </w:r>
      <w:r w:rsidRPr="00D44B4A">
        <w:rPr>
          <w:b/>
          <w:i/>
        </w:rPr>
        <w:t>veaux paradigmes</w:t>
      </w:r>
      <w:r w:rsidRPr="00BB11AF">
        <w:t>. Elles devront être jugées en fonction de leur proximité avec la finalité principale de concrétiser le bien commun, en ajoutant au plein fonctionnement de l'État de droit et avec l'application d'une démocr</w:t>
      </w:r>
      <w:r w:rsidRPr="00BB11AF">
        <w:t>a</w:t>
      </w:r>
      <w:r w:rsidRPr="00BB11AF">
        <w:t>tie effective, la bonne gouverna</w:t>
      </w:r>
      <w:r w:rsidRPr="00BB11AF">
        <w:t>n</w:t>
      </w:r>
      <w:r w:rsidRPr="00BB11AF">
        <w:t>ce, l'exercice effectif du pouvoir politique n</w:t>
      </w:r>
      <w:r w:rsidRPr="00BB11AF">
        <w:t>a</w:t>
      </w:r>
      <w:r w:rsidRPr="00BB11AF">
        <w:t xml:space="preserve">tional [...]. </w:t>
      </w:r>
      <w:r w:rsidRPr="00D44B4A">
        <w:rPr>
          <w:b/>
          <w:i/>
        </w:rPr>
        <w:t>Le succès va être mesuré à partir de la capacité, de</w:t>
      </w:r>
      <w:r>
        <w:rPr>
          <w:b/>
        </w:rPr>
        <w:t xml:space="preserve"> </w:t>
      </w:r>
      <w:r>
        <w:t xml:space="preserve"> </w:t>
      </w:r>
      <w:r w:rsidRPr="00BB11AF">
        <w:t>[135]</w:t>
      </w:r>
      <w:r>
        <w:t xml:space="preserve"> </w:t>
      </w:r>
      <w:r w:rsidRPr="00D44B4A">
        <w:rPr>
          <w:b/>
          <w:i/>
        </w:rPr>
        <w:t>la décision et de l'efficacité pour faire face aux changements. S'achève en Argentine une manière d'exercer la politique et de me</w:t>
      </w:r>
      <w:r w:rsidRPr="00D44B4A">
        <w:rPr>
          <w:b/>
          <w:i/>
        </w:rPr>
        <w:t>t</w:t>
      </w:r>
      <w:r w:rsidRPr="00D44B4A">
        <w:rPr>
          <w:b/>
          <w:i/>
        </w:rPr>
        <w:t>tre l'État en cause</w:t>
      </w:r>
      <w:r w:rsidRPr="00BB11AF">
        <w:t xml:space="preserve"> [...]. </w:t>
      </w:r>
      <w:r w:rsidRPr="00D44B4A">
        <w:rPr>
          <w:b/>
          <w:i/>
        </w:rPr>
        <w:t>La présence ou l'absence de l'État implique toute une attitude pol</w:t>
      </w:r>
      <w:r w:rsidRPr="00D44B4A">
        <w:rPr>
          <w:b/>
          <w:i/>
        </w:rPr>
        <w:t>i</w:t>
      </w:r>
      <w:r w:rsidRPr="00D44B4A">
        <w:rPr>
          <w:b/>
          <w:i/>
        </w:rPr>
        <w:t>tique</w:t>
      </w:r>
      <w:r w:rsidRPr="00BB11AF">
        <w:t xml:space="preserve"> (Kirchner 2003a ; notre traduction).</w:t>
      </w:r>
    </w:p>
    <w:p w:rsidR="003A3061" w:rsidRPr="00BB11AF" w:rsidRDefault="003A3061" w:rsidP="003A3061">
      <w:pPr>
        <w:pStyle w:val="Grillecouleur-Accent1"/>
      </w:pPr>
    </w:p>
    <w:p w:rsidR="003A3061" w:rsidRPr="00BB11AF" w:rsidRDefault="003A3061" w:rsidP="003A3061">
      <w:pPr>
        <w:spacing w:before="120" w:after="120"/>
        <w:jc w:val="both"/>
      </w:pPr>
      <w:r w:rsidRPr="00BB11AF">
        <w:t>Alors que les approches évaluant la crise comme une débâcle fo</w:t>
      </w:r>
      <w:r w:rsidRPr="00BB11AF">
        <w:t>n</w:t>
      </w:r>
      <w:r w:rsidRPr="00BB11AF">
        <w:t>d</w:t>
      </w:r>
      <w:r w:rsidRPr="00BB11AF">
        <w:t>a</w:t>
      </w:r>
      <w:r w:rsidRPr="00BB11AF">
        <w:t>mentalement institutionnelle mettaient l'accent sur le plan politique au sens étroit - comme simple État de droit ou comme sphère de go</w:t>
      </w:r>
      <w:r w:rsidRPr="00BB11AF">
        <w:t>u</w:t>
      </w:r>
      <w:r w:rsidRPr="00BB11AF">
        <w:t>ve</w:t>
      </w:r>
      <w:r w:rsidRPr="00BB11AF">
        <w:t>r</w:t>
      </w:r>
      <w:r w:rsidRPr="00BB11AF">
        <w:t>nement, de représentation politique et d'administration efficace -, Ki</w:t>
      </w:r>
      <w:r w:rsidRPr="00BB11AF">
        <w:t>r</w:t>
      </w:r>
      <w:r w:rsidRPr="00BB11AF">
        <w:t>chner multipliera les sens associés au politique, en incluant les convictions, les idéaux, l'activisme, la décision et la volonté de tran</w:t>
      </w:r>
      <w:r w:rsidRPr="00BB11AF">
        <w:t>s</w:t>
      </w:r>
      <w:r w:rsidRPr="00BB11AF">
        <w:t>formation en vue d'un « bien commun » qu'il se figure comme l'hor</w:t>
      </w:r>
      <w:r w:rsidRPr="00BB11AF">
        <w:t>i</w:t>
      </w:r>
      <w:r w:rsidRPr="00BB11AF">
        <w:t>zon u</w:t>
      </w:r>
      <w:r w:rsidRPr="00BB11AF">
        <w:t>l</w:t>
      </w:r>
      <w:r w:rsidRPr="00BB11AF">
        <w:t>time du politique. Le temps inauguré par Kirchner sera en effet le temps de la prééminence des valeurs et des convictions, celui de la fin des neutralités, de la prise de p</w:t>
      </w:r>
      <w:r w:rsidRPr="00BB11AF">
        <w:t>o</w:t>
      </w:r>
      <w:r w:rsidRPr="00BB11AF">
        <w:t>sition, de la décision placées au-dessus de la pure et simple adm</w:t>
      </w:r>
      <w:r w:rsidRPr="00BB11AF">
        <w:t>i</w:t>
      </w:r>
      <w:r w:rsidRPr="00BB11AF">
        <w:t>nistration (Barros 2006 ; Biglieri et Perellό 2005), bref du retour de l'État à sa fonction de régulateur et d'organisateur du social.</w:t>
      </w:r>
    </w:p>
    <w:p w:rsidR="003A3061" w:rsidRDefault="003A3061" w:rsidP="003A3061">
      <w:pPr>
        <w:spacing w:before="120" w:after="120"/>
        <w:jc w:val="both"/>
      </w:pPr>
    </w:p>
    <w:p w:rsidR="003A3061" w:rsidRPr="00BB11AF" w:rsidRDefault="003A3061" w:rsidP="003A3061">
      <w:pPr>
        <w:spacing w:before="120" w:after="120"/>
        <w:jc w:val="both"/>
      </w:pPr>
      <w:r w:rsidRPr="00BB11AF">
        <w:t>4. Finalement, à cet élargissement du champ du politique - qui i</w:t>
      </w:r>
      <w:r w:rsidRPr="00BB11AF">
        <w:t>m</w:t>
      </w:r>
      <w:r w:rsidRPr="00BB11AF">
        <w:t>plique un réajustement du rôle de l'État - va s'ajouter un processus de politisation du social. En effet, le kirchnerisme met en œuvre un ra</w:t>
      </w:r>
      <w:r w:rsidRPr="00BB11AF">
        <w:t>p</w:t>
      </w:r>
      <w:r w:rsidRPr="00BB11AF">
        <w:t>port très particulier avec les mouvements sociaux existants - c'est-à-dire les piqueteros, mais aussi les classes moyennes mobilisées et les organismes de droits de l'homme</w:t>
      </w:r>
      <w:r>
        <w:t xml:space="preserve"> </w:t>
      </w:r>
      <w:r w:rsidRPr="00BB11AF">
        <w:t>-</w:t>
      </w:r>
      <w:r>
        <w:t xml:space="preserve"> </w:t>
      </w:r>
      <w:r w:rsidRPr="00BB11AF">
        <w:t>et en même temps il « crée », de façon « performative », de nouveaux espaces d'activisme politique (Retamozo 2011 ; Pérez et Natalucci 2012). Par ailleurs, Kirchner pr</w:t>
      </w:r>
      <w:r w:rsidRPr="00BB11AF">
        <w:t>o</w:t>
      </w:r>
      <w:r w:rsidRPr="00BB11AF">
        <w:t>meut un processus de fragmentation des mouvements sociaux qui conduit, d'une part, à l'inclusion/cooptation de certains d'entre eux (en particulier ceux interpelés par le discours national-populaire et adh</w:t>
      </w:r>
      <w:r w:rsidRPr="00BB11AF">
        <w:t>é</w:t>
      </w:r>
      <w:r w:rsidRPr="00BB11AF">
        <w:t>rant au principe, d'origine péroniste, de la centralité de l'État) et, d'a</w:t>
      </w:r>
      <w:r w:rsidRPr="00BB11AF">
        <w:t>u</w:t>
      </w:r>
      <w:r w:rsidRPr="00BB11AF">
        <w:t>tre part, à l'isolement de certains autres (généralement situés, s</w:t>
      </w:r>
      <w:r w:rsidRPr="00BB11AF">
        <w:t>e</w:t>
      </w:r>
      <w:r w:rsidRPr="00BB11AF">
        <w:t>lon le discours présidentiel, du côté des extrémistes, des provocateurs et des radical</w:t>
      </w:r>
      <w:r w:rsidRPr="00BB11AF">
        <w:t>i</w:t>
      </w:r>
      <w:r w:rsidRPr="00BB11AF">
        <w:t>sés) à travers la persécution et la répression de plusieurs de leurs m</w:t>
      </w:r>
      <w:r w:rsidRPr="00BB11AF">
        <w:t>a</w:t>
      </w:r>
      <w:r w:rsidRPr="00BB11AF">
        <w:t>nifestations. Tandis que le gouvernement entretient vis-à-vis de ces derniers une politique explicite de ségrégation et de stigmatis</w:t>
      </w:r>
      <w:r w:rsidRPr="00BB11AF">
        <w:t>a</w:t>
      </w:r>
      <w:r w:rsidRPr="00BB11AF">
        <w:t>tion, nous pouvons affirmer que le premier geste - celui de l'incl</w:t>
      </w:r>
      <w:r w:rsidRPr="00BB11AF">
        <w:t>u</w:t>
      </w:r>
      <w:r w:rsidRPr="00BB11AF">
        <w:t>sion/cooptation - visait l'articulation et la politisation des revendic</w:t>
      </w:r>
      <w:r w:rsidRPr="00BB11AF">
        <w:t>a</w:t>
      </w:r>
      <w:r w:rsidRPr="00BB11AF">
        <w:t>tions.</w:t>
      </w:r>
    </w:p>
    <w:p w:rsidR="003A3061" w:rsidRPr="00BB11AF" w:rsidRDefault="003A3061" w:rsidP="003A3061">
      <w:pPr>
        <w:spacing w:before="120" w:after="120"/>
        <w:jc w:val="both"/>
      </w:pPr>
      <w:r w:rsidRPr="00BB11AF">
        <w:t xml:space="preserve">      La principale conséquence de ce mode opératoire est que les mo</w:t>
      </w:r>
      <w:r w:rsidRPr="00BB11AF">
        <w:t>u</w:t>
      </w:r>
      <w:r w:rsidRPr="00BB11AF">
        <w:t>vements sociaux se sont vu être fragmentés autour de nouveaux cliv</w:t>
      </w:r>
      <w:r w:rsidRPr="00BB11AF">
        <w:t>a</w:t>
      </w:r>
      <w:r w:rsidRPr="00BB11AF">
        <w:t>ges : l'adhésion ou le rejet des politiques gouvernementales, le mai</w:t>
      </w:r>
      <w:r w:rsidRPr="00BB11AF">
        <w:t>n</w:t>
      </w:r>
      <w:r w:rsidRPr="00BB11AF">
        <w:t>tien de l'autonomie ou la coordination avec l'État, etc. Comme le su</w:t>
      </w:r>
      <w:r w:rsidRPr="00BB11AF">
        <w:t>g</w:t>
      </w:r>
      <w:r w:rsidRPr="00BB11AF">
        <w:t>gèrent Pérez et Natalucci,</w:t>
      </w:r>
    </w:p>
    <w:p w:rsidR="003A3061" w:rsidRDefault="003A3061" w:rsidP="003A3061">
      <w:pPr>
        <w:spacing w:before="120" w:after="120"/>
        <w:jc w:val="both"/>
      </w:pPr>
      <w:r w:rsidRPr="00BB11AF">
        <w:t>[136]</w:t>
      </w:r>
    </w:p>
    <w:p w:rsidR="003A3061" w:rsidRPr="00BB11AF" w:rsidRDefault="003A3061" w:rsidP="003A3061">
      <w:pPr>
        <w:spacing w:before="120" w:after="120"/>
        <w:jc w:val="both"/>
      </w:pPr>
    </w:p>
    <w:p w:rsidR="003A3061" w:rsidRDefault="003A3061" w:rsidP="003A3061">
      <w:pPr>
        <w:pStyle w:val="Grillecouleur-Accent1"/>
      </w:pPr>
      <w:r w:rsidRPr="00BB11AF">
        <w:t xml:space="preserve">À propos de ces différences, l'espace </w:t>
      </w:r>
      <w:r w:rsidRPr="00BB11AF">
        <w:rPr>
          <w:bCs/>
          <w:i/>
        </w:rPr>
        <w:t>piquetero</w:t>
      </w:r>
      <w:r w:rsidRPr="00BB11AF">
        <w:t xml:space="preserve"> s'est cassé, condu</w:t>
      </w:r>
      <w:r w:rsidRPr="00BB11AF">
        <w:t>i</w:t>
      </w:r>
      <w:r w:rsidRPr="00BB11AF">
        <w:t>sant à la for</w:t>
      </w:r>
      <w:r w:rsidRPr="00D44B4A">
        <w:t>m</w:t>
      </w:r>
      <w:r w:rsidRPr="00BB11AF">
        <w:t>ation de différents fronts d'organisations proches du gouvern</w:t>
      </w:r>
      <w:r w:rsidRPr="00BB11AF">
        <w:t>e</w:t>
      </w:r>
      <w:r w:rsidRPr="00BB11AF">
        <w:t xml:space="preserve">ment. Dans ce regroupement, l'identité </w:t>
      </w:r>
      <w:r w:rsidRPr="00BB11AF">
        <w:rPr>
          <w:bCs/>
          <w:i/>
        </w:rPr>
        <w:t>piquetera</w:t>
      </w:r>
      <w:r w:rsidRPr="00BB11AF">
        <w:t xml:space="preserve"> a cédé la place à la repr</w:t>
      </w:r>
      <w:r w:rsidRPr="00BB11AF">
        <w:t>i</w:t>
      </w:r>
      <w:r w:rsidRPr="00BB11AF">
        <w:t>se d'une tradition populaire marquant la clôture du c</w:t>
      </w:r>
      <w:r w:rsidRPr="00BB11AF">
        <w:t>y</w:t>
      </w:r>
      <w:r w:rsidRPr="00BB11AF">
        <w:t>cle de la résistance aux réformes du marché et aspirant à l'articulation des organisations terr</w:t>
      </w:r>
      <w:r w:rsidRPr="00BB11AF">
        <w:t>i</w:t>
      </w:r>
      <w:r w:rsidRPr="00BB11AF">
        <w:t>toriales avec l'intervention politique et instit</w:t>
      </w:r>
      <w:r w:rsidRPr="00BB11AF">
        <w:t>u</w:t>
      </w:r>
      <w:r w:rsidRPr="00BB11AF">
        <w:t>tionnelle (Pérez et Natalucci 2012 : 10 ; n</w:t>
      </w:r>
      <w:r w:rsidRPr="00BB11AF">
        <w:t>o</w:t>
      </w:r>
      <w:r w:rsidRPr="00BB11AF">
        <w:t>tre traduction).</w:t>
      </w:r>
    </w:p>
    <w:p w:rsidR="003A3061" w:rsidRPr="00BB11AF" w:rsidRDefault="003A3061" w:rsidP="003A3061">
      <w:pPr>
        <w:pStyle w:val="Grillecouleur-Accent1"/>
      </w:pPr>
    </w:p>
    <w:p w:rsidR="003A3061" w:rsidRPr="00BB11AF" w:rsidRDefault="003A3061" w:rsidP="003A3061">
      <w:pPr>
        <w:spacing w:before="120" w:after="120"/>
        <w:jc w:val="both"/>
      </w:pPr>
      <w:r w:rsidRPr="00BB11AF">
        <w:t>Lors des émeutes de décembre 2001 menées par les mouvements sociaux, le discours kirchneriste a cependant reconnu l'existence de subjectivités fragmentées et la rupture du lien social, raison pour l</w:t>
      </w:r>
      <w:r w:rsidRPr="00BB11AF">
        <w:t>a</w:t>
      </w:r>
      <w:r w:rsidRPr="00BB11AF">
        <w:t>quelle il entreprend non seulement une recomposition de l'autorité p</w:t>
      </w:r>
      <w:r w:rsidRPr="00BB11AF">
        <w:t>o</w:t>
      </w:r>
      <w:r w:rsidRPr="00BB11AF">
        <w:t>litique, mais aussi, et surtout, une réorganisation et une réorientation politique de ces « multitudes » mobilisées. Pour ce faire, le kirchn</w:t>
      </w:r>
      <w:r w:rsidRPr="00BB11AF">
        <w:t>e</w:t>
      </w:r>
      <w:r w:rsidRPr="00BB11AF">
        <w:t>risme a transformé le caractère purement « social » des revendications en mot d'ordre et en discours de nature politique, « politisant » ainsi les ex</w:t>
      </w:r>
      <w:r w:rsidRPr="00BB11AF">
        <w:t>i</w:t>
      </w:r>
      <w:r w:rsidRPr="00BB11AF">
        <w:t>gences et les actions publiques. Celles-ci se sont alliées à une mémoire plus large, ce qui a impliqué un retour à certaines lignes d</w:t>
      </w:r>
      <w:r w:rsidRPr="00BB11AF">
        <w:t>i</w:t>
      </w:r>
      <w:r w:rsidRPr="00BB11AF">
        <w:t>rectrices de la tradition n</w:t>
      </w:r>
      <w:r w:rsidRPr="00BB11AF">
        <w:t>a</w:t>
      </w:r>
      <w:r w:rsidRPr="00BB11AF">
        <w:t>tionale-populaire du péronisme (Svampa 2011) et à une affirmation de l'État, des institutions et de l'autorité p</w:t>
      </w:r>
      <w:r w:rsidRPr="00BB11AF">
        <w:t>o</w:t>
      </w:r>
      <w:r w:rsidRPr="00BB11AF">
        <w:t>litique en tant qu'instances légitimes d'organisation de la communauté pol</w:t>
      </w:r>
      <w:r w:rsidRPr="00BB11AF">
        <w:t>i</w:t>
      </w:r>
      <w:r w:rsidRPr="00BB11AF">
        <w:t>tique.</w:t>
      </w:r>
    </w:p>
    <w:p w:rsidR="003A3061" w:rsidRPr="00BB11AF" w:rsidRDefault="003A3061" w:rsidP="003A3061">
      <w:pPr>
        <w:spacing w:before="120" w:after="120"/>
        <w:jc w:val="both"/>
      </w:pPr>
      <w:r w:rsidRPr="00BB11AF">
        <w:t xml:space="preserve">En novembre 2003, durant un discours public qui avait lieu en même temps qu'un barrage </w:t>
      </w:r>
      <w:r w:rsidRPr="00BB11AF">
        <w:rPr>
          <w:i/>
        </w:rPr>
        <w:t>piquetero</w:t>
      </w:r>
      <w:r w:rsidRPr="00BB11AF">
        <w:t xml:space="preserve"> sur le Pont Pueyrredόn (Bu</w:t>
      </w:r>
      <w:r w:rsidRPr="00BB11AF">
        <w:t>e</w:t>
      </w:r>
      <w:r w:rsidRPr="00BB11AF">
        <w:t>nos Aires), Kirchner faisait référence à la nature de la crise de 2001 et a</w:t>
      </w:r>
      <w:r w:rsidRPr="00BB11AF">
        <w:t>t</w:t>
      </w:r>
      <w:r w:rsidRPr="00BB11AF">
        <w:t>tribuait de nouvelles significations à l'« explosion civique » :</w:t>
      </w:r>
    </w:p>
    <w:p w:rsidR="003A3061" w:rsidRDefault="003A3061" w:rsidP="003A3061">
      <w:pPr>
        <w:pStyle w:val="Grillecouleur-Accent1"/>
      </w:pPr>
    </w:p>
    <w:p w:rsidR="003A3061" w:rsidRPr="00BB11AF" w:rsidRDefault="003A3061" w:rsidP="003A3061">
      <w:pPr>
        <w:pStyle w:val="Grillecouleur-Accent1"/>
      </w:pPr>
      <w:r w:rsidRPr="00BB11AF">
        <w:t>Ceux qui croient que l'explosion civique de décembre 2001 n'a été qu'une expression de mécontentement de la citoyenneté due au ma</w:t>
      </w:r>
      <w:r w:rsidRPr="00BB11AF">
        <w:t>n</w:t>
      </w:r>
      <w:r w:rsidRPr="00BB11AF">
        <w:t>que de réponse des dirigeants politiques par rapport aux problèmes qu'elle subi</w:t>
      </w:r>
      <w:r w:rsidRPr="00BB11AF">
        <w:t>s</w:t>
      </w:r>
      <w:r w:rsidRPr="00BB11AF">
        <w:t xml:space="preserve">sait se trompent. Ces jours-là, une réclamation citoyenne s'est exprimée dans une dimension publique spectaculaire, </w:t>
      </w:r>
      <w:r w:rsidRPr="00D44B4A">
        <w:rPr>
          <w:b/>
          <w:i/>
        </w:rPr>
        <w:t>qui d</w:t>
      </w:r>
      <w:r w:rsidRPr="00D44B4A">
        <w:rPr>
          <w:b/>
          <w:i/>
        </w:rPr>
        <w:t>e</w:t>
      </w:r>
      <w:r w:rsidRPr="00D44B4A">
        <w:rPr>
          <w:b/>
          <w:i/>
        </w:rPr>
        <w:t>mandait et demande encore à la démocratie un projet n</w:t>
      </w:r>
      <w:r w:rsidRPr="00D44B4A">
        <w:rPr>
          <w:b/>
          <w:i/>
        </w:rPr>
        <w:t>a</w:t>
      </w:r>
      <w:r w:rsidRPr="00D44B4A">
        <w:rPr>
          <w:b/>
          <w:i/>
        </w:rPr>
        <w:t>tional qui nous contienne tous les Argentins</w:t>
      </w:r>
      <w:r w:rsidRPr="00BB11AF">
        <w:t>.</w:t>
      </w:r>
    </w:p>
    <w:p w:rsidR="003A3061" w:rsidRPr="00BB11AF" w:rsidRDefault="003A3061" w:rsidP="003A3061">
      <w:pPr>
        <w:pStyle w:val="Grillecouleur-Accent1"/>
      </w:pPr>
      <w:r w:rsidRPr="00BB11AF">
        <w:t>On a demandé un modèle politique et économique capable de régén</w:t>
      </w:r>
      <w:r w:rsidRPr="00BB11AF">
        <w:t>é</w:t>
      </w:r>
      <w:r w:rsidRPr="00BB11AF">
        <w:t>rer la qualité des institutions de la République, de mettre fin aux abus, à la corruption, à la concentration excessive de la riche</w:t>
      </w:r>
      <w:r w:rsidRPr="00BB11AF">
        <w:t>s</w:t>
      </w:r>
      <w:r w:rsidRPr="00BB11AF">
        <w:t xml:space="preserve">se, [un modèle] qui, </w:t>
      </w:r>
      <w:r w:rsidRPr="00D44B4A">
        <w:rPr>
          <w:b/>
          <w:i/>
        </w:rPr>
        <w:t>en réconciliant l'État et la société</w:t>
      </w:r>
      <w:r w:rsidRPr="00BB11AF">
        <w:t>, laisse de côté l'excl</w:t>
      </w:r>
      <w:r w:rsidRPr="00BB11AF">
        <w:t>u</w:t>
      </w:r>
      <w:r w:rsidRPr="00BB11AF">
        <w:t>sion sociale, nous éloigne de la pauvreté, met en œuvre la production et récupère le travail comme seule forme digne de développement dans une société moderne.</w:t>
      </w:r>
    </w:p>
    <w:p w:rsidR="003A3061" w:rsidRDefault="003A3061" w:rsidP="003A3061">
      <w:pPr>
        <w:pStyle w:val="Grillecouleur-Accent1"/>
      </w:pPr>
      <w:r w:rsidRPr="00BB11AF">
        <w:t>Ceux qui croient que ce cri était adressé à d'autres personnes se tro</w:t>
      </w:r>
      <w:r w:rsidRPr="00BB11AF">
        <w:t>m</w:t>
      </w:r>
      <w:r w:rsidRPr="00BB11AF">
        <w:t>pent aussi. C'était une exigence que ne doivent pas cesser d'éco</w:t>
      </w:r>
      <w:r w:rsidRPr="00BB11AF">
        <w:t>u</w:t>
      </w:r>
      <w:r w:rsidRPr="00BB11AF">
        <w:t>ter ceux qui se considèrent comme faisant partie de l'histoire. Nous voulons cont</w:t>
      </w:r>
      <w:r w:rsidRPr="00BB11AF">
        <w:t>i</w:t>
      </w:r>
      <w:r w:rsidRPr="00BB11AF">
        <w:t>nuer à écouter, les oreilles ouvertes, les besoins de notre peuple (Kirchner 2003c ; notre traduction).</w:t>
      </w:r>
    </w:p>
    <w:p w:rsidR="003A3061" w:rsidRPr="00BB11AF" w:rsidRDefault="003A3061" w:rsidP="003A3061">
      <w:pPr>
        <w:pStyle w:val="Grillecouleur-Accent1"/>
      </w:pPr>
    </w:p>
    <w:p w:rsidR="003A3061" w:rsidRPr="00BB11AF" w:rsidRDefault="003A3061" w:rsidP="003A3061">
      <w:pPr>
        <w:spacing w:before="120" w:after="120"/>
        <w:jc w:val="both"/>
      </w:pPr>
      <w:r w:rsidRPr="00BB11AF">
        <w:t>[137]</w:t>
      </w:r>
    </w:p>
    <w:p w:rsidR="003A3061" w:rsidRPr="00BB11AF" w:rsidRDefault="003A3061" w:rsidP="003A3061">
      <w:pPr>
        <w:spacing w:before="120" w:after="120"/>
        <w:jc w:val="both"/>
      </w:pPr>
      <w:r w:rsidRPr="00BB11AF">
        <w:t>Les émeutes de décembre ne constituaient pas, selon Kirchner, de simples expressions de mécontentement social, mais de véritables r</w:t>
      </w:r>
      <w:r w:rsidRPr="00BB11AF">
        <w:t>e</w:t>
      </w:r>
      <w:r w:rsidRPr="00BB11AF">
        <w:t>vendications d'un « projet national » démocratique et inclusif qui d</w:t>
      </w:r>
      <w:r w:rsidRPr="00BB11AF">
        <w:t>e</w:t>
      </w:r>
      <w:r w:rsidRPr="00BB11AF">
        <w:t>vrait « réconcilier l'État à la société ». La subjectivité qui était, selon le discours kirchneriste, à la tête de cette spectaculaire « réclamation citoyenne » n'était autre que le peuple reconnu et interpelé par le di</w:t>
      </w:r>
      <w:r w:rsidRPr="00BB11AF">
        <w:t>s</w:t>
      </w:r>
      <w:r w:rsidRPr="00BB11AF">
        <w:t>cours politique-« notre peuple »-, dont les besoins devraient être éco</w:t>
      </w:r>
      <w:r w:rsidRPr="00BB11AF">
        <w:t>u</w:t>
      </w:r>
      <w:r w:rsidRPr="00BB11AF">
        <w:t>tés par l'État.</w:t>
      </w:r>
    </w:p>
    <w:p w:rsidR="003A3061" w:rsidRPr="00BB11AF" w:rsidRDefault="003A3061" w:rsidP="003A3061">
      <w:pPr>
        <w:spacing w:before="120" w:after="120"/>
        <w:jc w:val="both"/>
      </w:pPr>
      <w:r w:rsidRPr="00BB11AF">
        <w:t>De ce point de vue, on peut dire que le kirchnerisme a configuré discursivement un nouveau « sujet politique », le peuple, dans la m</w:t>
      </w:r>
      <w:r w:rsidRPr="00BB11AF">
        <w:t>e</w:t>
      </w:r>
      <w:r w:rsidRPr="00BB11AF">
        <w:t>sure où il a « politisé » les acteurs mobilisés dans l'espace p</w:t>
      </w:r>
      <w:r w:rsidRPr="00BB11AF">
        <w:t>u</w:t>
      </w:r>
      <w:r w:rsidRPr="00BB11AF">
        <w:t>blic, en les intégrant à un projet national plus ample. À la différence de la multitude, une pure immanence qui résiste à toute repr</w:t>
      </w:r>
      <w:r w:rsidRPr="00BB11AF">
        <w:t>é</w:t>
      </w:r>
      <w:r w:rsidRPr="00BB11AF">
        <w:t>sentation, le peuple a un fondement souverain et transcendant, passible d'être art</w:t>
      </w:r>
      <w:r w:rsidRPr="00BB11AF">
        <w:t>i</w:t>
      </w:r>
      <w:r w:rsidRPr="00BB11AF">
        <w:t>culé dans un projet hégémonique : « toute "multitude" se construit dans l'action politique, ce qui présuppose l'existence d'antagonisme et d'hégém</w:t>
      </w:r>
      <w:r w:rsidRPr="00BB11AF">
        <w:t>o</w:t>
      </w:r>
      <w:r w:rsidRPr="00BB11AF">
        <w:t>nie », affirme Laclau dans sa critique à Negri (Laclau 2008b : 133 ; notre traduction). Les demandes et réclamations des o</w:t>
      </w:r>
      <w:r w:rsidRPr="00BB11AF">
        <w:t>r</w:t>
      </w:r>
      <w:r w:rsidRPr="00BB11AF">
        <w:t>ganisations s</w:t>
      </w:r>
      <w:r w:rsidRPr="00BB11AF">
        <w:t>o</w:t>
      </w:r>
      <w:r w:rsidRPr="00BB11AF">
        <w:t>ciales, des travailleurs auto-organisés, des piqueteros, des retraités, des chômeurs et des familles de classe moyenne regro</w:t>
      </w:r>
      <w:r w:rsidRPr="00BB11AF">
        <w:t>u</w:t>
      </w:r>
      <w:r w:rsidRPr="00BB11AF">
        <w:t>pés dans des assemblées de quartier ont été récupérées visant à la r</w:t>
      </w:r>
      <w:r w:rsidRPr="00BB11AF">
        <w:t>e</w:t>
      </w:r>
      <w:r w:rsidRPr="00BB11AF">
        <w:t>composition d'une nouvelle hég</w:t>
      </w:r>
      <w:r w:rsidRPr="00BB11AF">
        <w:t>é</w:t>
      </w:r>
      <w:r w:rsidRPr="00BB11AF">
        <w:t>monie. Le discours kirchneriste ne les interpelle jamais en tant que « manifestants », « piqueteros » ou « épargnants » (ces appellations étant réservées à ceux qui sont ident</w:t>
      </w:r>
      <w:r w:rsidRPr="00BB11AF">
        <w:t>i</w:t>
      </w:r>
      <w:r w:rsidRPr="00BB11AF">
        <w:t>fiés comme des radicaux ou des extrémistes), car il a pour objectif de renverser et r</w:t>
      </w:r>
      <w:r w:rsidRPr="00BB11AF">
        <w:t>e</w:t>
      </w:r>
      <w:r w:rsidRPr="00BB11AF">
        <w:t>configurer leurs identités sous la catégorie plus vaste de « peuple », opposée de façon antagonique à des secteurs « anti-populaires » (di</w:t>
      </w:r>
      <w:r w:rsidRPr="00BB11AF">
        <w:t>c</w:t>
      </w:r>
      <w:r w:rsidRPr="00BB11AF">
        <w:t>tature, néolibéralisme, establishment économique, etc.). Le Président l'e</w:t>
      </w:r>
      <w:r w:rsidRPr="00BB11AF">
        <w:t>x</w:t>
      </w:r>
      <w:r w:rsidRPr="00BB11AF">
        <w:t xml:space="preserve">primait ainsi dans son discours d'investiture : « Je viens [...] vous proposer un rêve : celui de </w:t>
      </w:r>
      <w:r w:rsidRPr="00D44B4A">
        <w:rPr>
          <w:b/>
          <w:i/>
        </w:rPr>
        <w:t>reconstruire notre propre identité co</w:t>
      </w:r>
      <w:r w:rsidRPr="00D44B4A">
        <w:rPr>
          <w:b/>
          <w:i/>
        </w:rPr>
        <w:t>m</w:t>
      </w:r>
      <w:r w:rsidRPr="00D44B4A">
        <w:rPr>
          <w:b/>
          <w:i/>
        </w:rPr>
        <w:t>me peuple et comme Nation </w:t>
      </w:r>
      <w:r w:rsidRPr="00BB11AF">
        <w:t>» (Kirchner 2003a ; notre traduction).</w:t>
      </w:r>
    </w:p>
    <w:p w:rsidR="003A3061" w:rsidRPr="00BB11AF" w:rsidRDefault="003A3061" w:rsidP="003A3061">
      <w:pPr>
        <w:spacing w:before="120" w:after="120"/>
        <w:jc w:val="both"/>
      </w:pPr>
      <w:r w:rsidRPr="00BB11AF">
        <w:t>C'est à partir de l'apparition de la figure du « peuple » que le pr</w:t>
      </w:r>
      <w:r w:rsidRPr="00BB11AF">
        <w:t>o</w:t>
      </w:r>
      <w:r w:rsidRPr="00BB11AF">
        <w:t>cessus dit de « recomposition hégémonique » mené par le di</w:t>
      </w:r>
      <w:r w:rsidRPr="00BB11AF">
        <w:t>s</w:t>
      </w:r>
      <w:r w:rsidRPr="00BB11AF">
        <w:t>cours et les politiques du gouvernement de Néstor Kirchner se met en œuvre (Retamozo 2011 ; Biglieri et Perelló 2005). Mais, à distance du mod</w:t>
      </w:r>
      <w:r w:rsidRPr="00BB11AF">
        <w:t>è</w:t>
      </w:r>
      <w:r w:rsidRPr="00BB11AF">
        <w:t>le péroniste classique, il s'agit ici d'un peuple lié aux luttes act</w:t>
      </w:r>
      <w:r w:rsidRPr="00BB11AF">
        <w:t>i</w:t>
      </w:r>
      <w:r w:rsidRPr="00BB11AF">
        <w:t>vistes des années 1970 (Montera 2012), ainsi qu'aux exigences et aux exp</w:t>
      </w:r>
      <w:r w:rsidRPr="00BB11AF">
        <w:t>é</w:t>
      </w:r>
      <w:r w:rsidRPr="00BB11AF">
        <w:t>riences libérales et républicaines forgées lors de la transition démocr</w:t>
      </w:r>
      <w:r w:rsidRPr="00BB11AF">
        <w:t>a</w:t>
      </w:r>
      <w:r w:rsidRPr="00BB11AF">
        <w:t>tique (en particulier grâce à la lutte des organismes de droits de l'ho</w:t>
      </w:r>
      <w:r w:rsidRPr="00BB11AF">
        <w:t>m</w:t>
      </w:r>
      <w:r w:rsidRPr="00BB11AF">
        <w:t>me), associées à une « citoyenneté » qui exige des droits civils et politiques et non seulement des droits s</w:t>
      </w:r>
      <w:r w:rsidRPr="00BB11AF">
        <w:t>o</w:t>
      </w:r>
      <w:r w:rsidRPr="00BB11AF">
        <w:t>ciaux (Aboy Carlés 2011). En ce sens, c'est à partir de cette inte</w:t>
      </w:r>
      <w:r w:rsidRPr="00BB11AF">
        <w:t>r</w:t>
      </w:r>
      <w:r w:rsidRPr="00BB11AF">
        <w:t>pellation discursive que se configure un peuple qui fonctionne, s</w:t>
      </w:r>
      <w:r w:rsidRPr="00BB11AF">
        <w:t>e</w:t>
      </w:r>
      <w:r w:rsidRPr="00BB11AF">
        <w:t xml:space="preserve">lon Retamozo (2011), à la fois comme </w:t>
      </w:r>
      <w:r w:rsidRPr="00BB11AF">
        <w:rPr>
          <w:i/>
        </w:rPr>
        <w:t>populus</w:t>
      </w:r>
      <w:r w:rsidRPr="00BB11AF">
        <w:t xml:space="preserve"> - désignant l'ense</w:t>
      </w:r>
      <w:r w:rsidRPr="00BB11AF">
        <w:t>m</w:t>
      </w:r>
      <w:r w:rsidRPr="00BB11AF">
        <w:t xml:space="preserve">ble de la communauté - et comme </w:t>
      </w:r>
      <w:r w:rsidRPr="00D44B4A">
        <w:rPr>
          <w:i/>
        </w:rPr>
        <w:t>plebs</w:t>
      </w:r>
      <w:r>
        <w:t> </w:t>
      </w:r>
      <w:r>
        <w:rPr>
          <w:rStyle w:val="Appelnotedebasdep"/>
        </w:rPr>
        <w:footnoteReference w:id="90"/>
      </w:r>
      <w:r w:rsidRPr="00BB11AF">
        <w:t xml:space="preserve"> - ceux</w:t>
      </w:r>
      <w:r>
        <w:t xml:space="preserve"> </w:t>
      </w:r>
      <w:r w:rsidRPr="00BB11AF">
        <w:t>[138]</w:t>
      </w:r>
      <w:r>
        <w:t xml:space="preserve"> </w:t>
      </w:r>
      <w:r w:rsidRPr="00BB11AF">
        <w:t>qui sont en bas, les défavorisés - ; c'est dans cette double inscription que le peuple s'installe dans l'espace public comme un no</w:t>
      </w:r>
      <w:r w:rsidRPr="00BB11AF">
        <w:t>u</w:t>
      </w:r>
      <w:r w:rsidRPr="00BB11AF">
        <w:t>veau sujet mobilisé, politisé et militant.</w:t>
      </w:r>
    </w:p>
    <w:p w:rsidR="003A3061" w:rsidRPr="00BB11AF" w:rsidRDefault="003A3061" w:rsidP="003A3061">
      <w:pPr>
        <w:spacing w:before="120" w:after="120"/>
        <w:jc w:val="both"/>
      </w:pPr>
    </w:p>
    <w:p w:rsidR="003A3061" w:rsidRPr="00BB11AF" w:rsidRDefault="003A3061" w:rsidP="003A3061">
      <w:pPr>
        <w:pStyle w:val="planche"/>
      </w:pPr>
      <w:r w:rsidRPr="00BB11AF">
        <w:t>Conclusion</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Nous nous sommes ainsi attachés à examiner le discours kirchn</w:t>
      </w:r>
      <w:r w:rsidRPr="00BB11AF">
        <w:t>e</w:t>
      </w:r>
      <w:r w:rsidRPr="00BB11AF">
        <w:t>riste dans son rapport à la crise de 2001 en Argentine, afin de mettre en évidence le processus de configuration de l'identité ki</w:t>
      </w:r>
      <w:r w:rsidRPr="00BB11AF">
        <w:t>r</w:t>
      </w:r>
      <w:r w:rsidRPr="00BB11AF">
        <w:t>chneriste et de recomposition du tissu sociopolitique. Pour ce faire, nous avons, en premier lieu, revisité les deux principaux types d'i</w:t>
      </w:r>
      <w:r w:rsidRPr="00BB11AF">
        <w:t>n</w:t>
      </w:r>
      <w:r w:rsidRPr="00BB11AF">
        <w:t>terprétation de la crise argentine de 2001 - les unes centrées sur les mobilisations soci</w:t>
      </w:r>
      <w:r w:rsidRPr="00BB11AF">
        <w:t>a</w:t>
      </w:r>
      <w:r w:rsidRPr="00BB11AF">
        <w:t>les de la multitude provenant « d'en bas », les autres mettant l'a</w:t>
      </w:r>
      <w:r w:rsidRPr="00BB11AF">
        <w:t>c</w:t>
      </w:r>
      <w:r w:rsidRPr="00BB11AF">
        <w:t>cent sur les aspects strictement institutionnels et politiques. Nous avons également essayé de mettre en évidence leurs limites afin de saisir à la fois la nature et la sortie de la crise. Par la suite, nous avons tenté de montrer en quoi le cadre interprétatif le plus à même d'appr</w:t>
      </w:r>
      <w:r w:rsidRPr="00BB11AF">
        <w:t>é</w:t>
      </w:r>
      <w:r w:rsidRPr="00BB11AF">
        <w:t>hender le phénomène kirchneriste est celui de l'hégémonie, estimant qu'il pe</w:t>
      </w:r>
      <w:r w:rsidRPr="00BB11AF">
        <w:t>r</w:t>
      </w:r>
      <w:r w:rsidRPr="00BB11AF">
        <w:t>met de saisir, à la fois, les processus sociaux qui ont lieu « en bas » et, en même temps, les phénomènes concernant l'autorité et la légitimité politique.</w:t>
      </w:r>
    </w:p>
    <w:p w:rsidR="003A3061" w:rsidRPr="00BB11AF" w:rsidRDefault="003A3061" w:rsidP="003A3061">
      <w:pPr>
        <w:spacing w:before="120" w:after="120"/>
        <w:jc w:val="both"/>
      </w:pPr>
      <w:r w:rsidRPr="00BB11AF">
        <w:t>En effet, nous soutenons que le discours kirchneriste a entraîné un processus de « recomposition hégémonique » qui a permis de restru</w:t>
      </w:r>
      <w:r w:rsidRPr="00BB11AF">
        <w:t>c</w:t>
      </w:r>
      <w:r w:rsidRPr="00BB11AF">
        <w:t>turer tant les subjectivités politiques que le rôle de l'État et de l'autor</w:t>
      </w:r>
      <w:r w:rsidRPr="00BB11AF">
        <w:t>i</w:t>
      </w:r>
      <w:r w:rsidRPr="00BB11AF">
        <w:t>té politique. D'un côté, le discours de Kirchner a intégré quelques-unes des revendications des multitudes provenant « d'en bas » (piqu</w:t>
      </w:r>
      <w:r w:rsidRPr="00BB11AF">
        <w:t>e</w:t>
      </w:r>
      <w:r w:rsidRPr="00BB11AF">
        <w:t>teros, mouvements sociaux, assemblées, organisations de droits de l'homme), à partir de la reconnaissance de réclam</w:t>
      </w:r>
      <w:r w:rsidRPr="00BB11AF">
        <w:t>a</w:t>
      </w:r>
      <w:r w:rsidRPr="00BB11AF">
        <w:t>tions longtemps oubliées, mais fortement présentes en 2001. D'un autre côté, cette r</w:t>
      </w:r>
      <w:r w:rsidRPr="00BB11AF">
        <w:t>e</w:t>
      </w:r>
      <w:r w:rsidRPr="00BB11AF">
        <w:t>composition des identités politiques s'est organisée autour d'une rev</w:t>
      </w:r>
      <w:r w:rsidRPr="00BB11AF">
        <w:t>a</w:t>
      </w:r>
      <w:r w:rsidRPr="00BB11AF">
        <w:t>lorisation de l'autorité politique. C'est d'ailleurs ainsi qu'a pu se conf</w:t>
      </w:r>
      <w:r w:rsidRPr="00BB11AF">
        <w:t>i</w:t>
      </w:r>
      <w:r w:rsidRPr="00BB11AF">
        <w:t>gurer une nouvelle communauté polit</w:t>
      </w:r>
      <w:r w:rsidRPr="00BB11AF">
        <w:t>i</w:t>
      </w:r>
      <w:r w:rsidRPr="00BB11AF">
        <w:t>que avec une empreinte étatique et nationale-populaire qui, dans de nombreux cas, allait à l'encontre des demandes des mouvements sociaux en circulation dans l'espace public. Ainsi, les composantes antiétatiques, anti-institutionnelles, h</w:t>
      </w:r>
      <w:r w:rsidRPr="00BB11AF">
        <w:t>o</w:t>
      </w:r>
      <w:r w:rsidRPr="00BB11AF">
        <w:t>rizontales et autonomistes attachées à la plupart des mouvements s</w:t>
      </w:r>
      <w:r w:rsidRPr="00BB11AF">
        <w:t>o</w:t>
      </w:r>
      <w:r w:rsidRPr="00BB11AF">
        <w:t>ciaux moteurs de la crise ont été très souvent renversées et réinterpr</w:t>
      </w:r>
      <w:r w:rsidRPr="00BB11AF">
        <w:t>é</w:t>
      </w:r>
      <w:r w:rsidRPr="00BB11AF">
        <w:t>tées par le discours de Kirchner, dans une tentative de stabiliser le champ politique, en les intégrant dans un ample projet « national et populaire ».</w:t>
      </w:r>
    </w:p>
    <w:p w:rsidR="003A3061" w:rsidRPr="00BB11AF" w:rsidRDefault="003A3061" w:rsidP="003A3061">
      <w:pPr>
        <w:spacing w:before="120" w:after="120"/>
        <w:jc w:val="both"/>
      </w:pPr>
      <w:r w:rsidRPr="00BB11AF">
        <w:br w:type="page"/>
        <w:t>[139]</w:t>
      </w:r>
    </w:p>
    <w:p w:rsidR="003A3061" w:rsidRPr="00BB11AF" w:rsidRDefault="003A3061" w:rsidP="003A3061">
      <w:pPr>
        <w:spacing w:before="120" w:after="120"/>
        <w:jc w:val="both"/>
      </w:pPr>
    </w:p>
    <w:p w:rsidR="003A3061" w:rsidRPr="00BB11AF" w:rsidRDefault="003A3061" w:rsidP="003A3061">
      <w:pPr>
        <w:pStyle w:val="planche"/>
      </w:pPr>
      <w:r w:rsidRPr="00BB11AF">
        <w:t>Références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Aboy Cariés, G. 2011. « Entrevista ». In Qué es el kirchnerismo. Escritos desde una época de cambio. AAVV. Buenos Aires : Peña L</w:t>
      </w:r>
      <w:r w:rsidRPr="00BB11AF">
        <w:t>i</w:t>
      </w:r>
      <w:r w:rsidRPr="00BB11AF">
        <w:t>lo.</w:t>
      </w:r>
    </w:p>
    <w:p w:rsidR="003A3061" w:rsidRPr="00BB11AF" w:rsidRDefault="003A3061" w:rsidP="003A3061">
      <w:pPr>
        <w:spacing w:before="120" w:after="120"/>
        <w:jc w:val="both"/>
      </w:pPr>
      <w:r w:rsidRPr="00BB11AF">
        <w:t>Arditi, B. 2007. « Post-hegemonía : la política fuera del par</w:t>
      </w:r>
      <w:r w:rsidRPr="00BB11AF">
        <w:t>a</w:t>
      </w:r>
      <w:r w:rsidRPr="00BB11AF">
        <w:t xml:space="preserve">digma post-marxista habituai ». </w:t>
      </w:r>
      <w:r w:rsidRPr="00BB11AF">
        <w:rPr>
          <w:i/>
        </w:rPr>
        <w:t>Contemporary Politics</w:t>
      </w:r>
      <w:r w:rsidRPr="00BB11AF">
        <w:t>, 13(3):59-81.</w:t>
      </w:r>
    </w:p>
    <w:p w:rsidR="003A3061" w:rsidRPr="00BB11AF" w:rsidRDefault="003A3061" w:rsidP="003A3061">
      <w:pPr>
        <w:spacing w:before="120" w:after="120"/>
        <w:jc w:val="both"/>
      </w:pPr>
      <w:r w:rsidRPr="00BB11AF">
        <w:t>Azpiazu, D. et M. Schorr 2010. Hecho en Argentina. Industria y Economía, 1976-2007. Buenos Aires : Siglo XXI.</w:t>
      </w:r>
    </w:p>
    <w:p w:rsidR="003A3061" w:rsidRPr="00BB11AF" w:rsidRDefault="003A3061" w:rsidP="003A3061">
      <w:pPr>
        <w:spacing w:before="120" w:after="120"/>
        <w:jc w:val="both"/>
      </w:pPr>
      <w:r w:rsidRPr="00BB11AF">
        <w:t>Barros, S. 2006. « Ruptures and Continuities in Kirchner's Arge</w:t>
      </w:r>
      <w:r w:rsidRPr="00BB11AF">
        <w:t>n</w:t>
      </w:r>
      <w:r w:rsidRPr="00BB11AF">
        <w:t>tina ». Texte présenté lors du XXVI LASA International Congress, San Juan, Argentine, 15-18 mars.</w:t>
      </w:r>
    </w:p>
    <w:p w:rsidR="003A3061" w:rsidRPr="00BB11AF" w:rsidRDefault="003A3061" w:rsidP="003A3061">
      <w:pPr>
        <w:spacing w:before="120" w:after="120"/>
        <w:jc w:val="both"/>
      </w:pPr>
      <w:r w:rsidRPr="00BB11AF">
        <w:t>Beasley-Murray, J. 2010. Posthegemony. Political Theory and L</w:t>
      </w:r>
      <w:r w:rsidRPr="00BB11AF">
        <w:t>a</w:t>
      </w:r>
      <w:r w:rsidRPr="00BB11AF">
        <w:t>tin America. Minneapolis : University of Minnesota Press.</w:t>
      </w:r>
    </w:p>
    <w:p w:rsidR="003A3061" w:rsidRPr="00BB11AF" w:rsidRDefault="003A3061" w:rsidP="003A3061">
      <w:pPr>
        <w:spacing w:before="120" w:after="120"/>
        <w:jc w:val="both"/>
      </w:pPr>
      <w:r w:rsidRPr="00BB11AF">
        <w:t>Biglieri, P. et G. Perelloό ed. 2007. En el nombre del pueblo. La emergencia del populismo kirchnerista. Buenos Aires : UNSAM-Edita.</w:t>
      </w:r>
    </w:p>
    <w:p w:rsidR="003A3061" w:rsidRPr="00BB11AF" w:rsidRDefault="003A3061" w:rsidP="003A3061">
      <w:pPr>
        <w:spacing w:before="120" w:after="120"/>
        <w:jc w:val="both"/>
      </w:pPr>
      <w:r w:rsidRPr="00BB11AF">
        <w:t>Bonvecchi, A. 2006. « Determinismo y contingencia en las inte</w:t>
      </w:r>
      <w:r w:rsidRPr="00BB11AF">
        <w:t>r</w:t>
      </w:r>
      <w:r w:rsidRPr="00BB11AF">
        <w:t>pretaciones polfticas de la crisis argentina ». Revista SAAP 2(3) :487-521.</w:t>
      </w:r>
    </w:p>
    <w:p w:rsidR="003A3061" w:rsidRPr="00BB11AF" w:rsidRDefault="003A3061" w:rsidP="003A3061">
      <w:pPr>
        <w:spacing w:before="120" w:after="120"/>
        <w:jc w:val="both"/>
      </w:pPr>
      <w:r w:rsidRPr="00BB11AF">
        <w:t>Cheresky, I. et I. Pousadela, ed. 2004. El voto liberado. Ele</w:t>
      </w:r>
      <w:r w:rsidRPr="00BB11AF">
        <w:t>c</w:t>
      </w:r>
      <w:r w:rsidRPr="00BB11AF">
        <w:t>ciones 2003 : perspectiva histόrica y estudio de casos. Buenos A</w:t>
      </w:r>
      <w:r w:rsidRPr="00BB11AF">
        <w:t>i</w:t>
      </w:r>
      <w:r w:rsidRPr="00BB11AF">
        <w:t>res : Biblos.</w:t>
      </w:r>
    </w:p>
    <w:p w:rsidR="003A3061" w:rsidRPr="00BB11AF" w:rsidRDefault="003A3061" w:rsidP="003A3061">
      <w:pPr>
        <w:spacing w:before="120" w:after="120"/>
        <w:jc w:val="both"/>
        <w:rPr>
          <w:i/>
          <w:iCs/>
          <w:szCs w:val="28"/>
        </w:rPr>
      </w:pPr>
      <w:r w:rsidRPr="00BB11AF">
        <w:t>Cherny, N., N. Feierherd et M. Novaro 2010. « El presidenci</w:t>
      </w:r>
      <w:r w:rsidRPr="00BB11AF">
        <w:t>a</w:t>
      </w:r>
      <w:r w:rsidRPr="00BB11AF">
        <w:t>lismo argentino : de la crisis a la recomposiciόn del poder (2003-2007) ». América Latina Hoy. Revista de Ciencias Sociales 54 : 15-41. Doc</w:t>
      </w:r>
      <w:r w:rsidRPr="00BB11AF">
        <w:t>u</w:t>
      </w:r>
      <w:r w:rsidRPr="00BB11AF">
        <w:t>ment électronique,</w:t>
      </w:r>
      <w:r>
        <w:br/>
      </w:r>
      <w:hyperlink r:id="rId41" w:history="1">
        <w:r w:rsidRPr="00BB11AF">
          <w:rPr>
            <w:rStyle w:val="Lienhypertexte"/>
            <w:lang w:bidi="en-US"/>
          </w:rPr>
          <w:t>http://redalyc.uaemex.mx/pdf/308/30813328002.pdf</w:t>
        </w:r>
      </w:hyperlink>
      <w:r w:rsidRPr="00BB11AF">
        <w:rPr>
          <w:lang w:bidi="en-US"/>
        </w:rPr>
        <w:t xml:space="preserve">, </w:t>
      </w:r>
      <w:r w:rsidRPr="00BB11AF">
        <w:rPr>
          <w:i/>
          <w:iCs/>
          <w:szCs w:val="28"/>
        </w:rPr>
        <w:t>consulté le 10 août 2012</w:t>
      </w:r>
      <w:r w:rsidRPr="00BB11AF">
        <w:rPr>
          <w:rStyle w:val="Corpsdutexte27ptGras"/>
          <w:rFonts w:ascii="Times New Roman" w:hAnsi="Times New Roman"/>
          <w:b w:val="0"/>
          <w:i/>
          <w:iCs/>
          <w:szCs w:val="28"/>
          <w:lang w:val="fr-CA"/>
        </w:rPr>
        <w:t>.</w:t>
      </w:r>
    </w:p>
    <w:p w:rsidR="003A3061" w:rsidRPr="00BB11AF" w:rsidRDefault="003A3061" w:rsidP="003A3061">
      <w:pPr>
        <w:spacing w:before="120" w:after="120"/>
        <w:jc w:val="both"/>
      </w:pPr>
      <w:r w:rsidRPr="00BB11AF">
        <w:t>Colectivo Situaciones, comp. 2002. 19 y 20 : apuntes para el nuevo protagonismo social. Buenos Aires : Ediciones de mano en mano.</w:t>
      </w:r>
    </w:p>
    <w:p w:rsidR="003A3061" w:rsidRPr="00BB11AF" w:rsidRDefault="003A3061" w:rsidP="003A3061">
      <w:pPr>
        <w:spacing w:before="120" w:after="120"/>
        <w:jc w:val="both"/>
      </w:pPr>
      <w:r w:rsidRPr="00BB11AF">
        <w:t>Corten, A., V. Moulin et J. Girard-Lemay., dir. 2006. Les fronti</w:t>
      </w:r>
      <w:r w:rsidRPr="00BB11AF">
        <w:t>è</w:t>
      </w:r>
      <w:r w:rsidRPr="00BB11AF">
        <w:t>res du politique en Amérique Latine. Imaginaires et émancip</w:t>
      </w:r>
      <w:r w:rsidRPr="00BB11AF">
        <w:t>a</w:t>
      </w:r>
      <w:r w:rsidRPr="00BB11AF">
        <w:t>tion. Paris : Karthala.</w:t>
      </w:r>
    </w:p>
    <w:p w:rsidR="003A3061" w:rsidRPr="00BB11AF" w:rsidRDefault="003A3061" w:rsidP="003A3061">
      <w:pPr>
        <w:spacing w:before="120" w:after="120"/>
        <w:jc w:val="both"/>
      </w:pPr>
      <w:r w:rsidRPr="00BB11AF">
        <w:t>Donot, M. et M. Pordeus Ribeiro, dir. 2012. Discours politiques en Amérique Latine. Représentations et imaginaires. Paris : L'Harmattan.</w:t>
      </w:r>
    </w:p>
    <w:p w:rsidR="003A3061" w:rsidRPr="00BB11AF" w:rsidRDefault="003A3061" w:rsidP="003A3061">
      <w:pPr>
        <w:spacing w:before="120" w:after="120"/>
        <w:jc w:val="both"/>
      </w:pPr>
      <w:r w:rsidRPr="00BB11AF">
        <w:t>Fernández Moores, L. 2003. « El Gobierno lanzό su ofensiva y los piqueteros más duras van a la Plaza ». Clarín, 28 octobre. D</w:t>
      </w:r>
      <w:r w:rsidRPr="00BB11AF">
        <w:t>o</w:t>
      </w:r>
      <w:r w:rsidRPr="00BB11AF">
        <w:t xml:space="preserve">cument électronique, </w:t>
      </w:r>
      <w:hyperlink r:id="rId42" w:history="1">
        <w:r w:rsidRPr="00BB11AF">
          <w:rPr>
            <w:rStyle w:val="Lienhypertexte"/>
            <w:lang w:bidi="en-US"/>
          </w:rPr>
          <w:t>http://edant.clarin.c0m/diari0/2003/10/28/p- 01201.htm</w:t>
        </w:r>
      </w:hyperlink>
      <w:r w:rsidRPr="00BB11AF">
        <w:rPr>
          <w:lang w:bidi="en-US"/>
        </w:rPr>
        <w:t xml:space="preserve">, </w:t>
      </w:r>
      <w:r w:rsidRPr="00BB11AF">
        <w:t>consulté le 25 mars 2014.</w:t>
      </w:r>
    </w:p>
    <w:p w:rsidR="003A3061" w:rsidRPr="00BB11AF" w:rsidRDefault="003A3061" w:rsidP="003A3061">
      <w:pPr>
        <w:spacing w:before="120" w:after="120"/>
        <w:jc w:val="both"/>
      </w:pPr>
      <w:r w:rsidRPr="00BB11AF">
        <w:t>Grupo 12. 2002. Del fragmento a la situatiόn. Notas sobre la subj</w:t>
      </w:r>
      <w:r w:rsidRPr="00BB11AF">
        <w:t>e</w:t>
      </w:r>
      <w:r w:rsidRPr="00BB11AF">
        <w:t>tividad contemporánea. Buenos Aires : Ediciόn del Grupo 12.</w:t>
      </w:r>
    </w:p>
    <w:p w:rsidR="003A3061" w:rsidRPr="00BB11AF" w:rsidRDefault="003A3061" w:rsidP="003A3061">
      <w:pPr>
        <w:spacing w:before="120" w:after="120"/>
        <w:jc w:val="both"/>
      </w:pPr>
      <w:r w:rsidRPr="00BB11AF">
        <w:t>Kirchner, N. 2003a. « Discurso del Señor Présidente de la N</w:t>
      </w:r>
      <w:r w:rsidRPr="00BB11AF">
        <w:t>a</w:t>
      </w:r>
      <w:r w:rsidRPr="00BB11AF">
        <w:t>ciόn, Doctor Néstor Kirchner, ante la Honorable Asamblea Leg</w:t>
      </w:r>
      <w:r w:rsidRPr="00BB11AF">
        <w:t>i</w:t>
      </w:r>
      <w:r w:rsidRPr="00BB11AF">
        <w:t>slativa ». Buenos Aires, Argentina, 25 mai.</w:t>
      </w:r>
    </w:p>
    <w:p w:rsidR="003A3061" w:rsidRPr="00BB11AF" w:rsidRDefault="003A3061" w:rsidP="003A3061">
      <w:pPr>
        <w:spacing w:before="120" w:after="120"/>
        <w:jc w:val="both"/>
      </w:pPr>
      <w:r w:rsidRPr="00BB11AF">
        <w:t>Kirchner, N. 2003b. « Palabras del Présidente Néstor Kirchner en el acto de lanzamiento del Fideicomiso 2003 en la Boisa de Comercio de Buenos Aires ». Buenos Aires, Argentina, 2 septe</w:t>
      </w:r>
      <w:r w:rsidRPr="00BB11AF">
        <w:t>m</w:t>
      </w:r>
      <w:r w:rsidRPr="00BB11AF">
        <w:t>bre.</w:t>
      </w:r>
    </w:p>
    <w:p w:rsidR="003A3061" w:rsidRPr="00BB11AF" w:rsidRDefault="003A3061" w:rsidP="003A3061">
      <w:pPr>
        <w:spacing w:before="120" w:after="120"/>
        <w:jc w:val="both"/>
      </w:pPr>
      <w:r w:rsidRPr="00BB11AF">
        <w:t>[140]</w:t>
      </w:r>
    </w:p>
    <w:p w:rsidR="003A3061" w:rsidRPr="00BB11AF" w:rsidRDefault="003A3061" w:rsidP="003A3061">
      <w:pPr>
        <w:spacing w:before="120" w:after="120"/>
        <w:jc w:val="both"/>
      </w:pPr>
      <w:r w:rsidRPr="00BB11AF">
        <w:t>Kirchner, N. 2003c. « Palabras del Presidente Néstor Kirchner en el acto de clausura de la 51</w:t>
      </w:r>
      <w:r w:rsidRPr="00BB11AF">
        <w:rPr>
          <w:vertAlign w:val="superscript"/>
        </w:rPr>
        <w:t xml:space="preserve">0 </w:t>
      </w:r>
      <w:r w:rsidRPr="00BB11AF">
        <w:t>Convenciόn Anual de la Cámara Argent</w:t>
      </w:r>
      <w:r w:rsidRPr="00BB11AF">
        <w:t>i</w:t>
      </w:r>
      <w:r w:rsidRPr="00BB11AF">
        <w:t>na de la Construcción ». Buenos Aires, Argentina, 18 nove</w:t>
      </w:r>
      <w:r w:rsidRPr="00BB11AF">
        <w:t>m</w:t>
      </w:r>
      <w:r w:rsidRPr="00BB11AF">
        <w:t>bre.</w:t>
      </w:r>
    </w:p>
    <w:p w:rsidR="003A3061" w:rsidRPr="00BB11AF" w:rsidRDefault="003A3061" w:rsidP="003A3061">
      <w:pPr>
        <w:spacing w:before="120" w:after="120"/>
        <w:jc w:val="both"/>
      </w:pPr>
      <w:r w:rsidRPr="00BB11AF">
        <w:t>La Nación. 2003. « Kirchner endureciό su postura con los piquet</w:t>
      </w:r>
      <w:r w:rsidRPr="00BB11AF">
        <w:t>e</w:t>
      </w:r>
      <w:r w:rsidRPr="00BB11AF">
        <w:t xml:space="preserve">ros ». 11 décembre. Document éléctronique : </w:t>
      </w:r>
      <w:hyperlink r:id="rId43" w:history="1">
        <w:r w:rsidRPr="008A7C9A">
          <w:rPr>
            <w:rStyle w:val="Lienhypertexte"/>
            <w:lang w:bidi="en-US"/>
          </w:rPr>
          <w:t>http://www.lanacion.com.ar/553552-kirchner-endurecio-su-postura-con-los-piqueteros</w:t>
        </w:r>
      </w:hyperlink>
      <w:r w:rsidRPr="00BB11AF">
        <w:rPr>
          <w:lang w:bidi="en-US"/>
        </w:rPr>
        <w:t xml:space="preserve">, </w:t>
      </w:r>
      <w:r w:rsidRPr="00BB11AF">
        <w:t>consulté le 25 mars 2014.</w:t>
      </w:r>
    </w:p>
    <w:p w:rsidR="003A3061" w:rsidRPr="00BB11AF" w:rsidRDefault="003A3061" w:rsidP="003A3061">
      <w:pPr>
        <w:spacing w:before="120" w:after="120"/>
        <w:jc w:val="both"/>
      </w:pPr>
      <w:r w:rsidRPr="00BB11AF">
        <w:t xml:space="preserve">Laclau, E. etc. Mouffe. 2008. </w:t>
      </w:r>
      <w:r w:rsidRPr="00BB11AF">
        <w:rPr>
          <w:i/>
        </w:rPr>
        <w:t>Hégémonie et stratégie socialiste. Vers une démocratie radicale</w:t>
      </w:r>
      <w:r w:rsidRPr="00BB11AF">
        <w:t>. Paris : Les Solitaires intempestifs.</w:t>
      </w:r>
    </w:p>
    <w:p w:rsidR="003A3061" w:rsidRPr="00BB11AF" w:rsidRDefault="003A3061" w:rsidP="003A3061">
      <w:pPr>
        <w:spacing w:before="120" w:after="120"/>
        <w:jc w:val="both"/>
      </w:pPr>
      <w:r w:rsidRPr="00BB11AF">
        <w:t xml:space="preserve">Laclau, E. 2008a. </w:t>
      </w:r>
      <w:r w:rsidRPr="00BB11AF">
        <w:rPr>
          <w:i/>
        </w:rPr>
        <w:t>La raison populiste</w:t>
      </w:r>
      <w:r w:rsidRPr="00BB11AF">
        <w:t>. Paris : Seuil.</w:t>
      </w:r>
    </w:p>
    <w:p w:rsidR="003A3061" w:rsidRPr="00BB11AF" w:rsidRDefault="003A3061" w:rsidP="003A3061">
      <w:pPr>
        <w:spacing w:before="120" w:after="120"/>
        <w:jc w:val="both"/>
      </w:pPr>
      <w:r w:rsidRPr="00BB11AF">
        <w:t>Laclau, E. 2008b. Debates y combates. Por un nuevo horizonte de la política. Buenos Aires : Fondo de Cultura Econόmica.</w:t>
      </w:r>
    </w:p>
    <w:p w:rsidR="003A3061" w:rsidRPr="00BB11AF" w:rsidRDefault="003A3061" w:rsidP="003A3061">
      <w:pPr>
        <w:spacing w:before="120" w:after="120"/>
        <w:jc w:val="both"/>
      </w:pPr>
      <w:r w:rsidRPr="00BB11AF">
        <w:t>Lewkowicz, I. 2002. Sucesos argentinos. Cacerolazo y subjetiv</w:t>
      </w:r>
      <w:r w:rsidRPr="00BB11AF">
        <w:t>i</w:t>
      </w:r>
      <w:r w:rsidRPr="00BB11AF">
        <w:t>dad postestatal. Buenos Aires : Paidόs.</w:t>
      </w:r>
    </w:p>
    <w:p w:rsidR="003A3061" w:rsidRPr="00BB11AF" w:rsidRDefault="003A3061" w:rsidP="003A3061">
      <w:pPr>
        <w:spacing w:before="120" w:after="120"/>
        <w:jc w:val="both"/>
      </w:pPr>
      <w:r w:rsidRPr="00BB11AF">
        <w:t xml:space="preserve">Manin, P. 1998. </w:t>
      </w:r>
      <w:r w:rsidRPr="00BB11AF">
        <w:rPr>
          <w:i/>
        </w:rPr>
        <w:t>Les principes du gouvernement représentatif</w:t>
      </w:r>
      <w:r w:rsidRPr="00BB11AF">
        <w:t>. P</w:t>
      </w:r>
      <w:r w:rsidRPr="00BB11AF">
        <w:t>a</w:t>
      </w:r>
      <w:r w:rsidRPr="00BB11AF">
        <w:t>ris : Flammarion.</w:t>
      </w:r>
    </w:p>
    <w:p w:rsidR="003A3061" w:rsidRPr="00BB11AF" w:rsidRDefault="003A3061" w:rsidP="003A3061">
      <w:pPr>
        <w:spacing w:before="120" w:after="120"/>
        <w:jc w:val="both"/>
      </w:pPr>
      <w:r w:rsidRPr="00BB11AF">
        <w:t>Montero, A. S. 2012. ¡Y al final un día volvimos ! Los usos de la memoria en el discurso kirchnerista. Buenos Aires : Prometeo.</w:t>
      </w:r>
    </w:p>
    <w:p w:rsidR="003A3061" w:rsidRPr="00BB11AF" w:rsidRDefault="003A3061" w:rsidP="003A3061">
      <w:pPr>
        <w:spacing w:before="120" w:after="120"/>
        <w:jc w:val="both"/>
      </w:pPr>
      <w:r w:rsidRPr="00BB11AF">
        <w:t>Montero, A. S. et L. Vincent. 2013. « Del 'peronismo impuro' al 'kirchnerismo puro' : la construcciόn de una nueva identidad polit</w:t>
      </w:r>
      <w:r w:rsidRPr="00BB11AF">
        <w:t>i</w:t>
      </w:r>
      <w:r w:rsidRPr="00BB11AF">
        <w:t>ca durante la Presidencia de Néstor Kirchner en Argentina (2003-2007) ». PostData 18(</w:t>
      </w:r>
      <w:r w:rsidRPr="00BB11AF">
        <w:rPr>
          <w:vertAlign w:val="subscript"/>
        </w:rPr>
        <w:t>1</w:t>
      </w:r>
      <w:r w:rsidRPr="00BB11AF">
        <w:t>) :123-157.</w:t>
      </w:r>
    </w:p>
    <w:p w:rsidR="003A3061" w:rsidRPr="00BB11AF" w:rsidRDefault="003A3061" w:rsidP="003A3061">
      <w:pPr>
        <w:spacing w:before="120" w:after="120"/>
        <w:jc w:val="both"/>
      </w:pPr>
      <w:r w:rsidRPr="00BB11AF">
        <w:t>Negri, A. et G. Cocco. 2003. « El trabajo de la multitud y el éxodo constituyente o el "quilombo" argentino ». In Diálogo sobre la glob</w:t>
      </w:r>
      <w:r w:rsidRPr="00BB11AF">
        <w:t>a</w:t>
      </w:r>
      <w:r w:rsidRPr="00BB11AF">
        <w:t>lizaciόn, la multitud y la experiencia argentina. A. Negri, G. Cocco, A. Horowicz et C. Amlatmira. Pp. 51-70. Buenos Aires : Paidόs.</w:t>
      </w:r>
    </w:p>
    <w:p w:rsidR="003A3061" w:rsidRPr="00BB11AF" w:rsidRDefault="003A3061" w:rsidP="003A3061">
      <w:pPr>
        <w:spacing w:before="120" w:after="120"/>
        <w:jc w:val="both"/>
      </w:pPr>
      <w:r w:rsidRPr="00BB11AF">
        <w:t>Novaro, M. 2002. « La Alianza, de la gloria del llano a la debacle del gobierno ». In El derrumbe político en el ocaso de la convertibil</w:t>
      </w:r>
      <w:r w:rsidRPr="00BB11AF">
        <w:t>i</w:t>
      </w:r>
      <w:r w:rsidRPr="00BB11AF">
        <w:t>dad. M. Novaro, comp. Pp. 31-105. Buenos Aires : Norma.</w:t>
      </w:r>
    </w:p>
    <w:p w:rsidR="003A3061" w:rsidRPr="00BB11AF" w:rsidRDefault="003A3061" w:rsidP="003A3061">
      <w:pPr>
        <w:spacing w:before="120" w:after="120"/>
        <w:jc w:val="both"/>
      </w:pPr>
      <w:r w:rsidRPr="00BB11AF">
        <w:t>Pérez, G. et A. Natalucci, dir. 2012. Vamos las bandas. Organiz</w:t>
      </w:r>
      <w:r w:rsidRPr="00BB11AF">
        <w:t>a</w:t>
      </w:r>
      <w:r w:rsidRPr="00BB11AF">
        <w:t>cionesy militancia kirchnerista. Buenos Aires : Nueva Trilce.</w:t>
      </w:r>
    </w:p>
    <w:p w:rsidR="003A3061" w:rsidRPr="00BB11AF" w:rsidRDefault="003A3061" w:rsidP="003A3061">
      <w:pPr>
        <w:spacing w:before="120" w:after="120"/>
        <w:jc w:val="both"/>
      </w:pPr>
      <w:r w:rsidRPr="00BB11AF">
        <w:t>Portantiero, J. C. 1977. « Economía y política en la crisis argent</w:t>
      </w:r>
      <w:r w:rsidRPr="00BB11AF">
        <w:t>i</w:t>
      </w:r>
      <w:r w:rsidRPr="00BB11AF">
        <w:t xml:space="preserve">na ». Revista Mexicana de Sociologla, </w:t>
      </w:r>
      <w:r w:rsidRPr="00BB11AF">
        <w:rPr>
          <w:rStyle w:val="Corpsdutexte27ptGras"/>
          <w:rFonts w:ascii="Times New Roman" w:hAnsi="Times New Roman"/>
          <w:b w:val="0"/>
          <w:lang w:val="fr-CA"/>
        </w:rPr>
        <w:t>39(2) : 531-565.</w:t>
      </w:r>
    </w:p>
    <w:p w:rsidR="003A3061" w:rsidRPr="00BB11AF" w:rsidRDefault="003A3061" w:rsidP="003A3061">
      <w:pPr>
        <w:spacing w:before="120" w:after="120"/>
        <w:jc w:val="both"/>
      </w:pPr>
      <w:r w:rsidRPr="00BB11AF">
        <w:t>Pousadela, I. 2006. Que se vayan todos. Enigmas de la represent</w:t>
      </w:r>
      <w:r w:rsidRPr="00BB11AF">
        <w:t>a</w:t>
      </w:r>
      <w:r w:rsidRPr="00BB11AF">
        <w:t>cíon política. Buenos Aires : Capital Intelectual.</w:t>
      </w:r>
    </w:p>
    <w:p w:rsidR="003A3061" w:rsidRPr="00BB11AF" w:rsidRDefault="003A3061" w:rsidP="003A3061">
      <w:pPr>
        <w:spacing w:before="120" w:after="120"/>
        <w:jc w:val="both"/>
      </w:pPr>
      <w:r w:rsidRPr="00BB11AF">
        <w:t xml:space="preserve">Rancière, J. 1995. </w:t>
      </w:r>
      <w:r w:rsidRPr="00BB11AF">
        <w:rPr>
          <w:i/>
        </w:rPr>
        <w:t>La mésentente</w:t>
      </w:r>
      <w:r w:rsidRPr="00BB11AF">
        <w:t>. Paris : Galilée.</w:t>
      </w:r>
    </w:p>
    <w:p w:rsidR="003A3061" w:rsidRPr="00BB11AF" w:rsidRDefault="003A3061" w:rsidP="003A3061">
      <w:pPr>
        <w:spacing w:before="120" w:after="120"/>
        <w:jc w:val="both"/>
      </w:pPr>
      <w:r w:rsidRPr="00BB11AF">
        <w:t>Retamozo, M. 2011. « Movimientos sociales, política y heg</w:t>
      </w:r>
      <w:r w:rsidRPr="00BB11AF">
        <w:t>e</w:t>
      </w:r>
      <w:r w:rsidRPr="00BB11AF">
        <w:t>monía en Argentina ». Polis. Revista de la Universidad Bolivari</w:t>
      </w:r>
      <w:r w:rsidRPr="00BB11AF">
        <w:t>a</w:t>
      </w:r>
      <w:r w:rsidRPr="00BB11AF">
        <w:t>na 10(28) : 243-279. Document électronique,</w:t>
      </w:r>
    </w:p>
    <w:p w:rsidR="003A3061" w:rsidRPr="00BB11AF" w:rsidRDefault="003A3061" w:rsidP="003A3061">
      <w:pPr>
        <w:spacing w:before="120" w:after="120"/>
        <w:jc w:val="both"/>
      </w:pPr>
      <w:hyperlink r:id="rId44" w:history="1">
        <w:r w:rsidRPr="008A7C9A">
          <w:rPr>
            <w:rStyle w:val="Lienhypertexte"/>
            <w:lang w:bidi="en-US"/>
          </w:rPr>
          <w:t>http://www.scielo.cl/scielo.</w:t>
        </w:r>
        <w:r w:rsidRPr="008A7C9A">
          <w:rPr>
            <w:rStyle w:val="Lienhypertexte"/>
          </w:rPr>
          <w:t>php ?pid=So7i8-656820iioooioooi4&amp;script=sci_arttext</w:t>
        </w:r>
      </w:hyperlink>
      <w:r w:rsidRPr="00BB11AF">
        <w:t xml:space="preserve"> </w:t>
      </w:r>
      <w:hyperlink r:id="rId45" w:history="1">
        <w:r w:rsidRPr="00BB11AF">
          <w:rPr>
            <w:rStyle w:val="Lienhypertexte"/>
            <w:lang w:bidi="en-US"/>
          </w:rPr>
          <w:t>http ://redalyc.uaemex.mx/pdf/308/30813328002.pdf</w:t>
        </w:r>
      </w:hyperlink>
      <w:r w:rsidRPr="00BB11AF">
        <w:rPr>
          <w:lang w:bidi="en-US"/>
        </w:rPr>
        <w:t xml:space="preserve">, </w:t>
      </w:r>
      <w:r w:rsidRPr="00BB11AF">
        <w:t>consulté le 10 août 2012.</w:t>
      </w:r>
    </w:p>
    <w:p w:rsidR="003A3061" w:rsidRPr="00BB11AF" w:rsidRDefault="003A3061" w:rsidP="003A3061">
      <w:pPr>
        <w:spacing w:before="120" w:after="120"/>
        <w:jc w:val="both"/>
      </w:pPr>
      <w:r w:rsidRPr="00BB11AF">
        <w:t>Scillamá, M. 2007. « La tristeza de la ciencia política y los limites del autonomismo para pensar el diciembre argentino ». In Las lentes de Victor Hugo. Transformaciones políticas y desafíos teór</w:t>
      </w:r>
      <w:r w:rsidRPr="00BB11AF">
        <w:t>i</w:t>
      </w:r>
      <w:r w:rsidRPr="00BB11AF">
        <w:t>cos en la Argentina reciente. E. Rinesi, G. Nardacchione et G.Vommaro, eds. Pp. 76-98. Buenos Aires : Prometeo-UNGS.</w:t>
      </w:r>
    </w:p>
    <w:p w:rsidR="003A3061" w:rsidRPr="00BB11AF" w:rsidRDefault="003A3061" w:rsidP="003A3061">
      <w:pPr>
        <w:spacing w:before="120" w:after="120"/>
        <w:jc w:val="both"/>
      </w:pPr>
      <w:r>
        <w:br w:type="page"/>
      </w:r>
      <w:r w:rsidRPr="00BB11AF">
        <w:t>[141]</w:t>
      </w:r>
    </w:p>
    <w:p w:rsidR="003A3061" w:rsidRPr="00BB11AF" w:rsidRDefault="003A3061" w:rsidP="003A3061">
      <w:pPr>
        <w:spacing w:before="120" w:after="120"/>
        <w:jc w:val="both"/>
      </w:pPr>
      <w:r w:rsidRPr="00BB11AF">
        <w:t>Svampa, M. 2004a. « Relaciones peligrosas ». El Rodaballo 15 : 3-9.</w:t>
      </w:r>
    </w:p>
    <w:p w:rsidR="003A3061" w:rsidRPr="00BB11AF" w:rsidRDefault="003A3061" w:rsidP="003A3061">
      <w:pPr>
        <w:spacing w:before="120" w:after="120"/>
        <w:jc w:val="both"/>
      </w:pPr>
      <w:r w:rsidRPr="00BB11AF">
        <w:t>Svampa, M. 2004b. « Las organizaciones piqueteras : actual</w:t>
      </w:r>
      <w:r w:rsidRPr="00BB11AF">
        <w:t>i</w:t>
      </w:r>
      <w:r w:rsidRPr="00BB11AF">
        <w:t>zaciόn, balances y reflexiones ». In Entre la ruta y el barrio. M. Svampa et S. Pereyra. Pp. 205-228. Buenos Aires : Biblos.</w:t>
      </w:r>
    </w:p>
    <w:p w:rsidR="003A3061" w:rsidRPr="00BB11AF" w:rsidRDefault="003A3061" w:rsidP="003A3061">
      <w:pPr>
        <w:spacing w:before="120" w:after="120"/>
        <w:jc w:val="both"/>
      </w:pPr>
      <w:r w:rsidRPr="00BB11AF">
        <w:t>Svampa, M. 2006. « Movimientos sociales y nuevo escenario r</w:t>
      </w:r>
      <w:r w:rsidRPr="00BB11AF">
        <w:t>e</w:t>
      </w:r>
      <w:r w:rsidRPr="00BB11AF">
        <w:t>gional : las inflexiones del paradigma neoliberal en América L</w:t>
      </w:r>
      <w:r w:rsidRPr="00BB11AF">
        <w:t>a</w:t>
      </w:r>
      <w:r w:rsidRPr="00BB11AF">
        <w:t>tina ». Sociohistόrica 19-20 :141-155.</w:t>
      </w:r>
    </w:p>
    <w:p w:rsidR="003A3061" w:rsidRPr="00BB11AF" w:rsidRDefault="003A3061" w:rsidP="003A3061">
      <w:pPr>
        <w:spacing w:before="120" w:after="120"/>
        <w:jc w:val="both"/>
      </w:pPr>
      <w:r w:rsidRPr="00BB11AF">
        <w:t xml:space="preserve">Svampa, M. 2011. « Du 'Qu'ils s'en aillent tous !' à l'exacerbation de la rhétorique nationale-populaire ». </w:t>
      </w:r>
      <w:r w:rsidRPr="00BB11AF">
        <w:rPr>
          <w:i/>
        </w:rPr>
        <w:t>Problèmes d'Amérique Latine</w:t>
      </w:r>
      <w:r w:rsidRPr="00BB11AF">
        <w:t>, 82 : 77-91.</w:t>
      </w:r>
    </w:p>
    <w:p w:rsidR="003A3061" w:rsidRPr="00BB11AF" w:rsidRDefault="003A3061" w:rsidP="003A3061">
      <w:pPr>
        <w:spacing w:before="120" w:after="120"/>
        <w:jc w:val="both"/>
      </w:pPr>
      <w:r w:rsidRPr="00BB11AF">
        <w:t>Zibecchi, R. 2003. Genealogia de la revuelta. Argentina : la soci</w:t>
      </w:r>
      <w:r w:rsidRPr="00BB11AF">
        <w:t>e</w:t>
      </w:r>
      <w:r w:rsidRPr="00BB11AF">
        <w:t>dad en movimiento. La Plata : Letra Libre.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[142]</w:t>
      </w:r>
    </w:p>
    <w:p w:rsidR="003A3061" w:rsidRDefault="003A3061" w:rsidP="003A3061">
      <w:pPr>
        <w:spacing w:before="120" w:after="120"/>
        <w:jc w:val="both"/>
      </w:pPr>
    </w:p>
    <w:p w:rsidR="003A3061" w:rsidRPr="00BB11AF" w:rsidRDefault="003A3061" w:rsidP="003A3061">
      <w:pPr>
        <w:pStyle w:val="p"/>
        <w:rPr>
          <w:bCs/>
        </w:rPr>
      </w:pPr>
      <w:r w:rsidRPr="00BB11AF">
        <w:br w:type="page"/>
      </w:r>
      <w:r w:rsidRPr="00BB11AF">
        <w:rPr>
          <w:bCs/>
        </w:rPr>
        <w:t>[143]</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hanging="20"/>
        <w:jc w:val="center"/>
        <w:rPr>
          <w:b/>
          <w:sz w:val="24"/>
        </w:rPr>
      </w:pPr>
      <w:bookmarkStart w:id="12" w:name="Crise_et_mise_en_crise_texte_09"/>
      <w:r w:rsidRPr="00BB11AF">
        <w:rPr>
          <w:b/>
          <w:i/>
          <w:color w:val="FF0000"/>
          <w:sz w:val="24"/>
        </w:rPr>
        <w:t>Crise</w:t>
      </w:r>
      <w:r w:rsidRPr="00BB11AF">
        <w:rPr>
          <w:b/>
          <w:sz w:val="24"/>
        </w:rPr>
        <w:t xml:space="preserve"> et mise en </w:t>
      </w:r>
      <w:r w:rsidRPr="00BB11AF">
        <w:rPr>
          <w:b/>
          <w:i/>
          <w:color w:val="FF0000"/>
          <w:sz w:val="24"/>
        </w:rPr>
        <w:t>crise</w:t>
      </w:r>
      <w:r w:rsidRPr="00BB11AF">
        <w:rPr>
          <w:b/>
          <w:sz w:val="24"/>
        </w:rPr>
        <w:t>.</w:t>
      </w:r>
    </w:p>
    <w:p w:rsidR="003A3061" w:rsidRPr="00BB11AF" w:rsidRDefault="003A3061" w:rsidP="003A3061">
      <w:pPr>
        <w:spacing w:after="120"/>
        <w:jc w:val="center"/>
        <w:rPr>
          <w:sz w:val="24"/>
        </w:rPr>
      </w:pPr>
      <w:r w:rsidRPr="00BB11AF">
        <w:rPr>
          <w:sz w:val="24"/>
        </w:rPr>
        <w:t>Actes du colloque annuel de l’ACSALF 2012.</w:t>
      </w:r>
    </w:p>
    <w:p w:rsidR="003A3061" w:rsidRPr="00BB11AF" w:rsidRDefault="003A3061" w:rsidP="003A3061">
      <w:pPr>
        <w:pStyle w:val="Titreniveau1"/>
      </w:pPr>
      <w:r w:rsidRPr="00BB11AF">
        <w:t>9</w:t>
      </w:r>
    </w:p>
    <w:p w:rsidR="003A3061" w:rsidRPr="00BB11AF" w:rsidRDefault="003A3061" w:rsidP="003A3061">
      <w:pPr>
        <w:pStyle w:val="Titreniveau2"/>
      </w:pPr>
      <w:r w:rsidRPr="00BB11AF">
        <w:t>“La critique de la crise</w:t>
      </w:r>
      <w:r w:rsidRPr="00BB11AF">
        <w:br/>
        <w:t>et la crise de la critique.”</w:t>
      </w:r>
    </w:p>
    <w:bookmarkEnd w:id="12"/>
    <w:p w:rsidR="003A3061" w:rsidRPr="00BB11AF" w:rsidRDefault="003A3061" w:rsidP="003A3061">
      <w:pPr>
        <w:jc w:val="both"/>
        <w:rPr>
          <w:szCs w:val="36"/>
        </w:rPr>
      </w:pPr>
    </w:p>
    <w:p w:rsidR="003A3061" w:rsidRPr="00BB11AF" w:rsidRDefault="003A3061" w:rsidP="003A3061">
      <w:pPr>
        <w:pStyle w:val="suite"/>
      </w:pPr>
      <w:r w:rsidRPr="00BB11AF">
        <w:t>Par Ghassan HAGE</w:t>
      </w:r>
    </w:p>
    <w:p w:rsidR="003A3061" w:rsidRPr="00BB11AF" w:rsidRDefault="003A3061" w:rsidP="003A3061">
      <w:pPr>
        <w:pStyle w:val="auteurst"/>
      </w:pPr>
      <w:r w:rsidRPr="00BB11AF">
        <w:t>University of Melbourne</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right="90" w:firstLine="0"/>
        <w:jc w:val="both"/>
        <w:rPr>
          <w:sz w:val="20"/>
        </w:rPr>
      </w:pPr>
      <w:hyperlink w:anchor="tdm" w:history="1">
        <w:r w:rsidRPr="00BB11AF">
          <w:rPr>
            <w:rStyle w:val="Lienhypertexte"/>
            <w:sz w:val="20"/>
          </w:rPr>
          <w:t>Retour à la table des matières</w:t>
        </w:r>
      </w:hyperlink>
    </w:p>
    <w:p w:rsidR="003A3061" w:rsidRPr="00BB11AF" w:rsidRDefault="00356B29" w:rsidP="003A3061">
      <w:pPr>
        <w:spacing w:before="120" w:after="120"/>
        <w:jc w:val="both"/>
      </w:pPr>
      <w:r w:rsidRPr="00BB11AF">
        <w:rPr>
          <w:noProof/>
          <w:lang w:val="fr-FR" w:eastAsia="fr-FR"/>
        </w:rPr>
        <w:drawing>
          <wp:anchor distT="0" distB="0" distL="63500" distR="182880" simplePos="0" relativeHeight="251660800" behindDoc="1" locked="0" layoutInCell="1" allowOverlap="0">
            <wp:simplePos x="0" y="0"/>
            <wp:positionH relativeFrom="margin">
              <wp:posOffset>51435</wp:posOffset>
            </wp:positionH>
            <wp:positionV relativeFrom="margin">
              <wp:posOffset>3888740</wp:posOffset>
            </wp:positionV>
            <wp:extent cx="1130300" cy="787400"/>
            <wp:effectExtent l="25400" t="25400" r="12700" b="12700"/>
            <wp:wrapTight wrapText="bothSides">
              <wp:wrapPolygon edited="0">
                <wp:start x="-485" y="-697"/>
                <wp:lineTo x="-485" y="21948"/>
                <wp:lineTo x="21843" y="21948"/>
                <wp:lineTo x="21843" y="-697"/>
                <wp:lineTo x="-485" y="-697"/>
              </wp:wrapPolygon>
            </wp:wrapTight>
            <wp:docPr id="17" name="Image 17"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image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0300" cy="7874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3A3061" w:rsidRPr="00BB11AF">
        <w:t>Pendant longtemps, la notion de « crise » a fait partie du langage de la critique sociale. On pourrait même dire qu'historiquement, du m</w:t>
      </w:r>
      <w:r w:rsidR="003A3061" w:rsidRPr="00BB11AF">
        <w:t>i</w:t>
      </w:r>
      <w:r w:rsidR="003A3061" w:rsidRPr="00BB11AF">
        <w:t>lieu du XIX</w:t>
      </w:r>
      <w:r w:rsidR="003A3061" w:rsidRPr="00BB11AF">
        <w:rPr>
          <w:vertAlign w:val="superscript"/>
        </w:rPr>
        <w:t>e</w:t>
      </w:r>
      <w:r w:rsidR="003A3061" w:rsidRPr="00BB11AF">
        <w:t xml:space="preserve"> siècle et jusqu'aux années 1970 du XX</w:t>
      </w:r>
      <w:r w:rsidR="003A3061" w:rsidRPr="00BB11AF">
        <w:rPr>
          <w:vertAlign w:val="superscript"/>
        </w:rPr>
        <w:t>e</w:t>
      </w:r>
      <w:r w:rsidR="003A3061" w:rsidRPr="00BB11AF">
        <w:t xml:space="preserve"> siècle, avec la dominance du marxisme dans le champ intellectuel de la critique s</w:t>
      </w:r>
      <w:r w:rsidR="003A3061" w:rsidRPr="00BB11AF">
        <w:t>o</w:t>
      </w:r>
      <w:r w:rsidR="003A3061" w:rsidRPr="00BB11AF">
        <w:t>ciale, une certaine fusion fut ach</w:t>
      </w:r>
      <w:r w:rsidR="003A3061" w:rsidRPr="00BB11AF">
        <w:t>e</w:t>
      </w:r>
      <w:r w:rsidR="003A3061" w:rsidRPr="00BB11AF">
        <w:t>vée entre la critique sociale et le di</w:t>
      </w:r>
      <w:r w:rsidR="003A3061" w:rsidRPr="00BB11AF">
        <w:t>s</w:t>
      </w:r>
      <w:r w:rsidR="003A3061" w:rsidRPr="00BB11AF">
        <w:t>cours intellectuel concernant la crise comme phénomène économique, social ou polit</w:t>
      </w:r>
      <w:r w:rsidR="003A3061" w:rsidRPr="00BB11AF">
        <w:t>i</w:t>
      </w:r>
      <w:r w:rsidR="003A3061" w:rsidRPr="00BB11AF">
        <w:t>que. Dans ce cadre politico-intellectuel, le rôle de la critique était ju</w:t>
      </w:r>
      <w:r w:rsidR="003A3061" w:rsidRPr="00BB11AF">
        <w:t>s</w:t>
      </w:r>
      <w:r w:rsidR="003A3061" w:rsidRPr="00BB11AF">
        <w:t>tement de montrer que sous les apparences d'être un système capable de se r</w:t>
      </w:r>
      <w:r w:rsidR="003A3061" w:rsidRPr="00BB11AF">
        <w:t>e</w:t>
      </w:r>
      <w:r w:rsidR="003A3061" w:rsidRPr="00BB11AF">
        <w:t>produire indéfiniment, le capitalisme était en effet un système génér</w:t>
      </w:r>
      <w:r w:rsidR="003A3061" w:rsidRPr="00BB11AF">
        <w:t>a</w:t>
      </w:r>
      <w:r w:rsidR="003A3061" w:rsidRPr="00BB11AF">
        <w:t>teur de crises, que ce soit dans le domaine économique pur (cr</w:t>
      </w:r>
      <w:r w:rsidR="003A3061" w:rsidRPr="00BB11AF">
        <w:t>i</w:t>
      </w:r>
      <w:r w:rsidR="003A3061" w:rsidRPr="00BB11AF">
        <w:t>ses d'accumulation du capital), dans le domaine historico-social (cr</w:t>
      </w:r>
      <w:r w:rsidR="003A3061" w:rsidRPr="00BB11AF">
        <w:t>i</w:t>
      </w:r>
      <w:r w:rsidR="003A3061" w:rsidRPr="00BB11AF">
        <w:t>ses produites par la tension entre le développement des forces de produ</w:t>
      </w:r>
      <w:r w:rsidR="003A3061" w:rsidRPr="00BB11AF">
        <w:t>c</w:t>
      </w:r>
      <w:r w:rsidR="003A3061" w:rsidRPr="00BB11AF">
        <w:t>tions et des relations de productions) ou enfin dans le domaine polit</w:t>
      </w:r>
      <w:r w:rsidR="003A3061" w:rsidRPr="00BB11AF">
        <w:t>i</w:t>
      </w:r>
      <w:r w:rsidR="003A3061" w:rsidRPr="00BB11AF">
        <w:t>que (crises produites par les antagonismes de classes). La dime</w:t>
      </w:r>
      <w:r w:rsidR="003A3061" w:rsidRPr="00BB11AF">
        <w:t>n</w:t>
      </w:r>
      <w:r w:rsidR="003A3061" w:rsidRPr="00BB11AF">
        <w:t>sion critique de cette archéologie de crise (au sens qu'il conv</w:t>
      </w:r>
      <w:r w:rsidR="003A3061" w:rsidRPr="00BB11AF">
        <w:t>e</w:t>
      </w:r>
      <w:r w:rsidR="003A3061" w:rsidRPr="00BB11AF">
        <w:t>nait de faire des fouilles pour dénicher des crises dans des milieux qui s'acharnait à se montrer sans crise) avait pour source une associ</w:t>
      </w:r>
      <w:r w:rsidR="003A3061" w:rsidRPr="00BB11AF">
        <w:t>a</w:t>
      </w:r>
      <w:r w:rsidR="003A3061" w:rsidRPr="00BB11AF">
        <w:t>tion, qui fut plus ou moins sous-entendue plutôt que théorisée, et c'est l'association e</w:t>
      </w:r>
      <w:r w:rsidR="003A3061" w:rsidRPr="00BB11AF">
        <w:t>n</w:t>
      </w:r>
      <w:r w:rsidR="003A3061" w:rsidRPr="00BB11AF">
        <w:t>tre la crise et l'espoir de changement social. Une crise était supposée créer deux choses : une fissure structurelle dans la machin</w:t>
      </w:r>
      <w:r w:rsidR="003A3061" w:rsidRPr="00BB11AF">
        <w:t>e</w:t>
      </w:r>
      <w:r w:rsidR="003A3061" w:rsidRPr="00BB11AF">
        <w:t>rie de la reproduction sociale d'où pourrait émerger le cha</w:t>
      </w:r>
      <w:r w:rsidR="003A3061" w:rsidRPr="00BB11AF">
        <w:t>n</w:t>
      </w:r>
      <w:r w:rsidR="003A3061" w:rsidRPr="00BB11AF">
        <w:t>gement social et un sujet politique dont la pratique n'a plus avant tout la fonction de r</w:t>
      </w:r>
      <w:r w:rsidR="003A3061" w:rsidRPr="00BB11AF">
        <w:t>e</w:t>
      </w:r>
      <w:r w:rsidR="003A3061" w:rsidRPr="00BB11AF">
        <w:t>produire le social tel qu'il existe, mais plutôt de s'engager dans des pratiques transformatrices. La fonction de la pe</w:t>
      </w:r>
      <w:r w:rsidR="003A3061" w:rsidRPr="00BB11AF">
        <w:t>n</w:t>
      </w:r>
      <w:r w:rsidR="003A3061" w:rsidRPr="00BB11AF">
        <w:t>sée critique de la cr</w:t>
      </w:r>
      <w:r w:rsidR="003A3061" w:rsidRPr="00BB11AF">
        <w:t>i</w:t>
      </w:r>
      <w:r w:rsidR="003A3061" w:rsidRPr="00BB11AF">
        <w:t>se était de trouver ou d'éclairer la présence de ce</w:t>
      </w:r>
      <w:r w:rsidR="003A3061" w:rsidRPr="00BB11AF">
        <w:t>t</w:t>
      </w:r>
      <w:r w:rsidR="003A3061" w:rsidRPr="00BB11AF">
        <w:t>te fissure et de ce sujet. Cette critique était donc une critique pleine d'espoir reflétant la croyance radicale en une rupture politique qui caract</w:t>
      </w:r>
      <w:r w:rsidR="003A3061" w:rsidRPr="00BB11AF">
        <w:t>é</w:t>
      </w:r>
      <w:r w:rsidR="003A3061" w:rsidRPr="00BB11AF">
        <w:t>risait la pensée radicale de cette période.</w:t>
      </w:r>
    </w:p>
    <w:p w:rsidR="003A3061" w:rsidRPr="00BB11AF" w:rsidRDefault="003A3061" w:rsidP="003A3061">
      <w:pPr>
        <w:spacing w:before="120" w:after="120"/>
        <w:jc w:val="both"/>
      </w:pPr>
      <w:r w:rsidRPr="00BB11AF">
        <w:t>Cependant, dès le milieu du XX</w:t>
      </w:r>
      <w:r w:rsidRPr="00BB11AF">
        <w:rPr>
          <w:vertAlign w:val="superscript"/>
        </w:rPr>
        <w:t>e</w:t>
      </w:r>
      <w:r w:rsidRPr="00BB11AF">
        <w:t xml:space="preserve"> siècle, mais s'accélérant surtout vers sa fin, un changement important a eu lieu. Puisque les sociétés capitalistes, ainsi que l'économie et les institutions capitalistes, se dépl</w:t>
      </w:r>
      <w:r w:rsidRPr="00BB11AF">
        <w:t>a</w:t>
      </w:r>
      <w:r w:rsidRPr="00BB11AF">
        <w:t>çaient sans cesse d'une crise à l'autre, un changement important dans cet imaginaire de la crise a</w:t>
      </w:r>
      <w:r>
        <w:t xml:space="preserve"> </w:t>
      </w:r>
      <w:r w:rsidRPr="00BB11AF">
        <w:t>[144]</w:t>
      </w:r>
      <w:r>
        <w:t xml:space="preserve"> </w:t>
      </w:r>
      <w:r w:rsidRPr="00BB11AF">
        <w:t>eu lieu. Lentement, comme</w:t>
      </w:r>
      <w:r w:rsidRPr="00BB11AF">
        <w:t>n</w:t>
      </w:r>
      <w:r w:rsidRPr="00BB11AF">
        <w:t>çant avec la montée du fascisme, il y a eu une prise de conscience croissante que plutôt que d'être une occ</w:t>
      </w:r>
      <w:r w:rsidRPr="00BB11AF">
        <w:t>a</w:t>
      </w:r>
      <w:r w:rsidRPr="00BB11AF">
        <w:t>sion pour une transformation sociale, un tel état de crise permanente n'offrait ni une opportunité de changement - au contraire, il se</w:t>
      </w:r>
      <w:r w:rsidRPr="00BB11AF">
        <w:t>m</w:t>
      </w:r>
      <w:r w:rsidRPr="00BB11AF">
        <w:t>blait être devenu le mode même par lequel les économies et les sociétés capitalistes assuraient leur repr</w:t>
      </w:r>
      <w:r w:rsidRPr="00BB11AF">
        <w:t>o</w:t>
      </w:r>
      <w:r w:rsidRPr="00BB11AF">
        <w:t>duction -, ni la condition nécessaire pour l'émergence d'un sujet polit</w:t>
      </w:r>
      <w:r w:rsidRPr="00BB11AF">
        <w:t>i</w:t>
      </w:r>
      <w:r w:rsidRPr="00BB11AF">
        <w:t>que révolutionnaire engagé à produ</w:t>
      </w:r>
      <w:r w:rsidRPr="00BB11AF">
        <w:t>i</w:t>
      </w:r>
      <w:r w:rsidRPr="00BB11AF">
        <w:t>re un changement social - le sujet de la crise semble en fait plus su</w:t>
      </w:r>
      <w:r w:rsidRPr="00BB11AF">
        <w:t>s</w:t>
      </w:r>
      <w:r w:rsidRPr="00BB11AF">
        <w:t>ceptible de devenir de plus en plus conservateur plutôt que révolutionna</w:t>
      </w:r>
      <w:r w:rsidRPr="00BB11AF">
        <w:t>i</w:t>
      </w:r>
      <w:r w:rsidRPr="00BB11AF">
        <w:t>re. Ainsi, la critique radicale de la crise a cédé la place à une crise de la critique.</w:t>
      </w:r>
    </w:p>
    <w:p w:rsidR="003A3061" w:rsidRPr="00BB11AF" w:rsidRDefault="003A3061" w:rsidP="003A3061">
      <w:pPr>
        <w:spacing w:before="120" w:after="120"/>
        <w:jc w:val="both"/>
      </w:pPr>
      <w:r w:rsidRPr="00BB11AF">
        <w:t>Rien n'illustre mieux cette situation que les analyses radicales de la dernière crise financière mondiale de 2008. Alors que l'on affirmait le « renouveau du marxisme » et que l'on célébrait le renouveau et la perspicacité de l'analyse marxiste du capitalisme et de sa tendance à produire des crises, dans la majorité des cas, cette affirmation ne fut pas accompagnée d'une affirmation de l'existence de la possibilité de transformation sociale ou de l'existence d'un sujet politique capable de produire une telle transformation. La critique pleine d'espoir du XX</w:t>
      </w:r>
      <w:r w:rsidRPr="00BB11AF">
        <w:rPr>
          <w:vertAlign w:val="superscript"/>
        </w:rPr>
        <w:t>e</w:t>
      </w:r>
      <w:r w:rsidRPr="00BB11AF">
        <w:t xml:space="preserve"> siècle semble avoir donné lieu à une critique déprimée et déprimante, reproduisant en effet le sentiment de paralysie général de l'imaginaire ainsi que de la volonté du changement social.</w:t>
      </w:r>
    </w:p>
    <w:p w:rsidR="003A3061" w:rsidRPr="00BB11AF" w:rsidRDefault="003A3061" w:rsidP="003A3061">
      <w:pPr>
        <w:spacing w:before="120" w:after="120"/>
        <w:jc w:val="both"/>
      </w:pPr>
      <w:r w:rsidRPr="00BB11AF">
        <w:t>Ces remarques introductives ne veulent pas insinuer qu'il n'est plus possible de formuler une relation entre la crise, la critique intellectue</w:t>
      </w:r>
      <w:r w:rsidRPr="00BB11AF">
        <w:t>l</w:t>
      </w:r>
      <w:r w:rsidRPr="00BB11AF">
        <w:t>le et l'espoir de changement social aujourd'hui. Ceci est une invit</w:t>
      </w:r>
      <w:r w:rsidRPr="00BB11AF">
        <w:t>a</w:t>
      </w:r>
      <w:r w:rsidRPr="00BB11AF">
        <w:t>tion à voir la crise non pas simplement comme un fait donné, mais plutôt comme un champ politique : c'est-à-dire comme un espace de rivalités entre différentes forces ayant des intérêts différents dans la crise et qui luttent aussi, et surtout, pour imposer certaines façons de vivre la crise plutôt que d'autres.</w:t>
      </w:r>
    </w:p>
    <w:p w:rsidR="003A3061" w:rsidRPr="00BB11AF" w:rsidRDefault="003A3061" w:rsidP="003A3061">
      <w:pPr>
        <w:spacing w:before="120" w:after="120"/>
        <w:jc w:val="both"/>
      </w:pPr>
      <w:r w:rsidRPr="00BB11AF">
        <w:t>Il faut clairement spécifier ici qu'affirmer l'existence d'intérêts di</w:t>
      </w:r>
      <w:r w:rsidRPr="00BB11AF">
        <w:t>f</w:t>
      </w:r>
      <w:r w:rsidRPr="00BB11AF">
        <w:t>férents envers la crise n'est pas la même chose que de dire que la crise est le produit d'un conflit d'intérêts différents. Il s'agit plutôt de dire que les forces sociales qui constituent le champ de lutte politique s'i</w:t>
      </w:r>
      <w:r w:rsidRPr="00BB11AF">
        <w:t>n</w:t>
      </w:r>
      <w:r w:rsidRPr="00BB11AF">
        <w:t>vestissent de façons différentes dans la situation de crise. Par exemple, une crise dans une usine peut bien être le produit des différences d'i</w:t>
      </w:r>
      <w:r w:rsidRPr="00BB11AF">
        <w:t>n</w:t>
      </w:r>
      <w:r w:rsidRPr="00BB11AF">
        <w:t>térêts entre les ouvriers et leur patron, mais, en même temps, ces di</w:t>
      </w:r>
      <w:r w:rsidRPr="00BB11AF">
        <w:t>f</w:t>
      </w:r>
      <w:r w:rsidRPr="00BB11AF">
        <w:t>férents intérêts qui ont généré la crise les conduisent aussi à une diff</w:t>
      </w:r>
      <w:r w:rsidRPr="00BB11AF">
        <w:t>é</w:t>
      </w:r>
      <w:r w:rsidRPr="00BB11AF">
        <w:t>rence dans l'intérêt qu'ils portent à la crise. Le synd</w:t>
      </w:r>
      <w:r w:rsidRPr="00BB11AF">
        <w:t>i</w:t>
      </w:r>
      <w:r w:rsidRPr="00BB11AF">
        <w:t>cat, par exemple, peut voir dans la crise un moyen d'accélérer la syndicalisation des o</w:t>
      </w:r>
      <w:r w:rsidRPr="00BB11AF">
        <w:t>u</w:t>
      </w:r>
      <w:r w:rsidRPr="00BB11AF">
        <w:t>vriers. Cependant, le patron peut aussi avoir intérêt à la crise et même à faire croire que la crise est plus intense qu'elle ne l'est. Il peut s'e</w:t>
      </w:r>
      <w:r w:rsidRPr="00BB11AF">
        <w:t>n</w:t>
      </w:r>
      <w:r w:rsidRPr="00BB11AF">
        <w:t>gager dans ce qu'on pourrait appeler des stratégies d'intensification de la crise pour forcer ses ouvriers à accepter, par exemple, une réduction de salaire. Cette lutte devient non pas une lutte entre deux manières différentes d'« interpréter » la crise, mais</w:t>
      </w:r>
      <w:r>
        <w:t xml:space="preserve"> </w:t>
      </w:r>
      <w:r w:rsidRPr="00BB11AF">
        <w:t>[145]</w:t>
      </w:r>
      <w:r>
        <w:t xml:space="preserve"> </w:t>
      </w:r>
      <w:r w:rsidRPr="00BB11AF">
        <w:t>entre deux façons de vivre la crise. Le syndicat lutte pour que les o</w:t>
      </w:r>
      <w:r w:rsidRPr="00BB11AF">
        <w:t>u</w:t>
      </w:r>
      <w:r w:rsidRPr="00BB11AF">
        <w:t>vriers s'identifient à la fois à leurs identités et à leurs conditions de vie d'ouvriers et pour leur faire vivre la crise comme une lutte contre le patron vu comme adve</w:t>
      </w:r>
      <w:r w:rsidRPr="00BB11AF">
        <w:t>r</w:t>
      </w:r>
      <w:r w:rsidRPr="00BB11AF">
        <w:t>saire. Le patron lutte pour que les ouvriers s'identifient à l'usine co</w:t>
      </w:r>
      <w:r w:rsidRPr="00BB11AF">
        <w:t>m</w:t>
      </w:r>
      <w:r w:rsidRPr="00BB11AF">
        <w:t>me étant la source de leur bien-être collectif et cherche à faire vivre la crise par les ouvriers comme un moment nécessitant une solidarité entre ouvriers et patron contre « la situation économique » plutôt qu'une solidarité des ouvriers entre eux contre le patron. C'est dans ce sens que la crise devient une lutte entre diverses façons de vivre la crise ou, si l'on part d'une perspective bourdieusie</w:t>
      </w:r>
      <w:r w:rsidRPr="00BB11AF">
        <w:t>n</w:t>
      </w:r>
      <w:r w:rsidRPr="00BB11AF">
        <w:t>ne, une lutte non pas pour l'interprétation ou la construction subject</w:t>
      </w:r>
      <w:r w:rsidRPr="00BB11AF">
        <w:t>i</w:t>
      </w:r>
      <w:r w:rsidRPr="00BB11AF">
        <w:t>ve, mais une lutte « ontologique » pour la fabrication même du monde social (Bourdieu 2012). C'est aussi dans ce sens que pour comprendre les derniers su</w:t>
      </w:r>
      <w:r w:rsidRPr="00BB11AF">
        <w:t>c</w:t>
      </w:r>
      <w:r w:rsidRPr="00BB11AF">
        <w:t>cès de la « crise comme mécanisme de gouvernementalité néolibér</w:t>
      </w:r>
      <w:r w:rsidRPr="00BB11AF">
        <w:t>a</w:t>
      </w:r>
      <w:r w:rsidRPr="00BB11AF">
        <w:t>le » il faut comprendre le succès non pas d'une « idéologie », mais d'une façon particulière de vivre et de concevoir la crise, d'une ont</w:t>
      </w:r>
      <w:r w:rsidRPr="00BB11AF">
        <w:t>o</w:t>
      </w:r>
      <w:r w:rsidRPr="00BB11AF">
        <w:t>logie de la crise.</w:t>
      </w:r>
    </w:p>
    <w:p w:rsidR="003A3061" w:rsidRPr="00BB11AF" w:rsidRDefault="003A3061" w:rsidP="003A3061">
      <w:pPr>
        <w:spacing w:before="120" w:after="120"/>
        <w:jc w:val="both"/>
      </w:pPr>
      <w:r w:rsidRPr="00BB11AF">
        <w:t>Ainsi, je pense qu'une des plus importantes caractéristiques qui déf</w:t>
      </w:r>
      <w:r w:rsidRPr="00BB11AF">
        <w:t>i</w:t>
      </w:r>
      <w:r w:rsidRPr="00BB11AF">
        <w:t>nit le « gouvernement par la crise » est son caractère practico-affectif, qui est justement une transformation de la manière de vivre la crise. Ceci ayant à voir avec la relation intime que cette forme de go</w:t>
      </w:r>
      <w:r w:rsidRPr="00BB11AF">
        <w:t>u</w:t>
      </w:r>
      <w:r w:rsidRPr="00BB11AF">
        <w:t>verneme</w:t>
      </w:r>
      <w:r w:rsidRPr="00BB11AF">
        <w:t>n</w:t>
      </w:r>
      <w:r w:rsidRPr="00BB11AF">
        <w:t>talité parvient à établir entre la crise et l'exacerbation, mais aussi la routinisation d'un sentiment qui marque les crises sociales d</w:t>
      </w:r>
      <w:r w:rsidRPr="00BB11AF">
        <w:t>e</w:t>
      </w:r>
      <w:r w:rsidRPr="00BB11AF">
        <w:t>puis longtemps déjà : ce que j'appelle le sentiment, ou l'état, d'être existe</w:t>
      </w:r>
      <w:r w:rsidRPr="00BB11AF">
        <w:t>n</w:t>
      </w:r>
      <w:r w:rsidRPr="00BB11AF">
        <w:t>tiellement « coincé ».</w:t>
      </w:r>
    </w:p>
    <w:p w:rsidR="003A3061" w:rsidRPr="00BB11AF" w:rsidRDefault="003A3061" w:rsidP="003A3061">
      <w:pPr>
        <w:spacing w:before="120" w:after="120"/>
        <w:jc w:val="both"/>
      </w:pPr>
      <w:r w:rsidRPr="00BB11AF">
        <w:t>L'importance de la relation entre la crise et le sentiment d'être coincé a fortement émergé dans mes recherches sur l'immigration l</w:t>
      </w:r>
      <w:r w:rsidRPr="00BB11AF">
        <w:t>i</w:t>
      </w:r>
      <w:r w:rsidRPr="00BB11AF">
        <w:t>banaise ainsi que dans mon travail sur les racistes occidentaux. Dans ces r</w:t>
      </w:r>
      <w:r w:rsidRPr="00BB11AF">
        <w:t>e</w:t>
      </w:r>
      <w:r w:rsidRPr="00BB11AF">
        <w:t>cherches (Hage 2005), j'ai pris au sérieux l'association faite dans pl</w:t>
      </w:r>
      <w:r w:rsidRPr="00BB11AF">
        <w:t>u</w:t>
      </w:r>
      <w:r w:rsidRPr="00BB11AF">
        <w:t>sieurs langues entre une vie viable, une vie qui vaut la peine d'être vécue, et une forme de mobilité imaginaire d'ordre existentiel : l'impre</w:t>
      </w:r>
      <w:r w:rsidRPr="00BB11AF">
        <w:t>s</w:t>
      </w:r>
      <w:r w:rsidRPr="00BB11AF">
        <w:t>sion que l'on « va » quelque part, telle que l'équivalence qui existe en français entre le verbe « être » et le verbe « aller ».</w:t>
      </w:r>
    </w:p>
    <w:p w:rsidR="003A3061" w:rsidRPr="00BB11AF" w:rsidRDefault="003A3061" w:rsidP="003A3061">
      <w:pPr>
        <w:spacing w:before="120" w:after="120"/>
        <w:jc w:val="both"/>
      </w:pPr>
      <w:r w:rsidRPr="00BB11AF">
        <w:t>Dans le dialecte arabe libanais, on demande « Kiif haalak ? »-« Comment est (va) l'état de ton être »- et la réponse usuelle est « Mehsheh'l haal », qui signifie littéralement « l'état de mon être ma</w:t>
      </w:r>
      <w:r w:rsidRPr="00BB11AF">
        <w:t>r</w:t>
      </w:r>
      <w:r w:rsidRPr="00BB11AF">
        <w:t>che ». J'ai essayé de travailler avec l'idée que ce sentiment de m</w:t>
      </w:r>
      <w:r w:rsidRPr="00BB11AF">
        <w:t>o</w:t>
      </w:r>
      <w:r w:rsidRPr="00BB11AF">
        <w:t>bilité transmis par le langage n'est pas simplement métaphorique, mais qu'il confère un sens dans lequel les personnes qui « vont bien » se</w:t>
      </w:r>
      <w:r w:rsidRPr="00BB11AF">
        <w:t>n</w:t>
      </w:r>
      <w:r w:rsidRPr="00BB11AF">
        <w:t>tent réellement une projection en avant de leur être. La mobilité existe</w:t>
      </w:r>
      <w:r w:rsidRPr="00BB11AF">
        <w:t>n</w:t>
      </w:r>
      <w:r w:rsidRPr="00BB11AF">
        <w:t>tielle est ce sentiment même. Ainsi, en ce qui concerne l'émigr</w:t>
      </w:r>
      <w:r w:rsidRPr="00BB11AF">
        <w:t>a</w:t>
      </w:r>
      <w:r w:rsidRPr="00BB11AF">
        <w:t>tion, j'ai souligné que bien qu'elle soit normalement définie comme un d</w:t>
      </w:r>
      <w:r w:rsidRPr="00BB11AF">
        <w:t>é</w:t>
      </w:r>
      <w:r w:rsidRPr="00BB11AF">
        <w:t>placement physique/géographique, elle peut être mieux caractérisée analytiquement comme une quête de mobilité existentielle face à un sentiment d'immobilité, lui aussi existentiel. Les émigrés libanais d</w:t>
      </w:r>
      <w:r w:rsidRPr="00BB11AF">
        <w:t>i</w:t>
      </w:r>
      <w:r w:rsidRPr="00BB11AF">
        <w:t>sent souvent qu'ils se trouvaient au Liban dans une situation où « ils n'allaient nulle part » et où « ils couraient et couraient tout en restant là où ils étaient ». C'est ici qu'émerge la</w:t>
      </w:r>
      <w:r>
        <w:t xml:space="preserve"> </w:t>
      </w:r>
      <w:r w:rsidRPr="00BB11AF">
        <w:t>[146]</w:t>
      </w:r>
      <w:r>
        <w:t xml:space="preserve"> </w:t>
      </w:r>
      <w:r w:rsidRPr="00BB11AF">
        <w:t>question de ce qu'on pourrait appeler le « coincement » existentiel. Vu sous cet angle, l'émigré est quelqu'un qui se sent coincé, ou à tout le moins qui sent qu'il avance trop lentement dans son pays d'origine, et qui cherche à se déplacer physiquement à la recherche d'un espace qui constitue une plate-forme plus convenable au « décollage » de son être existentiel.</w:t>
      </w:r>
    </w:p>
    <w:p w:rsidR="003A3061" w:rsidRPr="00BB11AF" w:rsidRDefault="003A3061" w:rsidP="003A3061">
      <w:pPr>
        <w:spacing w:before="120" w:after="120"/>
        <w:jc w:val="both"/>
      </w:pPr>
      <w:r w:rsidRPr="00BB11AF">
        <w:t>Comme je l'ai souligné plus haut, cette question de « mobilité exi</w:t>
      </w:r>
      <w:r w:rsidRPr="00BB11AF">
        <w:t>s</w:t>
      </w:r>
      <w:r w:rsidRPr="00BB11AF">
        <w:t>te</w:t>
      </w:r>
      <w:r w:rsidRPr="00BB11AF">
        <w:t>n</w:t>
      </w:r>
      <w:r w:rsidRPr="00BB11AF">
        <w:t>tielle comparative » s'est avérée également être un phénomène const</w:t>
      </w:r>
      <w:r w:rsidRPr="00BB11AF">
        <w:t>i</w:t>
      </w:r>
      <w:r w:rsidRPr="00BB11AF">
        <w:t>tutif important de certaines formes spécifiques de racisme blanc marquées par le ressentiment et la jalousie envers les minorités ethn</w:t>
      </w:r>
      <w:r w:rsidRPr="00BB11AF">
        <w:t>i</w:t>
      </w:r>
      <w:r w:rsidRPr="00BB11AF">
        <w:t>ques et raciales. Par exemple, il y avait une croyance assez répandue, surtout parmi les cosmopolites libéraux australiens, que le r</w:t>
      </w:r>
      <w:r w:rsidRPr="00BB11AF">
        <w:t>a</w:t>
      </w:r>
      <w:r w:rsidRPr="00BB11AF">
        <w:t>cisme de la politicienne d'extrême droite Pauline Hanson et de ces partisans était une forme de « racisme de la classe ouvrière ». Pl</w:t>
      </w:r>
      <w:r w:rsidRPr="00BB11AF">
        <w:t>u</w:t>
      </w:r>
      <w:r w:rsidRPr="00BB11AF">
        <w:t>sieurs travaux ont amplement démontré que ce n'était pas du tout le cas. Mes propres recherches ont aussi démontré que le racisme hansonite provient pri</w:t>
      </w:r>
      <w:r w:rsidRPr="00BB11AF">
        <w:t>n</w:t>
      </w:r>
      <w:r w:rsidRPr="00BB11AF">
        <w:t>cipalement d'une « envie de mobilité » par des gens que l'on définit non par leurs classes sociales, mais par une expérience commune du sentiment d'être coincé (Hage 2000). Ainsi, dans les e</w:t>
      </w:r>
      <w:r w:rsidRPr="00BB11AF">
        <w:t>n</w:t>
      </w:r>
      <w:r w:rsidRPr="00BB11AF">
        <w:t>tretiens que j'ai menés avec eux, certains racistes blancs exprimaient un ressentiment envers les minorités raciales même lorsqu'ils se s</w:t>
      </w:r>
      <w:r w:rsidRPr="00BB11AF">
        <w:t>i</w:t>
      </w:r>
      <w:r w:rsidRPr="00BB11AF">
        <w:t>tuaient clairement dans un groupe socio-économique « supérieur » aux minorités qu'ils racialisaient.</w:t>
      </w:r>
    </w:p>
    <w:p w:rsidR="003A3061" w:rsidRPr="00BB11AF" w:rsidRDefault="003A3061" w:rsidP="003A3061">
      <w:pPr>
        <w:spacing w:before="120" w:after="120"/>
        <w:jc w:val="both"/>
      </w:pPr>
      <w:r w:rsidRPr="00BB11AF">
        <w:t>Ce type de ressentiment est exemplifié par l'histoire paradigmat</w:t>
      </w:r>
      <w:r w:rsidRPr="00BB11AF">
        <w:t>i</w:t>
      </w:r>
      <w:r w:rsidRPr="00BB11AF">
        <w:t>que suivante : l'histoire commence avec une personne « Blanche » poss</w:t>
      </w:r>
      <w:r w:rsidRPr="00BB11AF">
        <w:t>é</w:t>
      </w:r>
      <w:r w:rsidRPr="00BB11AF">
        <w:t>dant une belle voiture et un immigrant qui vient d'emménager dans le quartier et qui s'achète une bicyclette. Toutefois, quelque temps après son installation, l'immigrant s'achète une moto alors que la personne blanche, elle, possède toujours la même voiture. C'est à ce point que le ressentiment racial commence à se manifester dans le di</w:t>
      </w:r>
      <w:r w:rsidRPr="00BB11AF">
        <w:t>s</w:t>
      </w:r>
      <w:r w:rsidRPr="00BB11AF">
        <w:t>cours de la personne « Blanche », même si la voiture qu'elle possède a en elle-même une valeur monétaire et symbolique plus élevée que ce</w:t>
      </w:r>
      <w:r w:rsidRPr="00BB11AF">
        <w:t>l</w:t>
      </w:r>
      <w:r w:rsidRPr="00BB11AF">
        <w:t>le de la moto que l'immigrant vient de s'acheter. Ce qui irrite les raci</w:t>
      </w:r>
      <w:r w:rsidRPr="00BB11AF">
        <w:t>s</w:t>
      </w:r>
      <w:r w:rsidRPr="00BB11AF">
        <w:t>tes et les rend envieux, ce n'est pas tant la valeur de la moto que la mobilité suggérée par le passage d'une bicyclette à une moto. Leur « vieille » voiture devient pour eux le symbole de leur immobilité s</w:t>
      </w:r>
      <w:r w:rsidRPr="00BB11AF">
        <w:t>o</w:t>
      </w:r>
      <w:r w:rsidRPr="00BB11AF">
        <w:t>ciale et exi</w:t>
      </w:r>
      <w:r w:rsidRPr="00BB11AF">
        <w:t>s</w:t>
      </w:r>
      <w:r w:rsidRPr="00BB11AF">
        <w:t>tentielle. C'est dans ce sens que je fais valoir que-ainsi que dans le cas des émigrés libanais-tout comme il y a une mobilité im</w:t>
      </w:r>
      <w:r w:rsidRPr="00BB11AF">
        <w:t>a</w:t>
      </w:r>
      <w:r w:rsidRPr="00BB11AF">
        <w:t>ginaire existentielle, il y a de même une immobilité imaginaire exi</w:t>
      </w:r>
      <w:r w:rsidRPr="00BB11AF">
        <w:t>s</w:t>
      </w:r>
      <w:r w:rsidRPr="00BB11AF">
        <w:t>tentielle. Cette manière de se sentir coincé est existentielle en ce qu'e</w:t>
      </w:r>
      <w:r w:rsidRPr="00BB11AF">
        <w:t>l</w:t>
      </w:r>
      <w:r w:rsidRPr="00BB11AF">
        <w:t>le ne coïncide pas nécessairement avec une absence de mobilité soci</w:t>
      </w:r>
      <w:r w:rsidRPr="00BB11AF">
        <w:t>a</w:t>
      </w:r>
      <w:r w:rsidRPr="00BB11AF">
        <w:t>le. On peut avoir un emploi et gravir l'échelle sociale dans cet emploi et s'y sentir toujours coincé. C'est en s'appuyant sur l'observation de schèmes comportementaux similaires à ceux-ci que j'en suis venu à affirmer qu'en Australie il existe un lien entre, d'une part, le racisme envers les peuples indigènes et les immigrants exprimé par les Hans</w:t>
      </w:r>
      <w:r w:rsidRPr="00BB11AF">
        <w:t>o</w:t>
      </w:r>
      <w:r w:rsidRPr="00BB11AF">
        <w:t>nites « Blancs » racistes et, d'autre part, l'impression qu'ont ces de</w:t>
      </w:r>
      <w:r w:rsidRPr="00BB11AF">
        <w:t>r</w:t>
      </w:r>
      <w:r w:rsidRPr="00BB11AF">
        <w:t>niers de vivre dans un état de « coincement », produit par la globalis</w:t>
      </w:r>
      <w:r w:rsidRPr="00BB11AF">
        <w:t>a</w:t>
      </w:r>
      <w:r w:rsidRPr="00BB11AF">
        <w:t>tion né</w:t>
      </w:r>
      <w:r w:rsidRPr="00BB11AF">
        <w:t>o</w:t>
      </w:r>
      <w:r w:rsidRPr="00BB11AF">
        <w:t>libérale et plus particulièrement par l'insécurité</w:t>
      </w:r>
      <w:r>
        <w:t xml:space="preserve"> </w:t>
      </w:r>
      <w:r w:rsidRPr="00BB11AF">
        <w:t>[147]</w:t>
      </w:r>
      <w:r>
        <w:t xml:space="preserve"> </w:t>
      </w:r>
      <w:r w:rsidRPr="00BB11AF">
        <w:t>d'emploi qui n'a fait qu'accentuer ce sentiment d'être coincé dans son emploi ressenti partout dans le monde.</w:t>
      </w:r>
    </w:p>
    <w:p w:rsidR="003A3061" w:rsidRPr="00BB11AF" w:rsidRDefault="003A3061" w:rsidP="003A3061">
      <w:pPr>
        <w:spacing w:before="120" w:after="120"/>
        <w:jc w:val="both"/>
      </w:pPr>
      <w:r w:rsidRPr="00BB11AF">
        <w:t>Cependant, il y avait une différence fondamentale entre les Hans</w:t>
      </w:r>
      <w:r w:rsidRPr="00BB11AF">
        <w:t>o</w:t>
      </w:r>
      <w:r w:rsidRPr="00BB11AF">
        <w:t>nites et les émigrés libanais : ces derniers essayaient à tout prix de so</w:t>
      </w:r>
      <w:r w:rsidRPr="00BB11AF">
        <w:t>r</w:t>
      </w:r>
      <w:r w:rsidRPr="00BB11AF">
        <w:t>tir de leur état de coincement alors que les Hansonites semblaient avoir a</w:t>
      </w:r>
      <w:r w:rsidRPr="00BB11AF">
        <w:t>c</w:t>
      </w:r>
      <w:r w:rsidRPr="00BB11AF">
        <w:t>cepté cet état comme un mode normal d'existence dans le monde co</w:t>
      </w:r>
      <w:r w:rsidRPr="00BB11AF">
        <w:t>n</w:t>
      </w:r>
      <w:r w:rsidRPr="00BB11AF">
        <w:t>temporain.</w:t>
      </w:r>
    </w:p>
    <w:p w:rsidR="003A3061" w:rsidRPr="00BB11AF" w:rsidRDefault="003A3061" w:rsidP="003A3061">
      <w:pPr>
        <w:spacing w:before="120" w:after="120"/>
        <w:jc w:val="both"/>
      </w:pPr>
      <w:r w:rsidRPr="00BB11AF">
        <w:t>C'est justement ce que je veux faire valoir ici : bien que l'on peut tro</w:t>
      </w:r>
      <w:r w:rsidRPr="00BB11AF">
        <w:t>u</w:t>
      </w:r>
      <w:r w:rsidRPr="00BB11AF">
        <w:t>ver des cas de personnes qui se sentent coincées en tout temps et en tous lieux, les conditions sociales et historiques de la crise perm</w:t>
      </w:r>
      <w:r w:rsidRPr="00BB11AF">
        <w:t>a</w:t>
      </w:r>
      <w:r w:rsidRPr="00BB11AF">
        <w:t>nente que nous vivons ont conduit à la prolifération et à l'intensific</w:t>
      </w:r>
      <w:r w:rsidRPr="00BB11AF">
        <w:t>a</w:t>
      </w:r>
      <w:r w:rsidRPr="00BB11AF">
        <w:t>tion de ce sentiment de « coincement existentiel » ainsi qu'à sa norm</w:t>
      </w:r>
      <w:r w:rsidRPr="00BB11AF">
        <w:t>a</w:t>
      </w:r>
      <w:r w:rsidRPr="00BB11AF">
        <w:t>lisation. Plutôt que d'être perçu comme un état dont on a besoin de se sortir à tout prix, ce dernier est désormais vécu, d'une façon ambiv</w:t>
      </w:r>
      <w:r w:rsidRPr="00BB11AF">
        <w:t>a</w:t>
      </w:r>
      <w:r w:rsidRPr="00BB11AF">
        <w:t>lente, comme un état inévitable qui doit être enduré. Comme les e</w:t>
      </w:r>
      <w:r w:rsidRPr="00BB11AF">
        <w:t>s</w:t>
      </w:r>
      <w:r w:rsidRPr="00BB11AF">
        <w:t>claves de Rousseau, les sujets néolibéraux contemporains perdent tout dans leur « coincement », même le désir de s'en sortir. L'état d'être coincé devient un test d'endurance et une valorisation par le sujet né</w:t>
      </w:r>
      <w:r w:rsidRPr="00BB11AF">
        <w:t>o</w:t>
      </w:r>
      <w:r w:rsidRPr="00BB11AF">
        <w:t>libéral de la capacité à « tenir le coup ». C'est dans cette transform</w:t>
      </w:r>
      <w:r w:rsidRPr="00BB11AF">
        <w:t>a</w:t>
      </w:r>
      <w:r w:rsidRPr="00BB11AF">
        <w:t>tion socio-affective que réside, ii me semble, le pouvoir reproductif de la crise permanente.</w:t>
      </w:r>
    </w:p>
    <w:p w:rsidR="003A3061" w:rsidRPr="00BB11AF" w:rsidRDefault="003A3061" w:rsidP="003A3061">
      <w:pPr>
        <w:spacing w:before="120" w:after="120"/>
        <w:jc w:val="both"/>
      </w:pPr>
      <w:r w:rsidRPr="00BB11AF">
        <w:t>Fait intéressant à mon sens, ma recherche sur le hansonisme, alors qu'elle en était qu'à ces débuts, a coïncidé avec ce qui est maintenant connu en Australie comme étant la catastrophe de Thredbo-un gliss</w:t>
      </w:r>
      <w:r w:rsidRPr="00BB11AF">
        <w:t>e</w:t>
      </w:r>
      <w:r w:rsidRPr="00BB11AF">
        <w:t>ment de terrain s'étant produit dans l'une des stations de ski les plus célèbres d'Australie (Thredbo), où bon nombre de personnes ont perdu la vie, ensevelies sous la terre, les gravats et la neige. Une seule pe</w:t>
      </w:r>
      <w:r w:rsidRPr="00BB11AF">
        <w:t>r</w:t>
      </w:r>
      <w:r w:rsidRPr="00BB11AF">
        <w:t>sonne, Stuart Diver, a survécu sous les décombres, par des températ</w:t>
      </w:r>
      <w:r w:rsidRPr="00BB11AF">
        <w:t>u</w:t>
      </w:r>
      <w:r w:rsidRPr="00BB11AF">
        <w:t>res glaciales, coincé sous une dalle de ciment. L'Australie tout e</w:t>
      </w:r>
      <w:r w:rsidRPr="00BB11AF">
        <w:t>n</w:t>
      </w:r>
      <w:r w:rsidRPr="00BB11AF">
        <w:t>tière a alors célébré son endurance et sa survie. Toutefois, ce qui a a</w:t>
      </w:r>
      <w:r w:rsidRPr="00BB11AF">
        <w:t>t</w:t>
      </w:r>
      <w:r w:rsidRPr="00BB11AF">
        <w:t>tiré mon attention c'est le fait que cette histoire de survie trouvait un écho particulier dans les milieux culturels blancs que j'étudiais à ce même moment. Il me sembla clair que cette résonnance était le pr</w:t>
      </w:r>
      <w:r w:rsidRPr="00BB11AF">
        <w:t>o</w:t>
      </w:r>
      <w:r w:rsidRPr="00BB11AF">
        <w:t>duit d'une forme d'affinité imaginée entre le sentiment d'être coincé, à la fois s</w:t>
      </w:r>
      <w:r w:rsidRPr="00BB11AF">
        <w:t>o</w:t>
      </w:r>
      <w:r w:rsidRPr="00BB11AF">
        <w:t>cialement et existentiellement, exprimé par plusieurs Hans</w:t>
      </w:r>
      <w:r w:rsidRPr="00BB11AF">
        <w:t>o</w:t>
      </w:r>
      <w:r w:rsidRPr="00BB11AF">
        <w:t>nites et l'état d'être enseveli et coincé physiquement dont Stuart Diver a fait l'expérience lors du glissement de terrain. La célébration de sa survie était en fait la célébration de « l'héroïsme de l'homme coincé ». Dans cette forme d'héroïsme, ce n'est pas un projet que l'on accomplit act</w:t>
      </w:r>
      <w:r w:rsidRPr="00BB11AF">
        <w:t>i</w:t>
      </w:r>
      <w:r w:rsidRPr="00BB11AF">
        <w:t>vement qui fait de nous un héros, mais notre capacité d'être « bien coincé », pour ainsi dire. Être un héros dans ces circonstances signifie démontrer une capacité-considérée comme étant extraordinaire-d'endurer une situation particulière. Ceci est parlant pour plusieurs Hansonites qui, eux, estiment qu'ils célèbrent la capacité des gens o</w:t>
      </w:r>
      <w:r w:rsidRPr="00BB11AF">
        <w:t>r</w:t>
      </w:r>
      <w:r w:rsidRPr="00BB11AF">
        <w:t>dinaires à endurer une situation de crise permanente où ils se sentent incapables de s'extirper d'un milieu social</w:t>
      </w:r>
      <w:r>
        <w:t xml:space="preserve"> </w:t>
      </w:r>
      <w:r w:rsidRPr="00BB11AF">
        <w:t>[148]</w:t>
      </w:r>
      <w:r>
        <w:t xml:space="preserve"> </w:t>
      </w:r>
      <w:r w:rsidRPr="00BB11AF">
        <w:t>s'écroulant autour d'eux sous l'effet de la globalisation, d'une précar</w:t>
      </w:r>
      <w:r w:rsidRPr="00BB11AF">
        <w:t>i</w:t>
      </w:r>
      <w:r w:rsidRPr="00BB11AF">
        <w:t>sation croissante de l'emploi et de l'intensification des migrations qui ont transformé le paysage culturel qu'ils habitent.</w:t>
      </w:r>
    </w:p>
    <w:p w:rsidR="003A3061" w:rsidRPr="00BB11AF" w:rsidRDefault="003A3061" w:rsidP="003A3061">
      <w:pPr>
        <w:spacing w:before="120" w:after="120"/>
        <w:jc w:val="both"/>
      </w:pPr>
      <w:r w:rsidRPr="00BB11AF">
        <w:t>Plus d'une décennie a passé depuis que la catastrophe de Thredbo a eu lieu, mais il est à noter que cet « héroïsme du coincé » est devenu une forme culturelle généralisée et envahissante, non seulement en Australie, mais aussi aux quatre coins de la planète. Chaque trembl</w:t>
      </w:r>
      <w:r w:rsidRPr="00BB11AF">
        <w:t>e</w:t>
      </w:r>
      <w:r w:rsidRPr="00BB11AF">
        <w:t>ment de terre, chaque inondation, chaque autre catastrophe naturelle ou désa</w:t>
      </w:r>
      <w:r w:rsidRPr="00BB11AF">
        <w:t>s</w:t>
      </w:r>
      <w:r w:rsidRPr="00BB11AF">
        <w:t>tre lié à la guerre impliquant l'effondrement d'immeubles ou des pe</w:t>
      </w:r>
      <w:r w:rsidRPr="00BB11AF">
        <w:t>r</w:t>
      </w:r>
      <w:r w:rsidRPr="00BB11AF">
        <w:t>sonnes enterrées vivantes sous les décombres est l'occasion d'une c</w:t>
      </w:r>
      <w:r w:rsidRPr="00BB11AF">
        <w:t>é</w:t>
      </w:r>
      <w:r w:rsidRPr="00BB11AF">
        <w:t>lébration de la survie : un compte à rebours quasi compétitif s'installant pour trouver des personnes ayant survécu, enterrées viva</w:t>
      </w:r>
      <w:r w:rsidRPr="00BB11AF">
        <w:t>n</w:t>
      </w:r>
      <w:r w:rsidRPr="00BB11AF">
        <w:t>tes, coincées durant deux, trois, quatre ou cinq jours sous les déco</w:t>
      </w:r>
      <w:r w:rsidRPr="00BB11AF">
        <w:t>m</w:t>
      </w:r>
      <w:r w:rsidRPr="00BB11AF">
        <w:t>bres, etc.</w:t>
      </w:r>
    </w:p>
    <w:p w:rsidR="003A3061" w:rsidRPr="00BB11AF" w:rsidRDefault="003A3061" w:rsidP="003A3061">
      <w:pPr>
        <w:spacing w:before="120" w:after="120"/>
        <w:jc w:val="both"/>
      </w:pPr>
      <w:r w:rsidRPr="00BB11AF">
        <w:t>L'on peut noter un changement de la sensibilité qui accompagne cette redéfinition de l'héroïsme un peu partout. Par exemple, elle était pe</w:t>
      </w:r>
      <w:r w:rsidRPr="00BB11AF">
        <w:t>r</w:t>
      </w:r>
      <w:r w:rsidRPr="00BB11AF">
        <w:t>ceptible dans les réactions publiques lors d'un incident grandement médiatisé ayant eu lieu dans l'Himalaya. Un alpiniste qui était en ple</w:t>
      </w:r>
      <w:r w:rsidRPr="00BB11AF">
        <w:t>i</w:t>
      </w:r>
      <w:r w:rsidRPr="00BB11AF">
        <w:t>ne ascension d'une des montagnes de l'Himalaya rencontra et lai</w:t>
      </w:r>
      <w:r w:rsidRPr="00BB11AF">
        <w:t>s</w:t>
      </w:r>
      <w:r w:rsidRPr="00BB11AF">
        <w:t>sa à lui-même un autre alpiniste qui, lui, avait rencontré des difficultés et était resté littéralement « coincé » à mi-chemin. La sympathie publ</w:t>
      </w:r>
      <w:r w:rsidRPr="00BB11AF">
        <w:t>i</w:t>
      </w:r>
      <w:r w:rsidRPr="00BB11AF">
        <w:t>que envers l'alpiniste coincé fut frappante. Cette fascination envers l'état de coincement prolifère de plus en plus au sein de la culture p</w:t>
      </w:r>
      <w:r w:rsidRPr="00BB11AF">
        <w:t>o</w:t>
      </w:r>
      <w:r w:rsidRPr="00BB11AF">
        <w:t>pulaire. Il est frappant de constater, par exemple, comment - de tous les angles possibles à partir desquels l'on peut aborder l'attaque terr</w:t>
      </w:r>
      <w:r w:rsidRPr="00BB11AF">
        <w:t>o</w:t>
      </w:r>
      <w:r w:rsidRPr="00BB11AF">
        <w:t>riste du 11 septembre sur les tours jumelles de New York-le film d'Oliver Stone basé sur cet évènement traitait largement de l'héroïsme de personnes coincées dans les débris des tours attentant leur dél</w:t>
      </w:r>
      <w:r w:rsidRPr="00BB11AF">
        <w:t>i</w:t>
      </w:r>
      <w:r w:rsidRPr="00BB11AF">
        <w:t>vrance.</w:t>
      </w:r>
    </w:p>
    <w:p w:rsidR="003A3061" w:rsidRPr="00BB11AF" w:rsidRDefault="003A3061" w:rsidP="003A3061">
      <w:pPr>
        <w:spacing w:before="120" w:after="120"/>
        <w:jc w:val="both"/>
      </w:pPr>
      <w:r w:rsidRPr="00BB11AF">
        <w:t>Cette sympathie démesurée des gens envers les gens coincés re</w:t>
      </w:r>
      <w:r w:rsidRPr="00BB11AF">
        <w:t>n</w:t>
      </w:r>
      <w:r w:rsidRPr="00BB11AF">
        <w:t>voie à une transformation de ce que Raymond Williams qualifierait de structure du sentiment, construite autour de certaines notions collect</w:t>
      </w:r>
      <w:r w:rsidRPr="00BB11AF">
        <w:t>i</w:t>
      </w:r>
      <w:r w:rsidRPr="00BB11AF">
        <w:t>ves de l'héroïsme (Williams 1977). Cela veut dire qu'il y a un sens de la communauté parmi ceux qui valorisent le fait d'être coincé par la cr</w:t>
      </w:r>
      <w:r w:rsidRPr="00BB11AF">
        <w:t>i</w:t>
      </w:r>
      <w:r w:rsidRPr="00BB11AF">
        <w:t>se. Dans l'exemple paradigmatique du ressentiment raciste blanc que j'ai donné précédemment, j'affirmais que le Blanc établit ou éprouve une forme de jalousie envers la mobilité associée à l'imm</w:t>
      </w:r>
      <w:r w:rsidRPr="00BB11AF">
        <w:t>i</w:t>
      </w:r>
      <w:r w:rsidRPr="00BB11AF">
        <w:t>grant qui s'achète une moto. Toutefois, il y a un autre sentiment, plus communautaire, à partir duquel le ressentiment est éprouvé : la diff</w:t>
      </w:r>
      <w:r w:rsidRPr="00BB11AF">
        <w:t>é</w:t>
      </w:r>
      <w:r w:rsidRPr="00BB11AF">
        <w:t>rence ethnique de l'immigrant se conjugue à une différence soci</w:t>
      </w:r>
      <w:r w:rsidRPr="00BB11AF">
        <w:t>o</w:t>
      </w:r>
      <w:r w:rsidRPr="00BB11AF">
        <w:t>culturelle qui traduit à travers un ressentiment raciste l'ascension s</w:t>
      </w:r>
      <w:r w:rsidRPr="00BB11AF">
        <w:t>o</w:t>
      </w:r>
      <w:r w:rsidRPr="00BB11AF">
        <w:t>ciale de l'immigrant comme une incapacité de savoir être sagement coincé et attendre la fin de la crise « comme tout le monde ». La m</w:t>
      </w:r>
      <w:r w:rsidRPr="00BB11AF">
        <w:t>ê</w:t>
      </w:r>
      <w:r w:rsidRPr="00BB11AF">
        <w:t>me forme de classification socio-affective est à l'œuvre dans le ma</w:t>
      </w:r>
      <w:r w:rsidRPr="00BB11AF">
        <w:t>n</w:t>
      </w:r>
      <w:r w:rsidRPr="00BB11AF">
        <w:t>que de sy</w:t>
      </w:r>
      <w:r w:rsidRPr="00BB11AF">
        <w:t>m</w:t>
      </w:r>
      <w:r w:rsidRPr="00BB11AF">
        <w:t>pathie généralisé envers les demandeurs d'asile : voilà des gens qui incarnent cet ancien héroïsme de l'homme voulant s'extirper à tout prix de son état de coincement. De même, pendant les révoltes des banlieues parisiennes, l'ancien Président français Nicolas Sarkozy, alors même qu'il était ministre de l'Intérieur, fut soutenu par un grand nombre de</w:t>
      </w:r>
      <w:r>
        <w:t xml:space="preserve"> </w:t>
      </w:r>
      <w:r w:rsidRPr="00BB11AF">
        <w:t>[149]</w:t>
      </w:r>
      <w:r>
        <w:t xml:space="preserve"> </w:t>
      </w:r>
      <w:r w:rsidRPr="00BB11AF">
        <w:t>gens après avoir qualifié les jeunes révoltés de « racaille ». Dans une telle atmosphère culturelle, il devient imposs</w:t>
      </w:r>
      <w:r w:rsidRPr="00BB11AF">
        <w:t>i</w:t>
      </w:r>
      <w:r w:rsidRPr="00BB11AF">
        <w:t>ble de pouvoir me</w:t>
      </w:r>
      <w:r w:rsidRPr="00BB11AF">
        <w:t>t</w:t>
      </w:r>
      <w:r w:rsidRPr="00BB11AF">
        <w:t>tre en évidence la situation sociale difficile au sein de laquelle se trouvent les jeunes des banlieues, car pour leurs détra</w:t>
      </w:r>
      <w:r w:rsidRPr="00BB11AF">
        <w:t>c</w:t>
      </w:r>
      <w:r w:rsidRPr="00BB11AF">
        <w:t>teurs « tout le mo</w:t>
      </w:r>
      <w:r w:rsidRPr="00BB11AF">
        <w:t>n</w:t>
      </w:r>
      <w:r w:rsidRPr="00BB11AF">
        <w:t>de » vit dans des situations sociales difficiles et ce qui différencie ces jeunes garçons des autres n'est pas la condition s</w:t>
      </w:r>
      <w:r w:rsidRPr="00BB11AF">
        <w:t>o</w:t>
      </w:r>
      <w:r w:rsidRPr="00BB11AF">
        <w:t>ciale de la crise dans laquelle ils vivent, mais le fait qu'ils ne savent pas comment e</w:t>
      </w:r>
      <w:r w:rsidRPr="00BB11AF">
        <w:t>n</w:t>
      </w:r>
      <w:r w:rsidRPr="00BB11AF">
        <w:t>durer la crise héroïquement « comme tout le monde ».</w:t>
      </w:r>
    </w:p>
    <w:p w:rsidR="003A3061" w:rsidRPr="00BB11AF" w:rsidRDefault="003A3061" w:rsidP="003A3061">
      <w:pPr>
        <w:spacing w:before="120" w:after="120"/>
        <w:jc w:val="both"/>
      </w:pPr>
      <w:r w:rsidRPr="00BB11AF">
        <w:t>Il y a manifestement quelque chose d'intemporel et d'universel dans cette célébration de l'âme humaine qui endure. Cette universalité existe même lorsque chaque célébration prend aussi une forme cult</w:t>
      </w:r>
      <w:r w:rsidRPr="00BB11AF">
        <w:t>u</w:t>
      </w:r>
      <w:r w:rsidRPr="00BB11AF">
        <w:t>relle spécifique, liée au lieu où elle se déroule. Il est donc important de noter avec soin en quoi l'état d'être durablement coincé permet l'h</w:t>
      </w:r>
      <w:r w:rsidRPr="00BB11AF">
        <w:t>é</w:t>
      </w:r>
      <w:r w:rsidRPr="00BB11AF">
        <w:t>roï</w:t>
      </w:r>
      <w:r w:rsidRPr="00BB11AF">
        <w:t>s</w:t>
      </w:r>
      <w:r w:rsidRPr="00BB11AF">
        <w:t>me. De prime abord, être coincé suppose un manque d'agentivité (agency). En effet, c'est ce manque d'agentivité qui définit le « coincement », qu'il soit compris comme étant physique ou existe</w:t>
      </w:r>
      <w:r w:rsidRPr="00BB11AF">
        <w:t>n</w:t>
      </w:r>
      <w:r w:rsidRPr="00BB11AF">
        <w:t>tiel. En tant que tel, l'état d'être coincé est, par définition, une situation dans laquelle une personne souffre de l'absence de choix ou d'altern</w:t>
      </w:r>
      <w:r w:rsidRPr="00BB11AF">
        <w:t>a</w:t>
      </w:r>
      <w:r w:rsidRPr="00BB11AF">
        <w:t>tives du fait de la situation dans laquelle elle se trouve. En ce sens, co</w:t>
      </w:r>
      <w:r w:rsidRPr="00BB11AF">
        <w:t>m</w:t>
      </w:r>
      <w:r w:rsidRPr="00BB11AF">
        <w:t>ment peut-on être un héros alors que, par définition, l'on est dans une situation où l'on ne peut vraiment pas faire grand-chose ? Je pense que l'héroïsme de l'être coincé réside justement dans une capacité de se saisir de l'agentivité au sein même de son manque. C'est ce que la notion d'endurance implique : affirmer une certaine agentivité en s'a</w:t>
      </w:r>
      <w:r w:rsidRPr="00BB11AF">
        <w:t>p</w:t>
      </w:r>
      <w:r w:rsidRPr="00BB11AF">
        <w:t>puyant sur le fait que l'on n'en a pas, sans pour autant succomber et devenir une simple victime de circonstances qui conspirent à faire de soi un objet totalement dépourvu d'agentivité. En ce sens, une certaine grandeur d'âme et l'affirmation de sa « liberté d'être humain » en vie</w:t>
      </w:r>
      <w:r w:rsidRPr="00BB11AF">
        <w:t>n</w:t>
      </w:r>
      <w:r w:rsidRPr="00BB11AF">
        <w:t>nent à distiller cette même notion d'endurance, niant par le fait même la déshumanisation inhérente à cette situation.</w:t>
      </w:r>
    </w:p>
    <w:p w:rsidR="003A3061" w:rsidRPr="00BB11AF" w:rsidRDefault="003A3061" w:rsidP="003A3061">
      <w:pPr>
        <w:spacing w:before="120" w:after="120"/>
        <w:jc w:val="both"/>
      </w:pPr>
      <w:r w:rsidRPr="00BB11AF">
        <w:t>Cependant, ce que j'essaie surtout de faire valoir ici n'est ni l'aspect universel ni les aspects culturels spécifiques à cet héroïsme du coincé, mais la spécificité historique de sa signification actuelle où cet h</w:t>
      </w:r>
      <w:r w:rsidRPr="00BB11AF">
        <w:t>é</w:t>
      </w:r>
      <w:r w:rsidRPr="00BB11AF">
        <w:t>roïsme reflète l'émergence, en temps de crise permanente, d'un mode de retenue, de contrôle de soi et de gouvernement de soi, c'est-à-dire, une nouvelle forme de gouvernementalité qui appelle et, en effet, v</w:t>
      </w:r>
      <w:r w:rsidRPr="00BB11AF">
        <w:t>a</w:t>
      </w:r>
      <w:r w:rsidRPr="00BB11AF">
        <w:t>lorise la maîtrise de soi en temps de crise.</w:t>
      </w:r>
    </w:p>
    <w:p w:rsidR="003A3061" w:rsidRPr="00BB11AF" w:rsidRDefault="003A3061" w:rsidP="003A3061">
      <w:pPr>
        <w:spacing w:before="120" w:after="120"/>
        <w:jc w:val="both"/>
      </w:pPr>
      <w:r w:rsidRPr="00BB11AF">
        <w:t>Aujourd'hui, lorsque je prends l'avion, l'on me dit qu'il y a toujours la possibilité d'une « crise » et que je dois être préparé à cette éventu</w:t>
      </w:r>
      <w:r w:rsidRPr="00BB11AF">
        <w:t>a</w:t>
      </w:r>
      <w:r w:rsidRPr="00BB11AF">
        <w:t>l</w:t>
      </w:r>
      <w:r w:rsidRPr="00BB11AF">
        <w:t>i</w:t>
      </w:r>
      <w:r w:rsidRPr="00BB11AF">
        <w:t>té, que je dois connaître le fonctionnement des masques à oxygène, savoir où sont les sorties d'urgence, etc., donc si crise il y a, je serai ainsi préparé à m'autogouverner moi-même, même dans ces moments éprouvants. Même en cas de possibilité de faire face à la mort, je dois savoir comment réagir d'une manière ordonnée. Il faut toujours « savoir faire la queue en situation de crise ». Loin d'être perçu co</w:t>
      </w:r>
      <w:r w:rsidRPr="00BB11AF">
        <w:t>m</w:t>
      </w:r>
      <w:r w:rsidRPr="00BB11AF">
        <w:t>me étant un acte de lâcheté ce savoir-faire est même vu comme étant quelque chose dont on doit être fier. Cela est même conçu comme une marque de</w:t>
      </w:r>
      <w:r>
        <w:t xml:space="preserve"> </w:t>
      </w:r>
      <w:r w:rsidRPr="00BB11AF">
        <w:t>[150]</w:t>
      </w:r>
      <w:r>
        <w:t xml:space="preserve"> </w:t>
      </w:r>
      <w:r w:rsidRPr="00BB11AF">
        <w:t>l'approfondissement de notre stade de civilisation. Il est civilisé de savoir comment endurer la crise et d'agir d'une manière ordonnée, a</w:t>
      </w:r>
      <w:r w:rsidRPr="00BB11AF">
        <w:t>u</w:t>
      </w:r>
      <w:r w:rsidRPr="00BB11AF">
        <w:t>togouvernée et contenue. Ce sont les « masses du tiers-monde » non civilisées et les non-blancs qui sont imaginés comme étant totalement hystériques en situation de crise : on peut clairement noter les deux revers de ce fossé civilisationnel racialisé lors de la c</w:t>
      </w:r>
      <w:r w:rsidRPr="00BB11AF">
        <w:t>a</w:t>
      </w:r>
      <w:r w:rsidRPr="00BB11AF">
        <w:t>tastrophe de K</w:t>
      </w:r>
      <w:r w:rsidRPr="00BB11AF">
        <w:t>a</w:t>
      </w:r>
      <w:r w:rsidRPr="00BB11AF">
        <w:t>trina.</w:t>
      </w:r>
    </w:p>
    <w:p w:rsidR="003A3061" w:rsidRPr="00BB11AF" w:rsidRDefault="003A3061" w:rsidP="003A3061">
      <w:pPr>
        <w:spacing w:before="120" w:after="120"/>
        <w:jc w:val="both"/>
      </w:pPr>
      <w:r w:rsidRPr="00BB11AF">
        <w:t>Doit-on conclure de ce qui a été précédemment discuté qu'il n'est plus possible de prendre une position critique à l'égard de la crise qui mettrait l'accent sur la possibilité de changement social ? J'aimerais co</w:t>
      </w:r>
      <w:r w:rsidRPr="00BB11AF">
        <w:t>n</w:t>
      </w:r>
      <w:r w:rsidRPr="00BB11AF">
        <w:t>clure cet essai par une brève réflexion sur cette question. Il y a quelques années, des étudiants de l'Université Américaine de Be</w:t>
      </w:r>
      <w:r w:rsidRPr="00BB11AF">
        <w:t>y</w:t>
      </w:r>
      <w:r w:rsidRPr="00BB11AF">
        <w:t>routh ont dressé une tente au milieu du campus avec une pancarte indiquant : « This is a crisis-free space » [Ceci est un espace sans cr</w:t>
      </w:r>
      <w:r w:rsidRPr="00BB11AF">
        <w:t>i</w:t>
      </w:r>
      <w:r w:rsidRPr="00BB11AF">
        <w:t>se]. Une autre pancarte expliquait : « Vous êtes prié d'entrer. Il n'y a pas de crise là-dedans ». Qu'une telle conception de l'activisme ét</w:t>
      </w:r>
      <w:r w:rsidRPr="00BB11AF">
        <w:t>u</w:t>
      </w:r>
      <w:r w:rsidRPr="00BB11AF">
        <w:t>diant provienne du Liban est très instructif, car ce pays constitue un exemple extrême de l'état de crise permanente que nous avons exam</w:t>
      </w:r>
      <w:r w:rsidRPr="00BB11AF">
        <w:t>i</w:t>
      </w:r>
      <w:r w:rsidRPr="00BB11AF">
        <w:t>né précédemment. Bien plus, cet état est si extrême que nous pouvons réellement parler d'un état critique permanent. La notion d'état critique doit être comprise ici dans son sens médical pour que ses ramific</w:t>
      </w:r>
      <w:r w:rsidRPr="00BB11AF">
        <w:t>a</w:t>
      </w:r>
      <w:r w:rsidRPr="00BB11AF">
        <w:t>tions politiques soient bien saisies.</w:t>
      </w:r>
    </w:p>
    <w:p w:rsidR="003A3061" w:rsidRPr="00BB11AF" w:rsidRDefault="003A3061" w:rsidP="003A3061">
      <w:pPr>
        <w:spacing w:before="120" w:after="120"/>
        <w:jc w:val="both"/>
      </w:pPr>
      <w:r w:rsidRPr="00BB11AF">
        <w:t>Les patients sont considérés comme étant dans un état critique lor</w:t>
      </w:r>
      <w:r w:rsidRPr="00BB11AF">
        <w:t>s</w:t>
      </w:r>
      <w:r w:rsidRPr="00BB11AF">
        <w:t>qu'ils sont perçus comme étant à la frontière entre la vie et la mort. On n'est pas au chevet de tels patients pour penser avec eux des pr</w:t>
      </w:r>
      <w:r w:rsidRPr="00BB11AF">
        <w:t>o</w:t>
      </w:r>
      <w:r w:rsidRPr="00BB11AF">
        <w:t>jets de futur. Tout simplement, nos espoirs sont limités à souhaiter de les r</w:t>
      </w:r>
      <w:r w:rsidRPr="00BB11AF">
        <w:t>e</w:t>
      </w:r>
      <w:r w:rsidRPr="00BB11AF">
        <w:t>trouver toujours vivants le lendemain. En effet, c'est exactement la façon dont laquelle la politique libanaise comme état critique pe</w:t>
      </w:r>
      <w:r w:rsidRPr="00BB11AF">
        <w:t>r</w:t>
      </w:r>
      <w:r w:rsidRPr="00BB11AF">
        <w:t>manent est vécue. C'est une politique du bord du gouffre. Comme dans le cas du patient critique ci-dessus, dans de telles circonstances il n'y a pas beaucoup de place pour « penser grand » politiquement. On espère seulement que le pays puisse survivre d'un jour à l'autre. En effet, la plupart des Libanais se réveillent chaque matin en pensant : « i</w:t>
      </w:r>
      <w:r w:rsidRPr="00BB11AF">
        <w:t>n</w:t>
      </w:r>
      <w:r w:rsidRPr="00BB11AF">
        <w:t>croyable, le pays ne s'est pas encore effondré ! ». C'est ainsi que le Liban nous offre un cas, certes extrême, mais instructif, de l'imagina</w:t>
      </w:r>
      <w:r w:rsidRPr="00BB11AF">
        <w:t>i</w:t>
      </w:r>
      <w:r w:rsidRPr="00BB11AF">
        <w:t>re politique rétréci-et de l'impossibilité de penser des alternatives s</w:t>
      </w:r>
      <w:r w:rsidRPr="00BB11AF">
        <w:t>o</w:t>
      </w:r>
      <w:r w:rsidRPr="00BB11AF">
        <w:t>ciales-qui prévaut lorsque l'on est plongé dans un état permanent de crise. En effet, la condition même de cet état d'être coincé, que nous avons examiné tout au long de cet essai, n'est possible qu'en raison de l'absence de la possibilité d'une voie politique alternative. Ainsi, cette absence fait partie intégrale de la définition même de l'état d'être coi</w:t>
      </w:r>
      <w:r w:rsidRPr="00BB11AF">
        <w:t>n</w:t>
      </w:r>
      <w:r w:rsidRPr="00BB11AF">
        <w:t>cé. Voici pourquoi la tente « sans crise » évoquée plus tôt est aussi une invitation à penser différemment les implications d'une politique intellectuelle critique vis-à-vis de la crise. Plutôt qu'une pensée polit</w:t>
      </w:r>
      <w:r w:rsidRPr="00BB11AF">
        <w:t>i</w:t>
      </w:r>
      <w:r w:rsidRPr="00BB11AF">
        <w:t>que conçue dans une lignée hégélienne comme une opposition i</w:t>
      </w:r>
      <w:r w:rsidRPr="00BB11AF">
        <w:t>n</w:t>
      </w:r>
      <w:r w:rsidRPr="00BB11AF">
        <w:t>terne à la crise conduisant à un dépassement dialectique de cette crise, la tente nous offre une métaphore d'une pensée hors crise, surtout hors de son emprise socio-affective que nous avons décrite tout au long de cet essai. Bref, une pensée « alter-crise » plutôt qu'« anti-crise » (Hage 2012).</w:t>
      </w:r>
    </w:p>
    <w:p w:rsidR="003A3061" w:rsidRPr="00BB11AF" w:rsidRDefault="003A3061" w:rsidP="003A3061">
      <w:pPr>
        <w:spacing w:before="120" w:after="120"/>
        <w:jc w:val="both"/>
      </w:pPr>
      <w:r w:rsidRPr="00BB11AF">
        <w:t>[151]</w:t>
      </w:r>
    </w:p>
    <w:p w:rsidR="003A3061" w:rsidRPr="00BB11AF" w:rsidRDefault="003A3061" w:rsidP="003A3061">
      <w:pPr>
        <w:spacing w:before="120" w:after="120"/>
        <w:jc w:val="both"/>
      </w:pPr>
    </w:p>
    <w:p w:rsidR="003A3061" w:rsidRPr="00BB11AF" w:rsidRDefault="003A3061" w:rsidP="003A3061">
      <w:pPr>
        <w:pStyle w:val="planche"/>
      </w:pPr>
      <w:r w:rsidRPr="00BB11AF">
        <w:t>Références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 xml:space="preserve">Bourdieu, P. 2012. </w:t>
      </w:r>
      <w:r w:rsidRPr="00BB11AF">
        <w:rPr>
          <w:i/>
        </w:rPr>
        <w:t>Sur l'État</w:t>
      </w:r>
      <w:r w:rsidRPr="00BB11AF">
        <w:t>. Paris : Raisons d'agir.</w:t>
      </w:r>
    </w:p>
    <w:p w:rsidR="003A3061" w:rsidRPr="00BB11AF" w:rsidRDefault="003A3061" w:rsidP="003A3061">
      <w:pPr>
        <w:spacing w:before="120" w:after="120"/>
        <w:jc w:val="both"/>
      </w:pPr>
      <w:r w:rsidRPr="00BB11AF">
        <w:t xml:space="preserve">Hage, G. 2000. </w:t>
      </w:r>
      <w:r w:rsidRPr="00BB11AF">
        <w:rPr>
          <w:i/>
        </w:rPr>
        <w:t>White Nation. Fantasies of White Supremacy in a Multicultural Society</w:t>
      </w:r>
      <w:r w:rsidRPr="00BB11AF">
        <w:t>. New York : Routledge.</w:t>
      </w:r>
    </w:p>
    <w:p w:rsidR="003A3061" w:rsidRPr="00BB11AF" w:rsidRDefault="003A3061" w:rsidP="003A3061">
      <w:pPr>
        <w:spacing w:before="120" w:after="120"/>
        <w:jc w:val="both"/>
      </w:pPr>
      <w:r>
        <w:t xml:space="preserve">_____, </w:t>
      </w:r>
      <w:r w:rsidRPr="00BB11AF">
        <w:t>2005. « A Not so Multi-Sited Ethnography of a Not so Imagined Community ». Anthropological Theory, 5(4) : 463-475.</w:t>
      </w:r>
    </w:p>
    <w:p w:rsidR="003A3061" w:rsidRPr="00BB11AF" w:rsidRDefault="003A3061" w:rsidP="003A3061">
      <w:pPr>
        <w:spacing w:before="120" w:after="120"/>
        <w:jc w:val="both"/>
      </w:pPr>
      <w:r>
        <w:t xml:space="preserve">_____, </w:t>
      </w:r>
      <w:r w:rsidRPr="00BB11AF">
        <w:t>2012. « Critical Anthropological Thought and the Radical Polit</w:t>
      </w:r>
      <w:r w:rsidRPr="00BB11AF">
        <w:t>i</w:t>
      </w:r>
      <w:r w:rsidRPr="00BB11AF">
        <w:t xml:space="preserve">cal Imaginary ». </w:t>
      </w:r>
      <w:r w:rsidRPr="00BB11AF">
        <w:rPr>
          <w:i/>
        </w:rPr>
        <w:t>Critique of Anthropology</w:t>
      </w:r>
      <w:r w:rsidRPr="00BB11AF">
        <w:t>, 32(3) : 285-308.</w:t>
      </w:r>
    </w:p>
    <w:p w:rsidR="003A3061" w:rsidRPr="00BB11AF" w:rsidRDefault="003A3061" w:rsidP="003A3061">
      <w:pPr>
        <w:spacing w:before="120" w:after="120"/>
        <w:jc w:val="both"/>
      </w:pPr>
      <w:r w:rsidRPr="00BB11AF">
        <w:t xml:space="preserve">Williams, R. 1977. </w:t>
      </w:r>
      <w:r w:rsidRPr="00BB11AF">
        <w:rPr>
          <w:i/>
        </w:rPr>
        <w:t>Marxism and Literature</w:t>
      </w:r>
      <w:r w:rsidRPr="00BB11AF">
        <w:t>. Oxford : Oxford Un</w:t>
      </w:r>
      <w:r w:rsidRPr="00BB11AF">
        <w:t>i</w:t>
      </w:r>
      <w:r w:rsidRPr="00BB11AF">
        <w:t>versity Press.</w:t>
      </w:r>
    </w:p>
    <w:p w:rsidR="003A3061" w:rsidRPr="00BB11AF" w:rsidRDefault="003A3061" w:rsidP="003A3061">
      <w:pPr>
        <w:spacing w:before="120" w:after="120"/>
        <w:jc w:val="both"/>
      </w:pPr>
    </w:p>
    <w:p w:rsidR="003A3061" w:rsidRPr="00BB11AF" w:rsidRDefault="003A3061" w:rsidP="003A3061">
      <w:pPr>
        <w:spacing w:before="120" w:after="120"/>
        <w:jc w:val="both"/>
      </w:pPr>
    </w:p>
    <w:p w:rsidR="003A3061" w:rsidRPr="00BB11AF" w:rsidRDefault="003A3061" w:rsidP="003A3061">
      <w:pPr>
        <w:pStyle w:val="p"/>
      </w:pPr>
      <w:r w:rsidRPr="00BB11AF">
        <w:t>[152]</w:t>
      </w:r>
    </w:p>
    <w:p w:rsidR="003A3061" w:rsidRPr="00BB11AF" w:rsidRDefault="003A3061" w:rsidP="003A3061">
      <w:pPr>
        <w:pStyle w:val="p"/>
      </w:pPr>
      <w:r w:rsidRPr="00BB11AF">
        <w:br w:type="page"/>
        <w:t>[153]</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hanging="20"/>
        <w:jc w:val="center"/>
        <w:rPr>
          <w:b/>
          <w:sz w:val="24"/>
        </w:rPr>
      </w:pPr>
      <w:bookmarkStart w:id="13" w:name="Crise_et_mise_en_crise_texte_10"/>
      <w:r w:rsidRPr="00BB11AF">
        <w:rPr>
          <w:b/>
          <w:i/>
          <w:color w:val="FF0000"/>
          <w:sz w:val="24"/>
        </w:rPr>
        <w:t>Crise</w:t>
      </w:r>
      <w:r w:rsidRPr="00BB11AF">
        <w:rPr>
          <w:b/>
          <w:sz w:val="24"/>
        </w:rPr>
        <w:t xml:space="preserve"> et mise en </w:t>
      </w:r>
      <w:r w:rsidRPr="00BB11AF">
        <w:rPr>
          <w:b/>
          <w:i/>
          <w:color w:val="FF0000"/>
          <w:sz w:val="24"/>
        </w:rPr>
        <w:t>crise</w:t>
      </w:r>
      <w:r w:rsidRPr="00BB11AF">
        <w:rPr>
          <w:b/>
          <w:sz w:val="24"/>
        </w:rPr>
        <w:t>.</w:t>
      </w:r>
    </w:p>
    <w:p w:rsidR="003A3061" w:rsidRPr="00BB11AF" w:rsidRDefault="003A3061" w:rsidP="003A3061">
      <w:pPr>
        <w:spacing w:after="120"/>
        <w:jc w:val="center"/>
        <w:rPr>
          <w:sz w:val="24"/>
        </w:rPr>
      </w:pPr>
      <w:r w:rsidRPr="00BB11AF">
        <w:rPr>
          <w:sz w:val="24"/>
        </w:rPr>
        <w:t>Actes du colloque annuel de l’ACSALF 2012.</w:t>
      </w:r>
    </w:p>
    <w:p w:rsidR="003A3061" w:rsidRPr="00BB11AF" w:rsidRDefault="003A3061" w:rsidP="003A3061">
      <w:pPr>
        <w:pStyle w:val="Titreniveau1"/>
      </w:pPr>
      <w:r w:rsidRPr="00BB11AF">
        <w:t>10</w:t>
      </w:r>
    </w:p>
    <w:p w:rsidR="003A3061" w:rsidRPr="00BB11AF" w:rsidRDefault="003A3061" w:rsidP="003A3061">
      <w:pPr>
        <w:pStyle w:val="Titreniveau2"/>
      </w:pPr>
      <w:r w:rsidRPr="00BB11AF">
        <w:t>“Théorie de la corruption,</w:t>
      </w:r>
      <w:r w:rsidRPr="00BB11AF">
        <w:br/>
        <w:t>restreinte et générale.”</w:t>
      </w:r>
    </w:p>
    <w:bookmarkEnd w:id="13"/>
    <w:p w:rsidR="003A3061" w:rsidRPr="00BB11AF" w:rsidRDefault="003A3061" w:rsidP="003A3061">
      <w:pPr>
        <w:jc w:val="both"/>
        <w:rPr>
          <w:szCs w:val="36"/>
        </w:rPr>
      </w:pPr>
    </w:p>
    <w:p w:rsidR="003A3061" w:rsidRPr="00BB11AF" w:rsidRDefault="003A3061" w:rsidP="003A3061">
      <w:pPr>
        <w:pStyle w:val="suite"/>
      </w:pPr>
      <w:r w:rsidRPr="00BB11AF">
        <w:t>Par Gilles GAGNÉ</w:t>
      </w:r>
    </w:p>
    <w:p w:rsidR="003A3061" w:rsidRPr="00BB11AF" w:rsidRDefault="003A3061" w:rsidP="003A3061">
      <w:pPr>
        <w:pStyle w:val="auteurst"/>
      </w:pPr>
      <w:r w:rsidRPr="00BB11AF">
        <w:t>Université Laval</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right="90" w:firstLine="0"/>
        <w:jc w:val="both"/>
        <w:rPr>
          <w:sz w:val="20"/>
        </w:rPr>
      </w:pPr>
      <w:hyperlink w:anchor="tdm" w:history="1">
        <w:r w:rsidRPr="00BB11AF">
          <w:rPr>
            <w:rStyle w:val="Lienhypertexte"/>
            <w:sz w:val="20"/>
          </w:rPr>
          <w:t>Retour à la table des matières</w:t>
        </w:r>
      </w:hyperlink>
    </w:p>
    <w:p w:rsidR="003A3061" w:rsidRPr="00BB11AF" w:rsidRDefault="003A3061" w:rsidP="003A3061">
      <w:pPr>
        <w:spacing w:before="120" w:after="120"/>
        <w:jc w:val="both"/>
      </w:pPr>
      <w:r w:rsidRPr="00BB11AF">
        <w:t>Il y a plus d'un an, lorsque le gouvernement libéral a finalement accepté d'in</w:t>
      </w:r>
      <w:r w:rsidRPr="00BB11AF">
        <w:t>s</w:t>
      </w:r>
      <w:r w:rsidRPr="00BB11AF">
        <w:t>taurer l'actuelle commission d'enquête sur la corruption, j'ai eu le sentiment que cet exercice risquait d'orienter la réflexion sur l'État et sur la globalisation capitaliste vers l'un des aspects seconda</w:t>
      </w:r>
      <w:r w:rsidRPr="00BB11AF">
        <w:t>i</w:t>
      </w:r>
      <w:r w:rsidRPr="00BB11AF">
        <w:t>res de la révolution en cours, la question de la ma</w:t>
      </w:r>
      <w:r w:rsidRPr="00BB11AF">
        <w:t>l</w:t>
      </w:r>
      <w:r w:rsidRPr="00BB11AF">
        <w:t>honnêteté. Il est clair que la corruption dans la sphère politique est le multiplic</w:t>
      </w:r>
      <w:r w:rsidRPr="00BB11AF">
        <w:t>a</w:t>
      </w:r>
      <w:r w:rsidRPr="00BB11AF">
        <w:t>teur de toutes les malhonnêtetés, même lorsqu'elle n'en est pas l'origine, mais il est clair aussi qu'elle ne prend elle-même un caractère endémique que sur le fond d'un abandon généralisé d'une idée de l'État dont sont imputables ceux qui y représe</w:t>
      </w:r>
      <w:r w:rsidRPr="00BB11AF">
        <w:t>n</w:t>
      </w:r>
      <w:r w:rsidRPr="00BB11AF">
        <w:t>tent la volonté populaire. Les crises dont nous voulons discuter dans le cadre de ce colloque : celles des régimes forts qui sont installés dans l'habitude de défendre l'auton</w:t>
      </w:r>
      <w:r w:rsidRPr="00BB11AF">
        <w:t>o</w:t>
      </w:r>
      <w:r w:rsidRPr="00BB11AF">
        <w:t>mie nationale contre l'oppression i</w:t>
      </w:r>
      <w:r w:rsidRPr="00BB11AF">
        <w:t>m</w:t>
      </w:r>
      <w:r w:rsidRPr="00BB11AF">
        <w:t>périale, mais d'une manière qui ne laisse plus aucun mérite à la première, et celles des économies dév</w:t>
      </w:r>
      <w:r w:rsidRPr="00BB11AF">
        <w:t>e</w:t>
      </w:r>
      <w:r w:rsidRPr="00BB11AF">
        <w:t>loppées où l'on oppose, jusqu'à l'effondrement, la rationalité des ma</w:t>
      </w:r>
      <w:r w:rsidRPr="00BB11AF">
        <w:t>r</w:t>
      </w:r>
      <w:r w:rsidRPr="00BB11AF">
        <w:t>chés globalisés à toute forme de débat démocrat</w:t>
      </w:r>
      <w:r w:rsidRPr="00BB11AF">
        <w:t>i</w:t>
      </w:r>
      <w:r w:rsidRPr="00BB11AF">
        <w:t>que national, sont autant de conséquences de la longue crise de l'État que la stagnation des années 1970 a provoquée, une crise des régulations qui a tran</w:t>
      </w:r>
      <w:r w:rsidRPr="00BB11AF">
        <w:t>s</w:t>
      </w:r>
      <w:r w:rsidRPr="00BB11AF">
        <w:t>formé le néolibéralisme en une sol</w:t>
      </w:r>
      <w:r w:rsidRPr="00BB11AF">
        <w:t>u</w:t>
      </w:r>
      <w:r w:rsidRPr="00BB11AF">
        <w:t>tion universelle qui nous afflige aujourd'hui. C'est au fil de ce processus que les mo</w:t>
      </w:r>
      <w:r w:rsidRPr="00BB11AF">
        <w:t>n</w:t>
      </w:r>
      <w:r w:rsidRPr="00BB11AF">
        <w:t>naies nationales ont perdues leur statut de « biens publics » et que toute dépense co</w:t>
      </w:r>
      <w:r w:rsidRPr="00BB11AF">
        <w:t>l</w:t>
      </w:r>
      <w:r w:rsidRPr="00BB11AF">
        <w:t>lective a été frappée du soupçon de reposer sur la sp</w:t>
      </w:r>
      <w:r w:rsidRPr="00BB11AF">
        <w:t>o</w:t>
      </w:r>
      <w:r w:rsidRPr="00BB11AF">
        <w:t>liation des avoirs pr</w:t>
      </w:r>
      <w:r w:rsidRPr="00BB11AF">
        <w:t>i</w:t>
      </w:r>
      <w:r w:rsidRPr="00BB11AF">
        <w:t>vés. Le bien commun a ainsi été transformé en condition technique du bon fonctionnement de la liberté des « acteurs » économiques, la fiscalité a été délégitimée et l'État, dont on montrait qu'il était devenu (au Sud) un système d'extorsion, fut abandonné (au Nord) à des polit</w:t>
      </w:r>
      <w:r w:rsidRPr="00BB11AF">
        <w:t>i</w:t>
      </w:r>
      <w:r w:rsidRPr="00BB11AF">
        <w:t>ciens qui promettaient de le réduire au statut d'instrument des ma</w:t>
      </w:r>
      <w:r w:rsidRPr="00BB11AF">
        <w:t>r</w:t>
      </w:r>
      <w:r w:rsidRPr="00BB11AF">
        <w:t>chés. Voués à dégrader le principe m</w:t>
      </w:r>
      <w:r w:rsidRPr="00BB11AF">
        <w:t>ê</w:t>
      </w:r>
      <w:r w:rsidRPr="00BB11AF">
        <w:t>me des institutions publiques, les agents de ce programme n'avaient rien à opposer à la malhonnêteté ordinaire quand elle se présentait à eux à l'abri des regards et la petite corruption est devenue ainsi une composante régulière de la crise des régulations, c'est-à-dire de la co</w:t>
      </w:r>
      <w:r w:rsidRPr="00BB11AF">
        <w:t>r</w:t>
      </w:r>
      <w:r w:rsidRPr="00BB11AF">
        <w:t>ruption de l'État.</w:t>
      </w:r>
    </w:p>
    <w:p w:rsidR="003A3061" w:rsidRPr="00BB11AF" w:rsidRDefault="003A3061" w:rsidP="003A3061">
      <w:pPr>
        <w:spacing w:before="120" w:after="120"/>
        <w:jc w:val="both"/>
      </w:pPr>
      <w:r w:rsidRPr="00BB11AF">
        <w:t>[154]</w:t>
      </w:r>
    </w:p>
    <w:p w:rsidR="003A3061" w:rsidRPr="00BB11AF" w:rsidRDefault="003A3061" w:rsidP="003A3061">
      <w:pPr>
        <w:spacing w:before="120" w:after="120"/>
        <w:jc w:val="both"/>
      </w:pPr>
      <w:r w:rsidRPr="00BB11AF">
        <w:t>La qualité du spectacle mis en onde ces dernières semaines par n</w:t>
      </w:r>
      <w:r w:rsidRPr="00BB11AF">
        <w:t>o</w:t>
      </w:r>
      <w:r w:rsidRPr="00BB11AF">
        <w:t>tre commission d'enquête, chaussettes incluses, a confirmé mes crai</w:t>
      </w:r>
      <w:r w:rsidRPr="00BB11AF">
        <w:t>n</w:t>
      </w:r>
      <w:r w:rsidRPr="00BB11AF">
        <w:t>tes quant à la possibilité que les révélations portant sur les env</w:t>
      </w:r>
      <w:r w:rsidRPr="00BB11AF">
        <w:t>e</w:t>
      </w:r>
      <w:r w:rsidRPr="00BB11AF">
        <w:t>loppes brunes ne nous servent qu'à abandonner la proie pour l'ombre. Comme on pouvait le redouter, en effet, les premières conclusions de « l'homme de la rue », telles que mises en scène par les médias, sont tombées systématiquement à côté de la question : « Là où il y a de l'homme il y a de l'hommerie », entend-on, « Les choses ont toujours été ainsi », bref : « Ainsi va la politique ». Sur une échelle de persp</w:t>
      </w:r>
      <w:r w:rsidRPr="00BB11AF">
        <w:t>i</w:t>
      </w:r>
      <w:r w:rsidRPr="00BB11AF">
        <w:t>cacité allant de un à dix, ce genre d'interprétation se mériterait un gros zéro. La discussion sur le politique, sur l'État et sur les institutions p</w:t>
      </w:r>
      <w:r w:rsidRPr="00BB11AF">
        <w:t>u</w:t>
      </w:r>
      <w:r w:rsidRPr="00BB11AF">
        <w:t>bliques s'est ainsi engagée dans un détour par la malhonnêteté dont il lui faudra éventuellement revenir. Car même la mise en lumière des « systèmes » de la collusion risque de nous éloigner des problèmes de longue portée dont ces phénomènes sont la manifestation.</w:t>
      </w:r>
    </w:p>
    <w:p w:rsidR="003A3061" w:rsidRPr="00BB11AF" w:rsidRDefault="003A3061" w:rsidP="003A3061">
      <w:pPr>
        <w:spacing w:before="120" w:after="120"/>
        <w:jc w:val="both"/>
      </w:pPr>
      <w:r w:rsidRPr="00BB11AF">
        <w:t>Le but de mon exposé est d'élargir notre approche conceptuelle du problème de la corruption des acteurs pour y inclure celle des instit</w:t>
      </w:r>
      <w:r w:rsidRPr="00BB11AF">
        <w:t>u</w:t>
      </w:r>
      <w:r w:rsidRPr="00BB11AF">
        <w:t>tions et des pratiques institutionnalisées. Je vous proposerai pour cela une typologie qui opposera d'abord à la corruption que l'on associe à la malhonnêteté celle qui prospère au grand jour et en toute honnêteté, une typologie qui distinguera ensuite, pour chaque genre, la forme exceptionnelle de la forme systématique. Cet exposé consistera donc tout simplement à soutenir que la croissance de la corruption malho</w:t>
      </w:r>
      <w:r w:rsidRPr="00BB11AF">
        <w:t>n</w:t>
      </w:r>
      <w:r w:rsidRPr="00BB11AF">
        <w:t>nête des pouvoirs publics et des professions est une forme parmi d'a</w:t>
      </w:r>
      <w:r w:rsidRPr="00BB11AF">
        <w:t>u</w:t>
      </w:r>
      <w:r w:rsidRPr="00BB11AF">
        <w:t>tres d'un procès de corruption plus général du politique et qu'il nous faut un concept de la corruption qui emprunte à Aristote la di</w:t>
      </w:r>
      <w:r w:rsidRPr="00BB11AF">
        <w:t>s</w:t>
      </w:r>
      <w:r w:rsidRPr="00BB11AF">
        <w:t>tinction qu'il faisait entre ce qui se conserve et ce qui se perd.</w:t>
      </w:r>
    </w:p>
    <w:p w:rsidR="003A3061" w:rsidRPr="00BB11AF" w:rsidRDefault="003A3061" w:rsidP="003A3061">
      <w:pPr>
        <w:spacing w:before="120" w:after="120"/>
        <w:jc w:val="both"/>
      </w:pPr>
      <w:r w:rsidRPr="00BB11AF">
        <w:t>Je vous proposerai donc une phénoménologie de la corruption et je croiserai pour cela les distinctions que je viens d'évoquer dans un ca</w:t>
      </w:r>
      <w:r w:rsidRPr="00BB11AF">
        <w:t>r</w:t>
      </w:r>
      <w:r w:rsidRPr="00BB11AF">
        <w:t>ré à quatre termes que j'appellerai, pour faire image, la pomme pou</w:t>
      </w:r>
      <w:r w:rsidRPr="00BB11AF">
        <w:t>r</w:t>
      </w:r>
      <w:r w:rsidRPr="00BB11AF">
        <w:t>rie, la symbiose, le dopage et le grand marché des valeurs. Je soutie</w:t>
      </w:r>
      <w:r w:rsidRPr="00BB11AF">
        <w:t>n</w:t>
      </w:r>
      <w:r w:rsidRPr="00BB11AF">
        <w:t>drai que les deux premières formes se caractérisent par un hommage du vice à la vertu qui préserve « l'idée » des choses que cet hommage corrompt alors que les deux dernières se caractérisent par une génér</w:t>
      </w:r>
      <w:r w:rsidRPr="00BB11AF">
        <w:t>a</w:t>
      </w:r>
      <w:r w:rsidRPr="00BB11AF">
        <w:t>lisation intempestive de vertus qui corrompent en toute honnêteté et qui dénaturent le principe même de ce qu'elles touchent. Après avoir évoqué la notion de la bonne gouvernance en introduction, je revie</w:t>
      </w:r>
      <w:r w:rsidRPr="00BB11AF">
        <w:t>n</w:t>
      </w:r>
      <w:r w:rsidRPr="00BB11AF">
        <w:t>drai en conclusion sur le caractère « critique » du capitalisme global</w:t>
      </w:r>
      <w:r w:rsidRPr="00BB11AF">
        <w:t>i</w:t>
      </w:r>
      <w:r w:rsidRPr="00BB11AF">
        <w:t>sé pour faire le lien avec la corruption des institutions publiques qui, dorénavant, lui « appartiennent » (sociologiquement sinon juridiqu</w:t>
      </w:r>
      <w:r w:rsidRPr="00BB11AF">
        <w:t>e</w:t>
      </w:r>
      <w:r w:rsidRPr="00BB11AF">
        <w:t>ment).</w:t>
      </w:r>
    </w:p>
    <w:p w:rsidR="003A3061" w:rsidRPr="00BB11AF" w:rsidRDefault="003A3061" w:rsidP="003A3061">
      <w:pPr>
        <w:spacing w:before="120" w:after="120"/>
        <w:jc w:val="both"/>
      </w:pPr>
    </w:p>
    <w:p w:rsidR="003A3061" w:rsidRPr="00BB11AF" w:rsidRDefault="003A3061" w:rsidP="003A3061">
      <w:pPr>
        <w:pStyle w:val="planche"/>
      </w:pPr>
      <w:r w:rsidRPr="00BB11AF">
        <w:t>Corruption et bonne gouvernance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Nous assistons actuellement à une extraordinaire montée de la co</w:t>
      </w:r>
      <w:r w:rsidRPr="00BB11AF">
        <w:t>r</w:t>
      </w:r>
      <w:r w:rsidRPr="00BB11AF">
        <w:t>ruption, aussi bien en quantité qu'en qualité. Le phénomène de la co</w:t>
      </w:r>
      <w:r w:rsidRPr="00BB11AF">
        <w:t>r</w:t>
      </w:r>
      <w:r w:rsidRPr="00BB11AF">
        <w:t>ruption a été « reconstruit » ces dernières années par les</w:t>
      </w:r>
      <w:r>
        <w:t xml:space="preserve"> </w:t>
      </w:r>
      <w:r w:rsidRPr="00BB11AF">
        <w:t>[155]</w:t>
      </w:r>
      <w:r>
        <w:t xml:space="preserve"> </w:t>
      </w:r>
      <w:r w:rsidRPr="00BB11AF">
        <w:t>prat</w:t>
      </w:r>
      <w:r w:rsidRPr="00BB11AF">
        <w:t>i</w:t>
      </w:r>
      <w:r w:rsidRPr="00BB11AF">
        <w:t>ques et les institutions de la bonne gouvernance, tant privées que p</w:t>
      </w:r>
      <w:r w:rsidRPr="00BB11AF">
        <w:t>u</w:t>
      </w:r>
      <w:r w:rsidRPr="00BB11AF">
        <w:t>bliques, et cela explique que nous soyons devenus plus attentifs et plus sensibles à ces problèmes qui sont aussi, de toute évidence, plus répandus.</w:t>
      </w:r>
    </w:p>
    <w:p w:rsidR="003A3061" w:rsidRPr="00BB11AF" w:rsidRDefault="003A3061" w:rsidP="003A3061">
      <w:pPr>
        <w:spacing w:before="120" w:after="120"/>
        <w:jc w:val="both"/>
      </w:pPr>
      <w:r w:rsidRPr="00BB11AF">
        <w:t>Nous avons donc maintenant des « observatoires » de la corru</w:t>
      </w:r>
      <w:r w:rsidRPr="00BB11AF">
        <w:t>p</w:t>
      </w:r>
      <w:r w:rsidRPr="00BB11AF">
        <w:t>tion. Nous l'étudions, nous la mesurons, nous la comparons, nous en suivons la progression dans le temps et dans l'espace au moyen d'i</w:t>
      </w:r>
      <w:r w:rsidRPr="00BB11AF">
        <w:t>n</w:t>
      </w:r>
      <w:r w:rsidRPr="00BB11AF">
        <w:t>dex et nous la tenons en général pour une fatalité, une réalité inh</w:t>
      </w:r>
      <w:r w:rsidRPr="00BB11AF">
        <w:t>é</w:t>
      </w:r>
      <w:r w:rsidRPr="00BB11AF">
        <w:t>rente à la vie en société. Et à mesure que nous devenons plus exigeants en matière de transparence et d'imputabilité, les motifs de r</w:t>
      </w:r>
      <w:r w:rsidRPr="00BB11AF">
        <w:t>e</w:t>
      </w:r>
      <w:r w:rsidRPr="00BB11AF">
        <w:t>douter le pire que nous fournissent les petits manquements que les journaux mettent en lumière se transforment en perte de confiance à l'égard des adm</w:t>
      </w:r>
      <w:r w:rsidRPr="00BB11AF">
        <w:t>i</w:t>
      </w:r>
      <w:r w:rsidRPr="00BB11AF">
        <w:t>nistrations publiques et ils alimentent une politique du cynisme envers le politique qui consolide le néolibéralisme. Pour év</w:t>
      </w:r>
      <w:r w:rsidRPr="00BB11AF">
        <w:t>i</w:t>
      </w:r>
      <w:r w:rsidRPr="00BB11AF">
        <w:t>ter alors que tous les services que les administrations offrent au capital ne soient empo</w:t>
      </w:r>
      <w:r w:rsidRPr="00BB11AF">
        <w:t>r</w:t>
      </w:r>
      <w:r w:rsidRPr="00BB11AF">
        <w:t>tés avec l'eau sale, notre gouvernement a « normal</w:t>
      </w:r>
      <w:r w:rsidRPr="00BB11AF">
        <w:t>i</w:t>
      </w:r>
      <w:r w:rsidRPr="00BB11AF">
        <w:t>sé » une partie de la corruption d'hier au moyen d'une loi sur le lobbyisme à l'américa</w:t>
      </w:r>
      <w:r w:rsidRPr="00BB11AF">
        <w:t>i</w:t>
      </w:r>
      <w:r w:rsidRPr="00BB11AF">
        <w:t>ne, une entreprise vertueuse où le Québec a ouvert la voie aux Eur</w:t>
      </w:r>
      <w:r w:rsidRPr="00BB11AF">
        <w:t>o</w:t>
      </w:r>
      <w:r w:rsidRPr="00BB11AF">
        <w:t>péens qui le suivent.</w:t>
      </w:r>
    </w:p>
    <w:p w:rsidR="003A3061" w:rsidRPr="00BB11AF" w:rsidRDefault="003A3061" w:rsidP="003A3061">
      <w:pPr>
        <w:spacing w:before="120" w:after="120"/>
        <w:jc w:val="both"/>
      </w:pPr>
      <w:r w:rsidRPr="00BB11AF">
        <w:t>L'Occident moderne-protestant et éthique, puis républicain et r</w:t>
      </w:r>
      <w:r w:rsidRPr="00BB11AF">
        <w:t>a</w:t>
      </w:r>
      <w:r w:rsidRPr="00BB11AF">
        <w:t>tion</w:t>
      </w:r>
      <w:r w:rsidRPr="00BB11AF">
        <w:t>a</w:t>
      </w:r>
      <w:r w:rsidRPr="00BB11AF">
        <w:t>liste-s'était pourtant fait fort de réduire la corruption au statut de ph</w:t>
      </w:r>
      <w:r w:rsidRPr="00BB11AF">
        <w:t>é</w:t>
      </w:r>
      <w:r w:rsidRPr="00BB11AF">
        <w:t>nomène résiduel, c'est-à-dire accidentel, mais compressible, et il suivait en gros Spinoza (ou Weber) dans la croyance qu'à l'ère des fonctionnaires - issus du peuple et formés aux normes de la bureaucr</w:t>
      </w:r>
      <w:r w:rsidRPr="00BB11AF">
        <w:t>a</w:t>
      </w:r>
      <w:r w:rsidRPr="00BB11AF">
        <w:t>tie-, la prévisibilité des attentes basées sur l'application « professionnelle » et impersonnelle des règles publiques était dev</w:t>
      </w:r>
      <w:r w:rsidRPr="00BB11AF">
        <w:t>e</w:t>
      </w:r>
      <w:r w:rsidRPr="00BB11AF">
        <w:t>nue une incontournable condition de la légitimité du pouvoir. Au m</w:t>
      </w:r>
      <w:r w:rsidRPr="00BB11AF">
        <w:t>i</w:t>
      </w:r>
      <w:r w:rsidRPr="00BB11AF">
        <w:t>lieu du XX</w:t>
      </w:r>
      <w:r w:rsidRPr="00BB11AF">
        <w:rPr>
          <w:vertAlign w:val="superscript"/>
        </w:rPr>
        <w:t>e</w:t>
      </w:r>
      <w:r w:rsidRPr="00BB11AF">
        <w:t xml:space="preserve"> siècle encore, les théories américaines de la modernis</w:t>
      </w:r>
      <w:r w:rsidRPr="00BB11AF">
        <w:t>a</w:t>
      </w:r>
      <w:r w:rsidRPr="00BB11AF">
        <w:t>tion faisaient de la « périphérie », restée prémoderne, l'ultime terrain vague de la corruption endémique, c'est-à-dire du clientélisme, du f</w:t>
      </w:r>
      <w:r w:rsidRPr="00BB11AF">
        <w:t>a</w:t>
      </w:r>
      <w:r w:rsidRPr="00BB11AF">
        <w:t>voritisme, du nép</w:t>
      </w:r>
      <w:r w:rsidRPr="00BB11AF">
        <w:t>o</w:t>
      </w:r>
      <w:r w:rsidRPr="00BB11AF">
        <w:t>tisme, de l'abus de pouvoir, de la malversation et de l'extorsion politique, toutes choses associées aux régimes non dém</w:t>
      </w:r>
      <w:r w:rsidRPr="00BB11AF">
        <w:t>o</w:t>
      </w:r>
      <w:r w:rsidRPr="00BB11AF">
        <w:t>cratiques. La diff</w:t>
      </w:r>
      <w:r w:rsidRPr="00BB11AF">
        <w:t>i</w:t>
      </w:r>
      <w:r w:rsidRPr="00BB11AF">
        <w:t>culté d'intérioriser l'esprit des lois quand elles contreviennent trop brutalement (et depuis trop récemment) aux co</w:t>
      </w:r>
      <w:r w:rsidRPr="00BB11AF">
        <w:t>u</w:t>
      </w:r>
      <w:r w:rsidRPr="00BB11AF">
        <w:t>tumes, disait-on, les contradictions entre les loyautés claniques et les règles étatiques imperso</w:t>
      </w:r>
      <w:r w:rsidRPr="00BB11AF">
        <w:t>n</w:t>
      </w:r>
      <w:r w:rsidRPr="00BB11AF">
        <w:t>nelles importées de l'étranger, la fabrication d'élites serves par les empires de l'</w:t>
      </w:r>
      <w:r w:rsidRPr="00BB11AF">
        <w:rPr>
          <w:i/>
        </w:rPr>
        <w:t>Indirect rule</w:t>
      </w:r>
      <w:r w:rsidRPr="00BB11AF">
        <w:t>, la puissance financi</w:t>
      </w:r>
      <w:r w:rsidRPr="00BB11AF">
        <w:t>è</w:t>
      </w:r>
      <w:r w:rsidRPr="00BB11AF">
        <w:t>re des multinationales des ressources et le développement de bou</w:t>
      </w:r>
      <w:r w:rsidRPr="00BB11AF">
        <w:t>r</w:t>
      </w:r>
      <w:r w:rsidRPr="00BB11AF">
        <w:t>geoisies compradores à l'interface du capital et des économies d'e</w:t>
      </w:r>
      <w:r w:rsidRPr="00BB11AF">
        <w:t>x</w:t>
      </w:r>
      <w:r w:rsidRPr="00BB11AF">
        <w:t>traction, tout se combinait pour faire de la corruption une sorte de tampon d'élasticité temporaire, somme toute favorable à une première « transition » vers le monde moderne.</w:t>
      </w:r>
    </w:p>
    <w:p w:rsidR="003A3061" w:rsidRPr="00BB11AF" w:rsidRDefault="003A3061" w:rsidP="003A3061">
      <w:pPr>
        <w:spacing w:before="120" w:after="120"/>
        <w:jc w:val="both"/>
      </w:pPr>
      <w:r w:rsidRPr="00BB11AF">
        <w:t>Pour réduire le domaine de ces pratiques résiduelles, beaucoup plus entêtées que prévu, et pour relancer par survoltage le programme « développementaliste » d'après-guerre, la Banque mondiale a en quelque sorte institutionnalisé dans les années 1990 les efforts ant</w:t>
      </w:r>
      <w:r w:rsidRPr="00BB11AF">
        <w:t>é</w:t>
      </w:r>
      <w:r w:rsidRPr="00BB11AF">
        <w:t>rieurs du Fonds monétaire</w:t>
      </w:r>
      <w:r>
        <w:t xml:space="preserve"> </w:t>
      </w:r>
      <w:r w:rsidRPr="00BB11AF">
        <w:t>[156]</w:t>
      </w:r>
      <w:r>
        <w:t xml:space="preserve"> </w:t>
      </w:r>
      <w:r w:rsidRPr="00BB11AF">
        <w:t>international (FMI). En exigeant des États endettés qu'ils assujettissent leurs institutions politiques aux ex</w:t>
      </w:r>
      <w:r w:rsidRPr="00BB11AF">
        <w:t>i</w:t>
      </w:r>
      <w:r w:rsidRPr="00BB11AF">
        <w:t>gences rationnelles de la bonne gouvernance économique, la Banque mondiale a en somme r</w:t>
      </w:r>
      <w:r w:rsidRPr="00BB11AF">
        <w:t>e</w:t>
      </w:r>
      <w:r w:rsidRPr="00BB11AF">
        <w:t>pris le flambeau de la modernisation par en haut en mettant au-dessus des constitutions, des lois et des réalités p</w:t>
      </w:r>
      <w:r w:rsidRPr="00BB11AF">
        <w:t>o</w:t>
      </w:r>
      <w:r w:rsidRPr="00BB11AF">
        <w:t>litiques locales les normes et les contraintes impersonnelles de l'adm</w:t>
      </w:r>
      <w:r w:rsidRPr="00BB11AF">
        <w:t>i</w:t>
      </w:r>
      <w:r w:rsidRPr="00BB11AF">
        <w:t>nistration rationnelle, p</w:t>
      </w:r>
      <w:r w:rsidRPr="00BB11AF">
        <w:t>o</w:t>
      </w:r>
      <w:r w:rsidRPr="00BB11AF">
        <w:t>sées comme conditions de l'intégration au grand marché. De la même manière que les investisseurs institutio</w:t>
      </w:r>
      <w:r w:rsidRPr="00BB11AF">
        <w:t>n</w:t>
      </w:r>
      <w:r w:rsidRPr="00BB11AF">
        <w:t>nels des pays du centre avaient imposé aux managers des firmes des normes de rendement arbitraires destinées à dissoudre le gras qui s'empilait dans les circuits internes des organisations productives, la bonne gouvernance discipl</w:t>
      </w:r>
      <w:r w:rsidRPr="00BB11AF">
        <w:t>i</w:t>
      </w:r>
      <w:r w:rsidRPr="00BB11AF">
        <w:t>naire et la conditionnalité des prêts allaient comprimer la corruption des États en soumettant les élites nationales défaillantes aux exigences du système financier globalisé, pensé lui-même comme le nouveau médium un</w:t>
      </w:r>
      <w:r w:rsidRPr="00BB11AF">
        <w:t>i</w:t>
      </w:r>
      <w:r w:rsidRPr="00BB11AF">
        <w:t>versel de l'autorégulation du capitalisme.</w:t>
      </w:r>
    </w:p>
    <w:p w:rsidR="003A3061" w:rsidRPr="00BB11AF" w:rsidRDefault="003A3061" w:rsidP="003A3061">
      <w:pPr>
        <w:spacing w:before="120" w:after="120"/>
        <w:jc w:val="both"/>
      </w:pPr>
      <w:r w:rsidRPr="00BB11AF">
        <w:t>En somme, face à l'échec des disciplines coloniales antérieures, qui avaient engendré les possibilités de corruption et qui avaient obligé les puissances centrales à tolérer temporairement des alliés corrompus, on s'engagea dans une nouvelle phase de colonialisme éclairé, patronné par la réalité économique elle-même.</w:t>
      </w:r>
    </w:p>
    <w:p w:rsidR="003A3061" w:rsidRPr="00BB11AF" w:rsidRDefault="003A3061" w:rsidP="003A3061">
      <w:pPr>
        <w:spacing w:before="120" w:after="120"/>
        <w:jc w:val="both"/>
      </w:pPr>
      <w:r w:rsidRPr="00BB11AF">
        <w:t>Cependant, comme les organisations financières globalisées sont devenues dans l'intervalle tout aussi « impératives » face aux États ce</w:t>
      </w:r>
      <w:r w:rsidRPr="00BB11AF">
        <w:t>n</w:t>
      </w:r>
      <w:r w:rsidRPr="00BB11AF">
        <w:t>traux que les empires corrupteurs du passé ne l'avaient été face aux États clients de la périphérie, les mêmes causes se sont mises à pr</w:t>
      </w:r>
      <w:r w:rsidRPr="00BB11AF">
        <w:t>o</w:t>
      </w:r>
      <w:r w:rsidRPr="00BB11AF">
        <w:t>duire les mêmes effets. Les nouveaux contrôles extérieurs que l'on enfonçait dans la porte réglementaire et normative des États offraient des chances de gains (politiques et économiques) aux agents fina</w:t>
      </w:r>
      <w:r w:rsidRPr="00BB11AF">
        <w:t>n</w:t>
      </w:r>
      <w:r w:rsidRPr="00BB11AF">
        <w:t>ciers de ces tutelles conventionnelles. La nécessité d'articuler les s</w:t>
      </w:r>
      <w:r w:rsidRPr="00BB11AF">
        <w:t>o</w:t>
      </w:r>
      <w:r w:rsidRPr="00BB11AF">
        <w:t>ciétés locales au système global devint le dernier mot de la politique et les montages institutionnels des États furent soumis à cette fin à une réingénierie rampante dont chaque mesure réduisait, tel le clic d'une clé à cliquet, leur aptitude à intervenir dans leur économie. En luttant contre les douanes, les taxes et les normes d'État, les protagonistes de l'adaptation militante au « global » contribuèrent au déplacement de la ponction économique vers le système financier et ils mobilisèrent en sa faveur, au détriment du bien commun, une clientèle d'épargnants locaux qui n'attendaient plus de l'État que la garantie des rendements privés.</w:t>
      </w:r>
    </w:p>
    <w:p w:rsidR="003A3061" w:rsidRPr="00BB11AF" w:rsidRDefault="003A3061" w:rsidP="003A3061">
      <w:pPr>
        <w:spacing w:before="120" w:after="120"/>
        <w:jc w:val="both"/>
      </w:pPr>
      <w:r w:rsidRPr="00BB11AF">
        <w:t>La corruption est ainsi remontée des pays de la périphérie vers les pays du centre et la bonne gouvernance économique, justifiée d'abord en tant qu'arme contre les États voyous et les élites corrompues, devint l'instrument de l'encerclement financier des « communautés polit</w:t>
      </w:r>
      <w:r w:rsidRPr="00BB11AF">
        <w:t>i</w:t>
      </w:r>
      <w:r w:rsidRPr="00BB11AF">
        <w:t>ques » des pays développés. Les mercenaires du cash-flow et des a</w:t>
      </w:r>
      <w:r w:rsidRPr="00BB11AF">
        <w:t>u</w:t>
      </w:r>
      <w:r w:rsidRPr="00BB11AF">
        <w:t>tres cash pools allaient enseigner aux souverains nationaux le re</w:t>
      </w:r>
      <w:r w:rsidRPr="00BB11AF">
        <w:t>s</w:t>
      </w:r>
      <w:r w:rsidRPr="00BB11AF">
        <w:t>pect de l'ordre financier global et les politiciens les plus à même de relayer la leçon allaient avoir une part aux profits de cette opération hygién</w:t>
      </w:r>
      <w:r w:rsidRPr="00BB11AF">
        <w:t>i</w:t>
      </w:r>
      <w:r w:rsidRPr="00BB11AF">
        <w:t>que. Les organisations financières,</w:t>
      </w:r>
      <w:r>
        <w:t xml:space="preserve"> </w:t>
      </w:r>
      <w:r w:rsidRPr="00BB11AF">
        <w:t>[157]</w:t>
      </w:r>
      <w:r>
        <w:t xml:space="preserve"> </w:t>
      </w:r>
      <w:r w:rsidRPr="00BB11AF">
        <w:t>pourtant elles-mêmes co</w:t>
      </w:r>
      <w:r w:rsidRPr="00BB11AF">
        <w:t>r</w:t>
      </w:r>
      <w:r w:rsidRPr="00BB11AF">
        <w:t>rompues par la dérégulation, devinrent ainsi autant de relais d'une nouvelle régulation d'ensemble.</w:t>
      </w:r>
    </w:p>
    <w:p w:rsidR="003A3061" w:rsidRPr="00BB11AF" w:rsidRDefault="003A3061" w:rsidP="003A3061">
      <w:pPr>
        <w:spacing w:before="120" w:after="120"/>
        <w:jc w:val="both"/>
      </w:pPr>
      <w:r w:rsidRPr="00BB11AF">
        <w:t>Dans le but de mettre en évidence les liens qui existent, à mon avis, entre la petite corruption et la grande je veux maintenant repre</w:t>
      </w:r>
      <w:r w:rsidRPr="00BB11AF">
        <w:t>n</w:t>
      </w:r>
      <w:r w:rsidRPr="00BB11AF">
        <w:t>dre les choses selon la méthode annoncée plus haut et approfondir le concept de la corruption en allant du fruit à la racine.</w:t>
      </w:r>
    </w:p>
    <w:p w:rsidR="003A3061" w:rsidRPr="00BB11AF" w:rsidRDefault="003A3061" w:rsidP="003A3061">
      <w:pPr>
        <w:spacing w:before="120" w:after="120"/>
        <w:jc w:val="both"/>
      </w:pPr>
    </w:p>
    <w:p w:rsidR="003A3061" w:rsidRPr="00BB11AF" w:rsidRDefault="003A3061" w:rsidP="003A3061">
      <w:pPr>
        <w:pStyle w:val="planche"/>
      </w:pPr>
      <w:r w:rsidRPr="00BB11AF">
        <w:t>La pomme pourrie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Quand on parle de corruption, la première forme qui tombe sous le sens est celle qui a comme condition nécessaire (mais pas nécessair</w:t>
      </w:r>
      <w:r w:rsidRPr="00BB11AF">
        <w:t>e</w:t>
      </w:r>
      <w:r w:rsidRPr="00BB11AF">
        <w:t>ment comme cause) la malhonnêteté « éthique ». Bien qu'elle soit simplement délit ou crime aux yeux du droit, cette corruption a ceci de particulier que la faute pénale « externe », constatable et puniss</w:t>
      </w:r>
      <w:r w:rsidRPr="00BB11AF">
        <w:t>a</w:t>
      </w:r>
      <w:r w:rsidRPr="00BB11AF">
        <w:t>ble, passe nécessairement par une faute morale interne, une faute qui est d'une autre nature et qui explique d'ailleurs qu'il y ait si peu de pommes pourries.</w:t>
      </w:r>
    </w:p>
    <w:p w:rsidR="003A3061" w:rsidRPr="00BB11AF" w:rsidRDefault="003A3061" w:rsidP="003A3061">
      <w:pPr>
        <w:spacing w:before="120" w:after="120"/>
        <w:jc w:val="both"/>
      </w:pPr>
      <w:r w:rsidRPr="00BB11AF">
        <w:t>Pour qu'il y ait corruption au sens courant, il faut en effet que le crime passe par la malhonnêteté d'un professionnel ou d'un fonctio</w:t>
      </w:r>
      <w:r w:rsidRPr="00BB11AF">
        <w:t>n</w:t>
      </w:r>
      <w:r w:rsidRPr="00BB11AF">
        <w:t>naire qui agit en contravention de son genre, c'est-à-dire en contrave</w:t>
      </w:r>
      <w:r w:rsidRPr="00BB11AF">
        <w:t>n</w:t>
      </w:r>
      <w:r w:rsidRPr="00BB11AF">
        <w:t>tion de la norme dont l'intériorisation est constitutive de ce qu'il repr</w:t>
      </w:r>
      <w:r w:rsidRPr="00BB11AF">
        <w:t>é</w:t>
      </w:r>
      <w:r w:rsidRPr="00BB11AF">
        <w:t>sente s</w:t>
      </w:r>
      <w:r w:rsidRPr="00BB11AF">
        <w:t>o</w:t>
      </w:r>
      <w:r w:rsidRPr="00BB11AF">
        <w:t>cialement, bref en contravention de sa nature même en tant que pr</w:t>
      </w:r>
      <w:r w:rsidRPr="00BB11AF">
        <w:t>o</w:t>
      </w:r>
      <w:r w:rsidRPr="00BB11AF">
        <w:t>fessionnel.</w:t>
      </w:r>
    </w:p>
    <w:p w:rsidR="003A3061" w:rsidRPr="00BB11AF" w:rsidRDefault="003A3061" w:rsidP="003A3061">
      <w:pPr>
        <w:spacing w:before="120" w:after="120"/>
        <w:jc w:val="both"/>
      </w:pPr>
      <w:r w:rsidRPr="00BB11AF">
        <w:t>C'est en effet un des caractères fondamentaux de la division m</w:t>
      </w:r>
      <w:r w:rsidRPr="00BB11AF">
        <w:t>o</w:t>
      </w:r>
      <w:r w:rsidRPr="00BB11AF">
        <w:t>derne du travail social que d'avoir multiplié ce que les Grecs app</w:t>
      </w:r>
      <w:r w:rsidRPr="00BB11AF">
        <w:t>e</w:t>
      </w:r>
      <w:r w:rsidRPr="00BB11AF">
        <w:t>laient, en une belle anticipation, les démiurges, désignant par-là ceux dont la puissance (ergon) se déployait directement au service du pe</w:t>
      </w:r>
      <w:r w:rsidRPr="00BB11AF">
        <w:t>u</w:t>
      </w:r>
      <w:r w:rsidRPr="00BB11AF">
        <w:t>ple (d</w:t>
      </w:r>
      <w:r w:rsidRPr="00BB11AF">
        <w:t>e</w:t>
      </w:r>
      <w:r w:rsidRPr="00BB11AF">
        <w:t>mos), sans que leur travail n'appartienne d'abord à un maître. À partir du XIII</w:t>
      </w:r>
      <w:r w:rsidRPr="00BB11AF">
        <w:rPr>
          <w:vertAlign w:val="superscript"/>
        </w:rPr>
        <w:t>e</w:t>
      </w:r>
      <w:r w:rsidRPr="00BB11AF">
        <w:t xml:space="preserve"> siècle, les universités occidentales ont institutionnalisé la formation de ce genre d'animal social (on pense au droit et à la m</w:t>
      </w:r>
      <w:r w:rsidRPr="00BB11AF">
        <w:t>é</w:t>
      </w:r>
      <w:r w:rsidRPr="00BB11AF">
        <w:t>decine), une institutionnalisation qui a rendu possible par la suite l'e</w:t>
      </w:r>
      <w:r w:rsidRPr="00BB11AF">
        <w:t>x</w:t>
      </w:r>
      <w:r w:rsidRPr="00BB11AF">
        <w:t>tension considérable de la catégorie des « professionnels ». D'une m</w:t>
      </w:r>
      <w:r w:rsidRPr="00BB11AF">
        <w:t>a</w:t>
      </w:r>
      <w:r w:rsidRPr="00BB11AF">
        <w:t>nière typique, le service du professionnel a pour cadre une relation singulière dont il est le seul maître et son activité-qui ne peut pas d</w:t>
      </w:r>
      <w:r w:rsidRPr="00BB11AF">
        <w:t>a</w:t>
      </w:r>
      <w:r w:rsidRPr="00BB11AF">
        <w:t>vantage être régulée par le calcul de l'intérêt propre (puisqu'elle doit servir l'intérêt d'autrui) que par la surveillance d'autrui (qui en principe n'y connait rien) -, est régulée par l'intériorisation des normes qui ont présidé à sa formation académique. Celui qui enseigne le monde à v</w:t>
      </w:r>
      <w:r w:rsidRPr="00BB11AF">
        <w:t>o</w:t>
      </w:r>
      <w:r w:rsidRPr="00BB11AF">
        <w:t>tre enfant derrière les murs de l'école, par exemple, ou celle qui vient vérifier le fonctionnement de l'ascenseur du bureau pendant la nuit appartiennent, avant toute autre appartenance, au co</w:t>
      </w:r>
      <w:r w:rsidRPr="00BB11AF">
        <w:t>l</w:t>
      </w:r>
      <w:r w:rsidRPr="00BB11AF">
        <w:t>lège invisible permanent qui voit à la préservation et au renouvell</w:t>
      </w:r>
      <w:r w:rsidRPr="00BB11AF">
        <w:t>e</w:t>
      </w:r>
      <w:r w:rsidRPr="00BB11AF">
        <w:t>ment des normes qui sont les leurs, un collège qui préside à la formation de ses me</w:t>
      </w:r>
      <w:r w:rsidRPr="00BB11AF">
        <w:t>m</w:t>
      </w:r>
      <w:r w:rsidRPr="00BB11AF">
        <w:t>bres et qui procède à leur « accréditation », comme on le dit maint</w:t>
      </w:r>
      <w:r w:rsidRPr="00BB11AF">
        <w:t>e</w:t>
      </w:r>
      <w:r w:rsidRPr="00BB11AF">
        <w:t>nant.</w:t>
      </w:r>
    </w:p>
    <w:p w:rsidR="003A3061" w:rsidRPr="00BB11AF" w:rsidRDefault="003A3061" w:rsidP="003A3061">
      <w:pPr>
        <w:spacing w:before="120" w:after="120"/>
        <w:jc w:val="both"/>
      </w:pPr>
      <w:r w:rsidRPr="00BB11AF">
        <w:t>[158]</w:t>
      </w:r>
    </w:p>
    <w:p w:rsidR="003A3061" w:rsidRPr="00BB11AF" w:rsidRDefault="003A3061" w:rsidP="003A3061">
      <w:pPr>
        <w:spacing w:before="120" w:after="120"/>
        <w:jc w:val="both"/>
      </w:pPr>
      <w:r w:rsidRPr="00BB11AF">
        <w:t>C'est donc précisément le fait de détourner ce « travailleur sans surveillance » des normes qui le définissent et qui sont censées le go</w:t>
      </w:r>
      <w:r w:rsidRPr="00BB11AF">
        <w:t>u</w:t>
      </w:r>
      <w:r w:rsidRPr="00BB11AF">
        <w:t>verner que l'on désigne comme activité de corruption, une activité qui suppose qu'il y ait quelque chose à corrompre, c'est-à-dire une idée régulatrice à dérégler, et que le premier intéressé soit subjectiv</w:t>
      </w:r>
      <w:r w:rsidRPr="00BB11AF">
        <w:t>e</w:t>
      </w:r>
      <w:r w:rsidRPr="00BB11AF">
        <w:t>ment disposé à consentir à ce dérèglement. La corruption, en somme, est une haute manifestation de la liberté. Un notaire qui n'enregistre pas un acte expose le petit acheteur d'un fond à le perdre sans recours. Un médecin qui ne diagnostique pas à dessein la maladie industrielle qu'il constate prive aussi le travailleur de ses recours. Un technicien de l</w:t>
      </w:r>
      <w:r w:rsidRPr="00BB11AF">
        <w:t>a</w:t>
      </w:r>
      <w:r w:rsidRPr="00BB11AF">
        <w:t>boratoire qui intervertit les fioles en échange d'un paiement sauve la carrière de Lance Armstrong. Un professeur qui trafique les copies pour faire passer tous ses élèves et toucher la prime de performance élève au carré la corruption des commissaires qui ont instauré cette prime. Et ainsi de suite.</w:t>
      </w:r>
    </w:p>
    <w:p w:rsidR="003A3061" w:rsidRPr="00BB11AF" w:rsidRDefault="003A3061" w:rsidP="003A3061">
      <w:pPr>
        <w:spacing w:before="120" w:after="120"/>
        <w:jc w:val="both"/>
      </w:pPr>
      <w:r w:rsidRPr="00BB11AF">
        <w:t>Il y a au Québec 51 ordres professionnels reconnus par la loi, un fait qui n'est jamais que la pointe de l'iceberg « professionnel ». Le gouvernement du Québec considère aussi comme professionnel tout employé de l'État dont le recrutement s'est fait sur la base d'un dipl</w:t>
      </w:r>
      <w:r w:rsidRPr="00BB11AF">
        <w:t>ô</w:t>
      </w:r>
      <w:r w:rsidRPr="00BB11AF">
        <w:t>me universitaire. L'action du professionnel implique presque to</w:t>
      </w:r>
      <w:r w:rsidRPr="00BB11AF">
        <w:t>u</w:t>
      </w:r>
      <w:r w:rsidRPr="00BB11AF">
        <w:t>jours un pouvoir sur des tiers et elle a très fréquemment un statut de droit public, de l'audition du comptable à l'attribution d'un permis de gard</w:t>
      </w:r>
      <w:r w:rsidRPr="00BB11AF">
        <w:t>e</w:t>
      </w:r>
      <w:r w:rsidRPr="00BB11AF">
        <w:t>rie. C'est précisément ce pouvoir que vise à encadrer et à orienter la conjonction de la loi et de la compétence, un pouvoir dont « l'e</w:t>
      </w:r>
      <w:r w:rsidRPr="00BB11AF">
        <w:t>s</w:t>
      </w:r>
      <w:r w:rsidRPr="00BB11AF">
        <w:t>prit » ne se préserve pourtant que dans les normes intériorisées par tous ceux qui contribuent à son application. C'est d'ailleurs selon ce même modèle de l'autonomie du jugement que l'iceberg du professionnali</w:t>
      </w:r>
      <w:r w:rsidRPr="00BB11AF">
        <w:t>s</w:t>
      </w:r>
      <w:r w:rsidRPr="00BB11AF">
        <w:t>me descend encore plus profondément dans la société : tout artisan qui est responsable de son propre travail et tout travailleur consciencieux agit en vertu de types-idéaux faute desquels plus rien ne fonctionn</w:t>
      </w:r>
      <w:r w:rsidRPr="00BB11AF">
        <w:t>e</w:t>
      </w:r>
      <w:r w:rsidRPr="00BB11AF">
        <w:t>rait. Comme chacun sait, il est plus payant de faire une toiture qui d</w:t>
      </w:r>
      <w:r w:rsidRPr="00BB11AF">
        <w:t>u</w:t>
      </w:r>
      <w:r w:rsidRPr="00BB11AF">
        <w:t>re le temps que la facture soit acquittée que d'en faire une qui durera ci</w:t>
      </w:r>
      <w:r w:rsidRPr="00BB11AF">
        <w:t>n</w:t>
      </w:r>
      <w:r w:rsidRPr="00BB11AF">
        <w:t>quante ans. Tout gestionnaire d'une file d'attente peut remettre un dossier sur le haut de la pile. Et qui ne verra jamais ce mauvais ra</w:t>
      </w:r>
      <w:r w:rsidRPr="00BB11AF">
        <w:t>c</w:t>
      </w:r>
      <w:r w:rsidRPr="00BB11AF">
        <w:t>cord gazier enfoui sous terre qui fera sauter le pâté de maisons dans 15 ans ?</w:t>
      </w:r>
    </w:p>
    <w:p w:rsidR="003A3061" w:rsidRPr="00BB11AF" w:rsidRDefault="003A3061" w:rsidP="003A3061">
      <w:pPr>
        <w:spacing w:before="120" w:after="120"/>
        <w:jc w:val="both"/>
      </w:pPr>
      <w:r w:rsidRPr="00BB11AF">
        <w:t>Trois remarques, donc, avant de disposer de la pomme pourrie : 1) Les occasions de pommes pourries sont pratiquement à l'infini et le vrai mystère ici est, qu'en général, il n'y en ait pas davantage ; 2) La fr</w:t>
      </w:r>
      <w:r w:rsidRPr="00BB11AF">
        <w:t>é</w:t>
      </w:r>
      <w:r w:rsidRPr="00BB11AF">
        <w:t>quence de la malhonnêteté professionnelle dépend évidemment de la fréquence des sollicitations et, surtout, de l'acceptabilité sociale des sollicitations ; 3) Ce type de corruption ne met pas enjeu la nature des pratiques institutionnalisées, ni l'esprit des pouvoirs dont elle « d</w:t>
      </w:r>
      <w:r w:rsidRPr="00BB11AF">
        <w:t>é</w:t>
      </w:r>
      <w:r w:rsidRPr="00BB11AF">
        <w:t>roge », ni l'adhésion sociale aux normes professionnelles, ni le respect du public à leur endroit.</w:t>
      </w:r>
    </w:p>
    <w:p w:rsidR="003A3061" w:rsidRPr="00BB11AF" w:rsidRDefault="003A3061" w:rsidP="003A3061">
      <w:pPr>
        <w:spacing w:before="120" w:after="120"/>
        <w:jc w:val="both"/>
      </w:pPr>
      <w:r w:rsidRPr="00BB11AF">
        <w:t>D'ailleurs, cette dernière remarque reste pertinente même dans les cas où les circonstances favorisent pourtant une sorte de systématis</w:t>
      </w:r>
      <w:r w:rsidRPr="00BB11AF">
        <w:t>a</w:t>
      </w:r>
      <w:r w:rsidRPr="00BB11AF">
        <w:t>tion de la corruption.</w:t>
      </w:r>
    </w:p>
    <w:p w:rsidR="003A3061" w:rsidRPr="00BB11AF" w:rsidRDefault="003A3061" w:rsidP="003A3061">
      <w:pPr>
        <w:spacing w:before="120" w:after="120"/>
        <w:jc w:val="both"/>
      </w:pPr>
      <w:r w:rsidRPr="00BB11AF">
        <w:t>[159]</w:t>
      </w:r>
    </w:p>
    <w:p w:rsidR="003A3061" w:rsidRPr="00BB11AF" w:rsidRDefault="003A3061" w:rsidP="003A3061">
      <w:pPr>
        <w:spacing w:before="120" w:after="120"/>
        <w:jc w:val="both"/>
      </w:pPr>
    </w:p>
    <w:p w:rsidR="003A3061" w:rsidRPr="00BB11AF" w:rsidRDefault="003A3061" w:rsidP="003A3061">
      <w:pPr>
        <w:pStyle w:val="planche"/>
      </w:pPr>
      <w:r w:rsidRPr="00BB11AF">
        <w:t>La symbiose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Il peut en effet arriver que ce type de corruption se généralise et qu'il ne se trouve plus dans une société un seul panier qui ne soit pas co</w:t>
      </w:r>
      <w:r w:rsidRPr="00BB11AF">
        <w:t>n</w:t>
      </w:r>
      <w:r w:rsidRPr="00BB11AF">
        <w:t>taminé par quelques pommes pourries, toutes plus ou moins reliées entre elles. La corruption, alors, devient un système qui a partout ses antennes. Elle a ses juges, ses fonctionnaires, ses architectes, ses pol</w:t>
      </w:r>
      <w:r w:rsidRPr="00BB11AF">
        <w:t>i</w:t>
      </w:r>
      <w:r w:rsidRPr="00BB11AF">
        <w:t>ticiens, ses proxénètes, ses collecteurs, ses post-it, ses journalistes et ses organisations charitables, toutes choses qui vivent en belle harm</w:t>
      </w:r>
      <w:r w:rsidRPr="00BB11AF">
        <w:t>o</w:t>
      </w:r>
      <w:r w:rsidRPr="00BB11AF">
        <w:t>nie au milieu de leurs pairs qui sont restés « hors système », c'est-à-dire honnêtes. Comme elle a aussi sa hiérarchie, elle n'oblige aucun de ses membres à faire du zèle : quand vient le temps de mettre son sceau sur un plan, d'approuver un bilan, de laisser entrer une cargaison dans un port, de certifier la réfection de la toiture du stade ou de photoc</w:t>
      </w:r>
      <w:r w:rsidRPr="00BB11AF">
        <w:t>o</w:t>
      </w:r>
      <w:r w:rsidRPr="00BB11AF">
        <w:t>pier discrètement un dossier confidentiel, les choses ont déjà été a</w:t>
      </w:r>
      <w:r w:rsidRPr="00BB11AF">
        <w:t>r</w:t>
      </w:r>
      <w:r w:rsidRPr="00BB11AF">
        <w:t>rangées par en haut et le petit fonctionnaire de la corruption agit co</w:t>
      </w:r>
      <w:r w:rsidRPr="00BB11AF">
        <w:t>n</w:t>
      </w:r>
      <w:r w:rsidRPr="00BB11AF">
        <w:t>formément à ce que les gens importants (qui dirigent la cause ou le parti) attendent de lui. Encore un peu et on dirait qu'il fait son « d</w:t>
      </w:r>
      <w:r w:rsidRPr="00BB11AF">
        <w:t>e</w:t>
      </w:r>
      <w:r w:rsidRPr="00BB11AF">
        <w:t>voir » dans la hiérarchie de la corruption.</w:t>
      </w:r>
    </w:p>
    <w:p w:rsidR="003A3061" w:rsidRPr="00BB11AF" w:rsidRDefault="003A3061" w:rsidP="003A3061">
      <w:pPr>
        <w:spacing w:before="120" w:after="120"/>
        <w:jc w:val="both"/>
      </w:pPr>
      <w:r w:rsidRPr="00BB11AF">
        <w:t>Qu'il soit coordonné par la peur, la vénalité, les liens claniques ou le partage d'une sous-culture, le règne d'un réseau souterrain peut ainsi rester pratiquement invisible et être pourtant pressenti par tous. Il s'a</w:t>
      </w:r>
      <w:r w:rsidRPr="00BB11AF">
        <w:t>r</w:t>
      </w:r>
      <w:r w:rsidRPr="00BB11AF">
        <w:t>ticule alors en symbiose avec les institutions et les normes professio</w:t>
      </w:r>
      <w:r w:rsidRPr="00BB11AF">
        <w:t>n</w:t>
      </w:r>
      <w:r w:rsidRPr="00BB11AF">
        <w:t>nelles qu'il laisse subsister, qu'il respecte et même qu'il défend, dans la mesure où la corruption tend simplement à devenir la condition effe</w:t>
      </w:r>
      <w:r w:rsidRPr="00BB11AF">
        <w:t>c</w:t>
      </w:r>
      <w:r w:rsidRPr="00BB11AF">
        <w:t>tive sous-jacente du fonctionnement officiel : le système de la corru</w:t>
      </w:r>
      <w:r w:rsidRPr="00BB11AF">
        <w:t>p</w:t>
      </w:r>
      <w:r w:rsidRPr="00BB11AF">
        <w:t>tion se fait alors le défenseur du système légal, il devient le passage obligé de sa reproduction, justement parce que la corruption instaure des privilèges qui n'ont de valeur que sur la base de la distinction entre les deux. Cet hommage du vice à la vertu est basé ici sur la reconnai</w:t>
      </w:r>
      <w:r w:rsidRPr="00BB11AF">
        <w:t>s</w:t>
      </w:r>
      <w:r w:rsidRPr="00BB11AF">
        <w:t>sance du fait que le système illicite ne peut se reproduire qu'en repr</w:t>
      </w:r>
      <w:r w:rsidRPr="00BB11AF">
        <w:t>o</w:t>
      </w:r>
      <w:r w:rsidRPr="00BB11AF">
        <w:t>duisant aussi un fonctionnement régulier qu'il pourra, à point nommé, détourner à son avantage. En somme, il faut bien que les condamn</w:t>
      </w:r>
      <w:r w:rsidRPr="00BB11AF">
        <w:t>a</w:t>
      </w:r>
      <w:r w:rsidRPr="00BB11AF">
        <w:t>tions pour conduite dangereuse persistent pour qu'il y ait intérêt à « connaître » un juge qui acquittera votre protégé. Et il faut bien que celui-ci soit effectivement et régulièrement condamné s'il refuse votre protection pour qu'il ait quelque avantage à l'accepter. Et ainsi de su</w:t>
      </w:r>
      <w:r w:rsidRPr="00BB11AF">
        <w:t>i</w:t>
      </w:r>
      <w:r w:rsidRPr="00BB11AF">
        <w:t>te.</w:t>
      </w:r>
    </w:p>
    <w:p w:rsidR="003A3061" w:rsidRPr="00BB11AF" w:rsidRDefault="003A3061" w:rsidP="003A3061">
      <w:pPr>
        <w:spacing w:before="120" w:after="120"/>
        <w:jc w:val="both"/>
      </w:pPr>
      <w:r w:rsidRPr="00BB11AF">
        <w:t>Marx disait que la maxime de sens commun selon laquelle l'Emp</w:t>
      </w:r>
      <w:r w:rsidRPr="00BB11AF">
        <w:t>i</w:t>
      </w:r>
      <w:r w:rsidRPr="00BB11AF">
        <w:t>re romain vivait de rapines n'était vraie que si l'on ajoute qu'il pr</w:t>
      </w:r>
      <w:r w:rsidRPr="00BB11AF">
        <w:t>e</w:t>
      </w:r>
      <w:r w:rsidRPr="00BB11AF">
        <w:t>nait soin d'assurer la reproduction et la bonne marche des pratiques soci</w:t>
      </w:r>
      <w:r w:rsidRPr="00BB11AF">
        <w:t>a</w:t>
      </w:r>
      <w:r w:rsidRPr="00BB11AF">
        <w:t>les qui engendraient les richesses faisant l'objet des rapines. C'est la même chose ici. Même érigée en système symbiotique, la pomme pourrie n'affecte nullement la nature de la pomme puisque c'est de la pomme saine que la pourriture tire ses bénéfices. À sa limite de pe</w:t>
      </w:r>
      <w:r w:rsidRPr="00BB11AF">
        <w:t>r</w:t>
      </w:r>
      <w:r w:rsidRPr="00BB11AF">
        <w:t>fection propre, la corruption ira jusqu'à veiller sur les institutions ou sur l'éthique professionnelle, comme lorsqu'une</w:t>
      </w:r>
      <w:r>
        <w:t xml:space="preserve"> </w:t>
      </w:r>
      <w:r w:rsidRPr="00BB11AF">
        <w:t>[160]</w:t>
      </w:r>
      <w:r>
        <w:t xml:space="preserve"> </w:t>
      </w:r>
      <w:r w:rsidRPr="00BB11AF">
        <w:t>entreprise de la mafia, dira-t-on pour faire image, assure par co</w:t>
      </w:r>
      <w:r w:rsidRPr="00BB11AF">
        <w:t>n</w:t>
      </w:r>
      <w:r w:rsidRPr="00BB11AF">
        <w:t>trat la surveillance électronique des bureaux de la police. Dans un tel système de symbi</w:t>
      </w:r>
      <w:r w:rsidRPr="00BB11AF">
        <w:t>o</w:t>
      </w:r>
      <w:r w:rsidRPr="00BB11AF">
        <w:t>se, cependant, les gens honnêtes doivent être passablement innocents (au sens québécois du terme) puisqu'ils ne peuvent pas éviter de pre</w:t>
      </w:r>
      <w:r w:rsidRPr="00BB11AF">
        <w:t>s</w:t>
      </w:r>
      <w:r w:rsidRPr="00BB11AF">
        <w:t>sentir le règne du système ; ils doivent donc se d</w:t>
      </w:r>
      <w:r w:rsidRPr="00BB11AF">
        <w:t>é</w:t>
      </w:r>
      <w:r w:rsidRPr="00BB11AF">
        <w:t>tourner pieusement des « détails » - comme les bons Français qui ne remarquaient pas la disparition des juifs du voisinage-et rester int</w:t>
      </w:r>
      <w:r w:rsidRPr="00BB11AF">
        <w:t>è</w:t>
      </w:r>
      <w:r w:rsidRPr="00BB11AF">
        <w:t>gres, avec un arrière-goût dans la bouche.</w:t>
      </w:r>
    </w:p>
    <w:p w:rsidR="003A3061" w:rsidRPr="00BB11AF" w:rsidRDefault="003A3061" w:rsidP="003A3061">
      <w:pPr>
        <w:spacing w:before="120" w:after="120"/>
        <w:jc w:val="both"/>
      </w:pPr>
      <w:r w:rsidRPr="00BB11AF">
        <w:t>La corruption symbiotique, en somme, ressemble à la situation hist</w:t>
      </w:r>
      <w:r w:rsidRPr="00BB11AF">
        <w:t>o</w:t>
      </w:r>
      <w:r w:rsidRPr="00BB11AF">
        <w:t>rique qui a donné naissance aux mafias, sicilienne puis italienne. Elle fonctionne comme si un système féodal de loyautés interperso</w:t>
      </w:r>
      <w:r w:rsidRPr="00BB11AF">
        <w:t>n</w:t>
      </w:r>
      <w:r w:rsidRPr="00BB11AF">
        <w:t>nelles avait été repoussé en position souterraine par les règles unive</w:t>
      </w:r>
      <w:r w:rsidRPr="00BB11AF">
        <w:t>r</w:t>
      </w:r>
      <w:r w:rsidRPr="00BB11AF">
        <w:t>salistes d'un État pour ensuite envahir ce dernier par le bas. La corru</w:t>
      </w:r>
      <w:r w:rsidRPr="00BB11AF">
        <w:t>p</w:t>
      </w:r>
      <w:r w:rsidRPr="00BB11AF">
        <w:t>tion symbiotique devant reproduire son propre système de normes pour se reproduire elle-même (honneur et silence dans le cas des m</w:t>
      </w:r>
      <w:r w:rsidRPr="00BB11AF">
        <w:t>a</w:t>
      </w:r>
      <w:r w:rsidRPr="00BB11AF">
        <w:t>fias, par exemple), il s'établit ainsi une sorte de coexistence pacifique entre deux hiérarchies de valeurs antinomiques, des hiérarchies qui, étra</w:t>
      </w:r>
      <w:r w:rsidRPr="00BB11AF">
        <w:t>n</w:t>
      </w:r>
      <w:r w:rsidRPr="00BB11AF">
        <w:t>gement, se rejoignent partiellement sur une idée très abstraite du « d</w:t>
      </w:r>
      <w:r w:rsidRPr="00BB11AF">
        <w:t>e</w:t>
      </w:r>
      <w:r w:rsidRPr="00BB11AF">
        <w:t>voir ».</w:t>
      </w:r>
    </w:p>
    <w:p w:rsidR="003A3061" w:rsidRPr="00BB11AF" w:rsidRDefault="003A3061" w:rsidP="003A3061">
      <w:pPr>
        <w:spacing w:before="120" w:after="120"/>
        <w:jc w:val="both"/>
      </w:pPr>
      <w:r w:rsidRPr="00BB11AF">
        <w:t>À la limite, la corruption symbiotique devient la condition d'exi</w:t>
      </w:r>
      <w:r w:rsidRPr="00BB11AF">
        <w:t>s</w:t>
      </w:r>
      <w:r w:rsidRPr="00BB11AF">
        <w:t>tence de l'ensemble du champ pratique qu'elle polarise, comme dans la symbiose véritable, le domaine officiel ne pouvant plus se maintenir sans elle. Un « spécialiste » de ces questions, Lino Zambito, lui-même entrepreneur montréalais actif dans le collusion, a expliqué le 4 oct</w:t>
      </w:r>
      <w:r w:rsidRPr="00BB11AF">
        <w:t>o</w:t>
      </w:r>
      <w:r w:rsidRPr="00BB11AF">
        <w:t>bre 2012 que les mafias locales qui règnent ici sur la construction avaient comme effet « objectif » de défendre cette branche de notre économie contre une invasion massive par des multinationales étra</w:t>
      </w:r>
      <w:r w:rsidRPr="00BB11AF">
        <w:t>n</w:t>
      </w:r>
      <w:r w:rsidRPr="00BB11AF">
        <w:t>gères et que les coûts de la corruption systématique n'étaient rien à côté de ce qui nous attendait une fois le ménage fait. La corruption remplit en fait la fonction d'une politique d'achat local et les ententes secrètes des « collusionnaires » protègent l'ensemble de cette industrie locale contre les règles internationales qui ont pour objectif l'ouverture des marchés.</w:t>
      </w:r>
    </w:p>
    <w:p w:rsidR="003A3061" w:rsidRPr="00BB11AF" w:rsidRDefault="003A3061" w:rsidP="003A3061">
      <w:pPr>
        <w:spacing w:before="120" w:after="120"/>
        <w:jc w:val="both"/>
      </w:pPr>
      <w:r>
        <w:br w:type="page"/>
      </w:r>
    </w:p>
    <w:p w:rsidR="003A3061" w:rsidRPr="00BB11AF" w:rsidRDefault="003A3061" w:rsidP="003A3061">
      <w:pPr>
        <w:pStyle w:val="planche"/>
      </w:pPr>
      <w:r w:rsidRPr="00BB11AF">
        <w:t>Le dopage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Changeons maintenant de registre et examinons des formes de la co</w:t>
      </w:r>
      <w:r w:rsidRPr="00BB11AF">
        <w:t>r</w:t>
      </w:r>
      <w:r w:rsidRPr="00BB11AF">
        <w:t>ruption qui sont en réalité beaucoup plus dangereuses que celles que je viens d'évoquer. Par opposition aux corruptions basées sur la malhonnêteté à l'égard d'un principe normatif qu'elles laissent subsi</w:t>
      </w:r>
      <w:r w:rsidRPr="00BB11AF">
        <w:t>s</w:t>
      </w:r>
      <w:r w:rsidRPr="00BB11AF">
        <w:t>ter, je voudrais en effet introduire des formes de la corruption des pr</w:t>
      </w:r>
      <w:r w:rsidRPr="00BB11AF">
        <w:t>a</w:t>
      </w:r>
      <w:r w:rsidRPr="00BB11AF">
        <w:t>tiques institutionnalisées et des institutions publiques qui affectent leur nat</w:t>
      </w:r>
      <w:r w:rsidRPr="00BB11AF">
        <w:t>u</w:t>
      </w:r>
      <w:r w:rsidRPr="00BB11AF">
        <w:t>re même et qui les détournent au moyen de valeurs auto-poïétiques, c'est-à-dire sans que cela ne passe par la malhonnêteté et encore moins par des délits à l'égard du droit pénal. Comme les deux formes de corruption qui m'intéresseront maintenant ne sont pas i</w:t>
      </w:r>
      <w:r w:rsidRPr="00BB11AF">
        <w:t>n</w:t>
      </w:r>
      <w:r w:rsidRPr="00BB11AF">
        <w:t>compatibles avec</w:t>
      </w:r>
      <w:r>
        <w:t xml:space="preserve"> </w:t>
      </w:r>
      <w:r w:rsidRPr="00BB11AF">
        <w:t>[161]</w:t>
      </w:r>
      <w:r>
        <w:t xml:space="preserve"> </w:t>
      </w:r>
      <w:r w:rsidRPr="00BB11AF">
        <w:t>celles qui précèdent et comme les quatre fo</w:t>
      </w:r>
      <w:r w:rsidRPr="00BB11AF">
        <w:t>r</w:t>
      </w:r>
      <w:r w:rsidRPr="00BB11AF">
        <w:t>mes peuvent en réalité se développer ensemble et se renforcer, la di</w:t>
      </w:r>
      <w:r w:rsidRPr="00BB11AF">
        <w:t>s</w:t>
      </w:r>
      <w:r w:rsidRPr="00BB11AF">
        <w:t>tinction conceptuelle entre les deux groupes doit être d'autant plus ne</w:t>
      </w:r>
      <w:r w:rsidRPr="00BB11AF">
        <w:t>t</w:t>
      </w:r>
      <w:r w:rsidRPr="00BB11AF">
        <w:t>te.</w:t>
      </w:r>
    </w:p>
    <w:p w:rsidR="003A3061" w:rsidRPr="00BB11AF" w:rsidRDefault="003A3061" w:rsidP="003A3061">
      <w:pPr>
        <w:spacing w:before="120" w:after="120"/>
        <w:jc w:val="both"/>
      </w:pPr>
      <w:r w:rsidRPr="00BB11AF">
        <w:t>Pour abréger l'exposé, je vais introduire la troisième forme de co</w:t>
      </w:r>
      <w:r w:rsidRPr="00BB11AF">
        <w:t>r</w:t>
      </w:r>
      <w:r w:rsidRPr="00BB11AF">
        <w:t>ru</w:t>
      </w:r>
      <w:r w:rsidRPr="00BB11AF">
        <w:t>p</w:t>
      </w:r>
      <w:r w:rsidRPr="00BB11AF">
        <w:t>tion, le « dopage », par le moyen du concept chimique de la « corru</w:t>
      </w:r>
      <w:r w:rsidRPr="00BB11AF">
        <w:t>p</w:t>
      </w:r>
      <w:r w:rsidRPr="00BB11AF">
        <w:t>tion d'une substance ». Les chimistes appellent en effet « corru</w:t>
      </w:r>
      <w:r w:rsidRPr="00BB11AF">
        <w:t>p</w:t>
      </w:r>
      <w:r w:rsidRPr="00BB11AF">
        <w:t>tion » l'addition judicieuse de quelques molécules étrangères (appelées « i</w:t>
      </w:r>
      <w:r w:rsidRPr="00BB11AF">
        <w:t>m</w:t>
      </w:r>
      <w:r w:rsidRPr="00BB11AF">
        <w:t>puretés » en dépit de leur propre état de pureté) dans un substrat lui-même épuré, parfois jusqu'à la 8</w:t>
      </w:r>
      <w:r w:rsidRPr="00BB11AF">
        <w:rPr>
          <w:vertAlign w:val="superscript"/>
        </w:rPr>
        <w:t>e</w:t>
      </w:r>
      <w:r w:rsidRPr="00BB11AF">
        <w:t xml:space="preserve"> décimale. En remplaçant quelques atomes dans la trame régulière d'un matériau, ces impuretés font « sauter » une propriété du substrat d'un état à l'autre, pour ainsi dire, notamment en y introduisant de nouvelles valences. Nous avons donc ici un changement qui passe par une substitution plutôt que par une suspension. Le cas d'espèce est évidemment la transformation des propriétés électriques du silicium, une transformation par corruption contrôlée qui est à la base de l'industrie contemporaine des semi- co</w:t>
      </w:r>
      <w:r w:rsidRPr="00BB11AF">
        <w:t>n</w:t>
      </w:r>
      <w:r w:rsidRPr="00BB11AF">
        <w:t>ducteurs.</w:t>
      </w:r>
    </w:p>
    <w:p w:rsidR="003A3061" w:rsidRPr="00BB11AF" w:rsidRDefault="003A3061" w:rsidP="003A3061">
      <w:pPr>
        <w:spacing w:before="120" w:after="120"/>
        <w:jc w:val="both"/>
      </w:pPr>
      <w:r w:rsidRPr="00BB11AF">
        <w:t>L'altération des propriétés d'un matériau au moyen « d'impuretés » a quelque chose « d'alchimique », alors que le semi-conducteur altéré par « presque rien » donne tous les signes d'avoir troqué sa nature en faveur de celle qui caractérise les métaux. Par analogie, sans doute, avec ce qui arrive lorsqu'une infime quantité de LSD transporte d'une manière terrifiante le cerveau de l'usager sur une autre planète, l'op</w:t>
      </w:r>
      <w:r w:rsidRPr="00BB11AF">
        <w:t>é</w:t>
      </w:r>
      <w:r w:rsidRPr="00BB11AF">
        <w:t>ration d'implantation des impuretés s'appelle couramment le dopage du substrat. On retrouve le même type de situation avec le rôle des oligo-éléments dans les plantes et, plus généralement encore, avec tous les cas d'instabilité structurelle (la paille qui rompt le dos du chameau) qui relèvent de la théorie des catastrophes. La modification des propriétés d'un matériau par une corruption infinitésimale ou e</w:t>
      </w:r>
      <w:r w:rsidRPr="00BB11AF">
        <w:t>n</w:t>
      </w:r>
      <w:r w:rsidRPr="00BB11AF">
        <w:t>core les basculements soudains d'un état stable dans un autre par le franchissement d'un « seuil » fournissent ensemble une image adéqu</w:t>
      </w:r>
      <w:r w:rsidRPr="00BB11AF">
        <w:t>a</w:t>
      </w:r>
      <w:r w:rsidRPr="00BB11AF">
        <w:t>te du type de corruption qui m'intéresse ici.</w:t>
      </w:r>
    </w:p>
    <w:p w:rsidR="003A3061" w:rsidRPr="00BB11AF" w:rsidRDefault="003A3061" w:rsidP="003A3061">
      <w:pPr>
        <w:spacing w:before="120" w:after="120"/>
        <w:jc w:val="both"/>
      </w:pPr>
      <w:r w:rsidRPr="00BB11AF">
        <w:t>Nous connaissons dans notre domaine d'activité un bel exemple de transformation par dopage d'une institution, un exemple « univers</w:t>
      </w:r>
      <w:r w:rsidRPr="00BB11AF">
        <w:t>i</w:t>
      </w:r>
      <w:r w:rsidRPr="00BB11AF">
        <w:t>taire » que je ne choisis évidemment pas au hasard. Quand j'ai parlé tout à l'heure de l'institutionnalisation des systèmes normatifs sect</w:t>
      </w:r>
      <w:r w:rsidRPr="00BB11AF">
        <w:t>o</w:t>
      </w:r>
      <w:r w:rsidRPr="00BB11AF">
        <w:t>riels que nous associons au professionnalisme et que j'ai évoqué le rôle central des universités dans le développement de cette partic</w:t>
      </w:r>
      <w:r w:rsidRPr="00BB11AF">
        <w:t>u</w:t>
      </w:r>
      <w:r w:rsidRPr="00BB11AF">
        <w:t>larité de très longue portée de la civilisation occidentale, je me suis tro</w:t>
      </w:r>
      <w:r w:rsidRPr="00BB11AF">
        <w:t>u</w:t>
      </w:r>
      <w:r w:rsidRPr="00BB11AF">
        <w:t>vé à faire de « l'émancipation » du professionnel à l'égard des normes de son collège invisible la forme archétypique de la corruption ma</w:t>
      </w:r>
      <w:r w:rsidRPr="00BB11AF">
        <w:t>l</w:t>
      </w:r>
      <w:r w:rsidRPr="00BB11AF">
        <w:t>honnête. En choisissant maintenant l'université comme premier exemple de la corruption par dopage il est clair que j'en profiterai pour illustrer aussi la sorte de passage au second degré où nous sommes maintenant engagés.</w:t>
      </w:r>
    </w:p>
    <w:p w:rsidR="003A3061" w:rsidRPr="00BB11AF" w:rsidRDefault="003A3061" w:rsidP="003A3061">
      <w:pPr>
        <w:spacing w:before="120" w:after="120"/>
        <w:jc w:val="both"/>
      </w:pPr>
      <w:r w:rsidRPr="00BB11AF">
        <w:t>[162]</w:t>
      </w:r>
    </w:p>
    <w:p w:rsidR="003A3061" w:rsidRPr="00BB11AF" w:rsidRDefault="003A3061" w:rsidP="003A3061">
      <w:pPr>
        <w:spacing w:before="120" w:after="120"/>
        <w:jc w:val="both"/>
      </w:pPr>
      <w:r w:rsidRPr="00BB11AF">
        <w:t>Le cas de corruption de l'université par dopage qui me servira d'exe</w:t>
      </w:r>
      <w:r w:rsidRPr="00BB11AF">
        <w:t>m</w:t>
      </w:r>
      <w:r w:rsidRPr="00BB11AF">
        <w:t>ple, parmi plusieurs autres, repose sur l'introduction dans les univers</w:t>
      </w:r>
      <w:r w:rsidRPr="00BB11AF">
        <w:t>i</w:t>
      </w:r>
      <w:r w:rsidRPr="00BB11AF">
        <w:t>tés, par le gouvernement canadien, de quelques milliers de professeurs, dit officiellement « professeurs de recherche ». Cette i</w:t>
      </w:r>
      <w:r w:rsidRPr="00BB11AF">
        <w:t>n</w:t>
      </w:r>
      <w:r w:rsidRPr="00BB11AF">
        <w:t>novation lexicale et financière s'est trouvée du même coup à réinve</w:t>
      </w:r>
      <w:r w:rsidRPr="00BB11AF">
        <w:t>n</w:t>
      </w:r>
      <w:r w:rsidRPr="00BB11AF">
        <w:t>ter la masse des professeurs pour en faire des « professeurs d'ense</w:t>
      </w:r>
      <w:r w:rsidRPr="00BB11AF">
        <w:t>i</w:t>
      </w:r>
      <w:r w:rsidRPr="00BB11AF">
        <w:t>gnement », une sorte d'équivalent dispendieux des chargés de cours. Elle a changé le substrat qu'étaient les maisons d'enseignement en y introduisant des « chercheurs » à l'état pur. Et le prestige accordé par des décisions p</w:t>
      </w:r>
      <w:r w:rsidRPr="00BB11AF">
        <w:t>o</w:t>
      </w:r>
      <w:r w:rsidRPr="00BB11AF">
        <w:t>litiques au statut de « professeur de recherche » invite à considérer désormais qu'une vraie université est un institut de r</w:t>
      </w:r>
      <w:r w:rsidRPr="00BB11AF">
        <w:t>e</w:t>
      </w:r>
      <w:r w:rsidRPr="00BB11AF">
        <w:t>cherche qui fait, accessoirement, de l'enseignement.</w:t>
      </w:r>
    </w:p>
    <w:p w:rsidR="003A3061" w:rsidRPr="00BB11AF" w:rsidRDefault="003A3061" w:rsidP="003A3061">
      <w:pPr>
        <w:spacing w:before="120" w:after="120"/>
        <w:jc w:val="both"/>
      </w:pPr>
      <w:r w:rsidRPr="00BB11AF">
        <w:t>Pourtant, la réalité du professeur de recherche existait déjà, aussi bien sous la forme du « dégrèvement » occasionnel de professeurs à l'égard de l'enseignement que sous celle, régulière, de la recherche menée par les professeurs en vue de fonder et de renouveler leur e</w:t>
      </w:r>
      <w:r w:rsidRPr="00BB11AF">
        <w:t>n</w:t>
      </w:r>
      <w:r w:rsidRPr="00BB11AF">
        <w:t>seignement. Mieux : quelques universités américaines milliardaires se payaient depuis longtemps le luxe de ne demander à leurs professeurs éminents que de rares enseignements, mais en donnant à ces ense</w:t>
      </w:r>
      <w:r w:rsidRPr="00BB11AF">
        <w:t>i</w:t>
      </w:r>
      <w:r w:rsidRPr="00BB11AF">
        <w:t>gnements un caractère « somptuaire ». En rendant maintenant officiels et réguliers des aménagements antérieurs qui laissaient toute la so</w:t>
      </w:r>
      <w:r w:rsidRPr="00BB11AF">
        <w:t>u</w:t>
      </w:r>
      <w:r w:rsidRPr="00BB11AF">
        <w:t>plesse voulue aux universités, la banalisation de la sémantique du pr</w:t>
      </w:r>
      <w:r w:rsidRPr="00BB11AF">
        <w:t>o</w:t>
      </w:r>
      <w:r w:rsidRPr="00BB11AF">
        <w:t>fesseur de r</w:t>
      </w:r>
      <w:r w:rsidRPr="00BB11AF">
        <w:t>e</w:t>
      </w:r>
      <w:r w:rsidRPr="00BB11AF">
        <w:t>cherche a fonctionné comme une opération de dopage de l'université et elle en a changé la nature. En passant par une cascade de fines transitions qu'il serait trop long d'exposer ici, cette sémant</w:t>
      </w:r>
      <w:r w:rsidRPr="00BB11AF">
        <w:t>i</w:t>
      </w:r>
      <w:r w:rsidRPr="00BB11AF">
        <w:t>que a permis, en quelques années, d'imposer aux maisons d'enseign</w:t>
      </w:r>
      <w:r w:rsidRPr="00BB11AF">
        <w:t>e</w:t>
      </w:r>
      <w:r w:rsidRPr="00BB11AF">
        <w:t>ment une finalité alternative à la formation des étudiants, celle du se</w:t>
      </w:r>
      <w:r w:rsidRPr="00BB11AF">
        <w:t>r</w:t>
      </w:r>
      <w:r w:rsidRPr="00BB11AF">
        <w:t>vice direct à l'économie. En embrouillant la légitimité des dépenses publiques e</w:t>
      </w:r>
      <w:r w:rsidRPr="00BB11AF">
        <w:t>n</w:t>
      </w:r>
      <w:r w:rsidRPr="00BB11AF">
        <w:t>gagées dans « l'éducation », elle a aussi permis de réduire radical</w:t>
      </w:r>
      <w:r w:rsidRPr="00BB11AF">
        <w:t>e</w:t>
      </w:r>
      <w:r w:rsidRPr="00BB11AF">
        <w:t>ment l'autonomie réelle des universités. Combinées avec « l'économie du savoir » - une doctrine selon laquelle l'État doit aider la transformation directe des connaissances en profits (et donc en e</w:t>
      </w:r>
      <w:r w:rsidRPr="00BB11AF">
        <w:t>m</w:t>
      </w:r>
      <w:r w:rsidRPr="00BB11AF">
        <w:t>plois)</w:t>
      </w:r>
      <w:r>
        <w:t> </w:t>
      </w:r>
      <w:r>
        <w:rPr>
          <w:rStyle w:val="Appelnotedebasdep"/>
        </w:rPr>
        <w:footnoteReference w:id="91"/>
      </w:r>
      <w:r w:rsidRPr="00BB11AF">
        <w:t xml:space="preserve"> -, ces dépenses publiques ont introduit à l'université une no</w:t>
      </w:r>
      <w:r w:rsidRPr="00BB11AF">
        <w:t>u</w:t>
      </w:r>
      <w:r w:rsidRPr="00BB11AF">
        <w:t>velle hiéra</w:t>
      </w:r>
      <w:r w:rsidRPr="00BB11AF">
        <w:t>r</w:t>
      </w:r>
      <w:r w:rsidRPr="00BB11AF">
        <w:t>chie de valeurs et elles ont fait des professeurs « de classe mondiale » qui n'enseignent pas (parce qu'ils travaillent avec les org</w:t>
      </w:r>
      <w:r w:rsidRPr="00BB11AF">
        <w:t>a</w:t>
      </w:r>
      <w:r w:rsidRPr="00BB11AF">
        <w:t>nisations) les instruments vertueux de la corruption de l'ense</w:t>
      </w:r>
      <w:r w:rsidRPr="00BB11AF">
        <w:t>i</w:t>
      </w:r>
      <w:r w:rsidRPr="00BB11AF">
        <w:t>gnement et de la s</w:t>
      </w:r>
      <w:r w:rsidRPr="00BB11AF">
        <w:t>u</w:t>
      </w:r>
      <w:r w:rsidRPr="00BB11AF">
        <w:t>bordination directe de l'université au capital. La question de savoir « Comment rentabiliser les dépenses universita</w:t>
      </w:r>
      <w:r w:rsidRPr="00BB11AF">
        <w:t>i</w:t>
      </w:r>
      <w:r w:rsidRPr="00BB11AF">
        <w:t>res ? » que pose un rapport du gouvernement canadien est maintenant devenue une que</w:t>
      </w:r>
      <w:r w:rsidRPr="00BB11AF">
        <w:t>s</w:t>
      </w:r>
      <w:r w:rsidRPr="00BB11AF">
        <w:t>tion comptable, apparemment au sens strict. Quand le prix du « mei</w:t>
      </w:r>
      <w:r w:rsidRPr="00BB11AF">
        <w:t>l</w:t>
      </w:r>
      <w:r w:rsidRPr="00BB11AF">
        <w:t>leur professeur » (?!) est accordé à l'inventeur d'une nouvelle sorte de « gouttes » pour les yeux parce que ces gouttes sont devenues un pr</w:t>
      </w:r>
      <w:r w:rsidRPr="00BB11AF">
        <w:t>o</w:t>
      </w:r>
      <w:r w:rsidRPr="00BB11AF">
        <w:t>duit phare de l'industrie pharmaceutique canadienne, il est clair que le soulagement réel qu'elles apportent aux yeux secs sert essentie</w:t>
      </w:r>
      <w:r w:rsidRPr="00BB11AF">
        <w:t>l</w:t>
      </w:r>
      <w:r w:rsidRPr="00BB11AF">
        <w:t>lement à légitimer sans débat le passage de l'université sous la coupe de l'économie et qu'il contribue en retour à nous aveugler sur les diff</w:t>
      </w:r>
      <w:r w:rsidRPr="00BB11AF">
        <w:t>é</w:t>
      </w:r>
      <w:r w:rsidRPr="00BB11AF">
        <w:t>rences entre les diverses catégories de fonds publics.</w:t>
      </w:r>
    </w:p>
    <w:p w:rsidR="003A3061" w:rsidRPr="00BB11AF" w:rsidRDefault="003A3061" w:rsidP="003A3061">
      <w:pPr>
        <w:spacing w:before="120" w:after="120"/>
        <w:jc w:val="both"/>
      </w:pPr>
      <w:r w:rsidRPr="00BB11AF">
        <w:t>[163]</w:t>
      </w:r>
    </w:p>
    <w:p w:rsidR="003A3061" w:rsidRPr="00BB11AF" w:rsidRDefault="003A3061" w:rsidP="003A3061">
      <w:pPr>
        <w:spacing w:before="120" w:after="120"/>
        <w:jc w:val="both"/>
      </w:pPr>
      <w:r w:rsidRPr="00BB11AF">
        <w:t>En somme, il n'y a rien de tel qu'une valeur pour en chasser une a</w:t>
      </w:r>
      <w:r w:rsidRPr="00BB11AF">
        <w:t>u</w:t>
      </w:r>
      <w:r w:rsidRPr="00BB11AF">
        <w:t>tre.</w:t>
      </w:r>
    </w:p>
    <w:p w:rsidR="003A3061" w:rsidRPr="00BB11AF" w:rsidRDefault="003A3061" w:rsidP="003A3061">
      <w:pPr>
        <w:spacing w:before="120" w:after="120"/>
        <w:jc w:val="both"/>
      </w:pPr>
      <w:r w:rsidRPr="00BB11AF">
        <w:t>La logique du dopage est toujours la même : elle embrouille les v</w:t>
      </w:r>
      <w:r w:rsidRPr="00BB11AF">
        <w:t>a</w:t>
      </w:r>
      <w:r w:rsidRPr="00BB11AF">
        <w:t>leurs régulatrices au moyen de valeurs alternatives tout aussi valables, évidemment, car c'est le propre des valeurs arbitraires, mises en orbite par le spin communicationnel, que de « valoir » malgré tout. Le dop</w:t>
      </w:r>
      <w:r w:rsidRPr="00BB11AF">
        <w:t>a</w:t>
      </w:r>
      <w:r w:rsidRPr="00BB11AF">
        <w:t>ge désorganise des pratiques sociales dont la vie est accrochée à l'a</w:t>
      </w:r>
      <w:r w:rsidRPr="00BB11AF">
        <w:t>s</w:t>
      </w:r>
      <w:r w:rsidRPr="00BB11AF">
        <w:t>somption subjective de finalités dont on doit pouvoir débattre, mais sans devoir les tenir pour quelconques. En substituant le bien au bien, en remplaçant par de « belles valeurs » évidentes des normes polit</w:t>
      </w:r>
      <w:r w:rsidRPr="00BB11AF">
        <w:t>i</w:t>
      </w:r>
      <w:r w:rsidRPr="00BB11AF">
        <w:t>ques débattues et débattables, le dopage met quiconque au défi de s'opposer à l'alternative et l'altération de la nature des pratiques et des institutions évite ainsi, sans la moindre malhonnêteté, de passer par le moindre débat public. Comme l'a dit Luhmann pour s'en réjouir, les valeurs valent maintenant par elles-mêmes, absolument, pour la bonne raison qu'elles s'engendrent par elles-mêmes, d'une manière infinit</w:t>
      </w:r>
      <w:r w:rsidRPr="00BB11AF">
        <w:t>é</w:t>
      </w:r>
      <w:r w:rsidRPr="00BB11AF">
        <w:t>simale, mais rapidement et sans réflexion, dans l'espace communic</w:t>
      </w:r>
      <w:r w:rsidRPr="00BB11AF">
        <w:t>a</w:t>
      </w:r>
      <w:r w:rsidRPr="00BB11AF">
        <w:t>tionnel. C'est là une situation qui se développe d'une manière inve</w:t>
      </w:r>
      <w:r w:rsidRPr="00BB11AF">
        <w:t>r</w:t>
      </w:r>
      <w:r w:rsidRPr="00BB11AF">
        <w:t>sement proportionnelle au recul de la visée de hiérarchisation et de rationalisation des valeurs (le domaine de « l'Idéologie ») qui était à la base de l'idée politique moderne. Moins il y a de débats doctr</w:t>
      </w:r>
      <w:r w:rsidRPr="00BB11AF">
        <w:t>i</w:t>
      </w:r>
      <w:r w:rsidRPr="00BB11AF">
        <w:t>naux sur les fins politiques collectives, plus il y a de valeurs parcellaires i</w:t>
      </w:r>
      <w:r w:rsidRPr="00BB11AF">
        <w:t>n</w:t>
      </w:r>
      <w:r w:rsidRPr="00BB11AF">
        <w:t>contestables qui voltigent au-dessus de toute réflexion et de tout sou</w:t>
      </w:r>
      <w:r w:rsidRPr="00BB11AF">
        <w:t>p</w:t>
      </w:r>
      <w:r w:rsidRPr="00BB11AF">
        <w:t>çon.</w:t>
      </w:r>
    </w:p>
    <w:p w:rsidR="003A3061" w:rsidRPr="00BB11AF" w:rsidRDefault="003A3061" w:rsidP="003A3061">
      <w:pPr>
        <w:spacing w:before="120" w:after="120"/>
        <w:jc w:val="both"/>
      </w:pPr>
      <w:r w:rsidRPr="00BB11AF">
        <w:t>En somme, « la petite addition positive qui opère la transmutation d'une totalité significative et qui la remplace par une autre », tel est le principe de la corruption vertueuse par le dopage. Combien de belles carrières faut-il récompenser par une nomination à titre de juge pour transformer la fonction judiciaire de l'État en extension du parti au pouvoir ? Combien de doctorat honorifique faut-il donnera des cél</w:t>
      </w:r>
      <w:r w:rsidRPr="00BB11AF">
        <w:t>é</w:t>
      </w:r>
      <w:r w:rsidRPr="00BB11AF">
        <w:t>brités du divertissement que tout le monde adore pour faire de cette distinction universitaire un véhicule publicitaire ? Combien de cand</w:t>
      </w:r>
      <w:r w:rsidRPr="00BB11AF">
        <w:t>i</w:t>
      </w:r>
      <w:r w:rsidRPr="00BB11AF">
        <w:t>dats à une fonction publique faut-il surévaluer à cause de leur « repr</w:t>
      </w:r>
      <w:r w:rsidRPr="00BB11AF">
        <w:t>é</w:t>
      </w:r>
      <w:r w:rsidRPr="00BB11AF">
        <w:t>sentativité » catégorielle pour transformer un concours basé sur la compétence en un système de quota ? Combien de subventions du ministère de la Culture et des Communications faut-il accorder à un fe</w:t>
      </w:r>
      <w:r w:rsidRPr="00BB11AF">
        <w:t>s</w:t>
      </w:r>
      <w:r w:rsidRPr="00BB11AF">
        <w:t>tival du gag qui crée de l'emploi pour dissoudre simultanément les finalités du ministère et la définition de la culture ? Combien d'ex-premiers ministres faut-il introduire dans un cabinet d'avocats pour faire de ce cabinet un lobby ? Combien de multinationales doivent-elles faire valoir leur droit à une subvention gouvernementale au titre de la « création d'emplois » pour faire de la création d'emplois une forme d'extorsion ? Et ainsi de suite. L'introduction, autoritaire, rusée, vénale ou accidentelle, de finalités qui ne sont pas sans valeur en e</w:t>
      </w:r>
      <w:r w:rsidRPr="00BB11AF">
        <w:t>l</w:t>
      </w:r>
      <w:r w:rsidRPr="00BB11AF">
        <w:t>les-mêmes embrouille l'idée directrice d'une pratique institutionnal</w:t>
      </w:r>
      <w:r w:rsidRPr="00BB11AF">
        <w:t>i</w:t>
      </w:r>
      <w:r w:rsidRPr="00BB11AF">
        <w:t>sée et surtout marginalise les débats sur l'interprétation et la critique de cette idée directrice. Il en est ainsi, je le répète, parce que les pr</w:t>
      </w:r>
      <w:r w:rsidRPr="00BB11AF">
        <w:t>a</w:t>
      </w:r>
      <w:r w:rsidRPr="00BB11AF">
        <w:t>tiques professionnelles dont nous parlons ne se maintiennent dans leur genre propre qu'en restant accrochées aux normes dont elles dépe</w:t>
      </w:r>
      <w:r w:rsidRPr="00BB11AF">
        <w:t>n</w:t>
      </w:r>
      <w:r w:rsidRPr="00BB11AF">
        <w:t>dent, des normes que leur mode d'institutionnalisation confie à la garde à ceux qui les</w:t>
      </w:r>
      <w:r>
        <w:t xml:space="preserve"> </w:t>
      </w:r>
      <w:r w:rsidRPr="00BB11AF">
        <w:t>[164]</w:t>
      </w:r>
      <w:r>
        <w:t xml:space="preserve"> </w:t>
      </w:r>
      <w:r w:rsidRPr="00BB11AF">
        <w:t>assument. L'État exige que les notaires rédigent les contrats de vente des biens-fonds, mais il laisse les notaires seul ma</w:t>
      </w:r>
      <w:r w:rsidRPr="00BB11AF">
        <w:t>î</w:t>
      </w:r>
      <w:r w:rsidRPr="00BB11AF">
        <w:t>tres de ce qui passe pour saine rédaction. Ainsi en va-t-il de ceux qui enseignent les m</w:t>
      </w:r>
      <w:r w:rsidRPr="00BB11AF">
        <w:t>a</w:t>
      </w:r>
      <w:r w:rsidRPr="00BB11AF">
        <w:t>thématiques à l'université, etc.</w:t>
      </w:r>
    </w:p>
    <w:p w:rsidR="003A3061" w:rsidRPr="00BB11AF" w:rsidRDefault="003A3061" w:rsidP="003A3061">
      <w:pPr>
        <w:spacing w:before="120" w:after="120"/>
        <w:jc w:val="both"/>
      </w:pPr>
      <w:r w:rsidRPr="00BB11AF">
        <w:t>D'ailleurs, et plus généralement, aucune pratique sociale ne se mai</w:t>
      </w:r>
      <w:r w:rsidRPr="00BB11AF">
        <w:t>n</w:t>
      </w:r>
      <w:r w:rsidRPr="00BB11AF">
        <w:t>tient et ne se reproduit indépendamment des raisons que les hommes donnent de s'y tenir-parce « rien n'est sans raison » entre les hommes-, ce qui veut dire que les pratiques sociales ont leur « nature » dans le monde symbolique. Ce ne sont ni leurs racines pr</w:t>
      </w:r>
      <w:r w:rsidRPr="00BB11AF">
        <w:t>o</w:t>
      </w:r>
      <w:r w:rsidRPr="00BB11AF">
        <w:t>fondes dans le ce</w:t>
      </w:r>
      <w:r w:rsidRPr="00BB11AF">
        <w:t>r</w:t>
      </w:r>
      <w:r w:rsidRPr="00BB11AF">
        <w:t>veau individuel, ni le sol ferme d'un déterminisme social, ni un code génétique, ni les rails de l'habitude qui leur perme</w:t>
      </w:r>
      <w:r w:rsidRPr="00BB11AF">
        <w:t>t</w:t>
      </w:r>
      <w:r w:rsidRPr="00BB11AF">
        <w:t>tent de durer et, donc, d'évoluer. Comme un colibri de 50 grammes qui fonce vers le Mexique dans une nuit froide de septembre, ces pr</w:t>
      </w:r>
      <w:r w:rsidRPr="00BB11AF">
        <w:t>a</w:t>
      </w:r>
      <w:r w:rsidRPr="00BB11AF">
        <w:t>tiques ne persév</w:t>
      </w:r>
      <w:r w:rsidRPr="00BB11AF">
        <w:t>è</w:t>
      </w:r>
      <w:r w:rsidRPr="00BB11AF">
        <w:t>rent dans leur genre propre et ne se maintiennent sur leur route qu'en étant littéralement accrochées aux étoiles. Dans les sociétés politiques, elles doivent leur vie à la clarté des idées régul</w:t>
      </w:r>
      <w:r w:rsidRPr="00BB11AF">
        <w:t>a</w:t>
      </w:r>
      <w:r w:rsidRPr="00BB11AF">
        <w:t>trices (et des débats doctrinaux) qui orientent et limitent les pouvoirs : l'intériorisation subjective des normes qui résultent des conflits polit</w:t>
      </w:r>
      <w:r w:rsidRPr="00BB11AF">
        <w:t>i</w:t>
      </w:r>
      <w:r w:rsidRPr="00BB11AF">
        <w:t>ques est alors d'autant plus décisive que l'autonomie des pratiques ai</w:t>
      </w:r>
      <w:r w:rsidRPr="00BB11AF">
        <w:t>n</w:t>
      </w:r>
      <w:r w:rsidRPr="00BB11AF">
        <w:t>si institutionnalisées est plus grande. C'est pour cette raison que l'add</w:t>
      </w:r>
      <w:r w:rsidRPr="00BB11AF">
        <w:t>i</w:t>
      </w:r>
      <w:r w:rsidRPr="00BB11AF">
        <w:t>tion communic</w:t>
      </w:r>
      <w:r w:rsidRPr="00BB11AF">
        <w:t>a</w:t>
      </w:r>
      <w:r w:rsidRPr="00BB11AF">
        <w:t>tionnelle de valeurs auto-poïétiques incontestables peut tout aussi facilement et tout aussi efficacement détourner une in</w:t>
      </w:r>
      <w:r w:rsidRPr="00BB11AF">
        <w:t>s</w:t>
      </w:r>
      <w:r w:rsidRPr="00BB11AF">
        <w:t>titution de sa nature que ne le peut l'appât du gain, ce qui n'e</w:t>
      </w:r>
      <w:r w:rsidRPr="00BB11AF">
        <w:t>x</w:t>
      </w:r>
      <w:r w:rsidRPr="00BB11AF">
        <w:t>clut pas que l'appât du gain soit un très puissant adjuvant du dopage.</w:t>
      </w:r>
    </w:p>
    <w:p w:rsidR="003A3061" w:rsidRPr="00BB11AF" w:rsidRDefault="003A3061" w:rsidP="003A3061">
      <w:pPr>
        <w:spacing w:before="120" w:after="120"/>
        <w:jc w:val="both"/>
      </w:pPr>
      <w:r w:rsidRPr="00BB11AF">
        <w:t>Bref, les valeurs auto-engendrées de l'espace communicationnel, ju</w:t>
      </w:r>
      <w:r w:rsidRPr="00BB11AF">
        <w:t>s</w:t>
      </w:r>
      <w:r w:rsidRPr="00BB11AF">
        <w:t>tement parce qu'elles confortent le petit moralisme subjectif qui les alimente, font l'économie du débat et embrouillent les différends pol</w:t>
      </w:r>
      <w:r w:rsidRPr="00BB11AF">
        <w:t>i</w:t>
      </w:r>
      <w:r w:rsidRPr="00BB11AF">
        <w:t>tiques portant sur les fins collectives. Elles sont comme les nanopart</w:t>
      </w:r>
      <w:r w:rsidRPr="00BB11AF">
        <w:t>i</w:t>
      </w:r>
      <w:r w:rsidRPr="00BB11AF">
        <w:t>cules polluantes qui se glissent dans les régulations du système ne</w:t>
      </w:r>
      <w:r w:rsidRPr="00BB11AF">
        <w:t>r</w:t>
      </w:r>
      <w:r w:rsidRPr="00BB11AF">
        <w:t>veux sans être détectées et qui s'y substituent, parfois d'une manière désastreuse, aux neurotransmetteurs qu'elles émulent. Parce que les finalités de l'État se sont dissipées dans la pluralité de ses fonctions, les débats doctrinaux tendent à s'embrouiller dans des routines répét</w:t>
      </w:r>
      <w:r w:rsidRPr="00BB11AF">
        <w:t>i</w:t>
      </w:r>
      <w:r w:rsidRPr="00BB11AF">
        <w:t>tives refroidies (voir la « philosophie politique » contemporaine, par exemple) et le jugement individuel tend à compenser la désorganis</w:t>
      </w:r>
      <w:r w:rsidRPr="00BB11AF">
        <w:t>a</w:t>
      </w:r>
      <w:r w:rsidRPr="00BB11AF">
        <w:t>tion normative collective par l'adhésion à des valeurs instantanées dont le principal mérite est de valoir absolument, au moins pendant un certain temps. La conflictualité normative explicite du politique tend ainsi à céder le terrain à une vaste compétition médiatique des rectit</w:t>
      </w:r>
      <w:r w:rsidRPr="00BB11AF">
        <w:t>u</w:t>
      </w:r>
      <w:r w:rsidRPr="00BB11AF">
        <w:t>des absolues. Si vous voulez vous faire couper la tête à l'université (un lieu où l'on désigne la tête par un substitut juridique nommé « cr</w:t>
      </w:r>
      <w:r w:rsidRPr="00BB11AF">
        <w:t>é</w:t>
      </w:r>
      <w:r w:rsidRPr="00BB11AF">
        <w:t>dibilité »), dites publiquement que vous doutez profondément de l'ut</w:t>
      </w:r>
      <w:r w:rsidRPr="00BB11AF">
        <w:t>i</w:t>
      </w:r>
      <w:r w:rsidRPr="00BB11AF">
        <w:t>lité des milliards distribués à « la recherche » et demandez qu'ils soient « détournés » vers les étudiants des cycles supérieurs ; vous verrez alors ce que c'est que de mettre en doute une belle valeur év</w:t>
      </w:r>
      <w:r w:rsidRPr="00BB11AF">
        <w:t>i</w:t>
      </w:r>
      <w:r w:rsidRPr="00BB11AF">
        <w:t>dente.</w:t>
      </w:r>
    </w:p>
    <w:p w:rsidR="003A3061" w:rsidRPr="00BB11AF" w:rsidRDefault="003A3061" w:rsidP="003A3061">
      <w:pPr>
        <w:spacing w:before="120" w:after="120"/>
        <w:jc w:val="both"/>
      </w:pPr>
      <w:r w:rsidRPr="00BB11AF">
        <w:t>[165]</w:t>
      </w:r>
    </w:p>
    <w:p w:rsidR="003A3061" w:rsidRPr="00BB11AF" w:rsidRDefault="003A3061" w:rsidP="003A3061">
      <w:pPr>
        <w:spacing w:before="120" w:after="120"/>
        <w:jc w:val="both"/>
      </w:pPr>
      <w:r w:rsidRPr="00BB11AF">
        <w:t>Aristote soutenait que toute chose en ce monde peut exister selon son genre (c'est-à-dire selon son engendrement) ou selon sa corru</w:t>
      </w:r>
      <w:r w:rsidRPr="00BB11AF">
        <w:t>p</w:t>
      </w:r>
      <w:r w:rsidRPr="00BB11AF">
        <w:t>tion ; pour la sociologie critique que je pratique ici, c'est là une exce</w:t>
      </w:r>
      <w:r w:rsidRPr="00BB11AF">
        <w:t>l</w:t>
      </w:r>
      <w:r w:rsidRPr="00BB11AF">
        <w:t>lente manière de dire qu'il y a dans la société des capacités d'action et des formes de pouvoir dont l'existence dépend de leur fidélité à leurs justifications publiques explicites et d'autres qui s'en sont libérées s</w:t>
      </w:r>
      <w:r w:rsidRPr="00BB11AF">
        <w:t>u</w:t>
      </w:r>
      <w:r w:rsidRPr="00BB11AF">
        <w:t>bre</w:t>
      </w:r>
      <w:r w:rsidRPr="00BB11AF">
        <w:t>p</w:t>
      </w:r>
      <w:r w:rsidRPr="00BB11AF">
        <w:t>ticement. Le principe du présent examen consiste essentiellement à faire la différence entre les deux, c'est-à-dire à faire la différence entre ce qui s'attache à sa raison d'être et ce qui s'en libère, entre ce qui se régénère et ce qui se corrompt.</w:t>
      </w:r>
    </w:p>
    <w:p w:rsidR="003A3061" w:rsidRPr="00BB11AF" w:rsidRDefault="003A3061" w:rsidP="003A3061">
      <w:pPr>
        <w:spacing w:before="120" w:after="120"/>
        <w:jc w:val="both"/>
      </w:pPr>
      <w:r w:rsidRPr="00BB11AF">
        <w:t>Tout cela revient aussi à dire que les finalités, les missions et les types-idéaux qui pilotent les pratiques institutionnalisées relèvent de l'expressivité politique collective et de la conflictualité qui l'habite (le polemos) et qu'elles perdent toute réalité en dehors de ce lieu social.</w:t>
      </w:r>
    </w:p>
    <w:p w:rsidR="003A3061" w:rsidRPr="00BB11AF" w:rsidRDefault="003A3061" w:rsidP="003A3061">
      <w:pPr>
        <w:spacing w:before="120" w:after="120"/>
        <w:jc w:val="both"/>
      </w:pPr>
      <w:r w:rsidRPr="00BB11AF">
        <w:t>À moins, évidemment, que ces « activités » collectives ne se me</w:t>
      </w:r>
      <w:r w:rsidRPr="00BB11AF">
        <w:t>t</w:t>
      </w:r>
      <w:r w:rsidRPr="00BB11AF">
        <w:t>tent au service de puissances qui ne dépendent plus d'aucun débat et que les valeurs servant à justifier tous les asservissements ne valent désormais, comme des marchandises, que chacune à son propre com</w:t>
      </w:r>
      <w:r w:rsidRPr="00BB11AF">
        <w:t>p</w:t>
      </w:r>
      <w:r w:rsidRPr="00BB11AF">
        <w:t>te.</w:t>
      </w:r>
    </w:p>
    <w:p w:rsidR="003A3061" w:rsidRPr="00BB11AF" w:rsidRDefault="003A3061" w:rsidP="003A3061">
      <w:pPr>
        <w:spacing w:before="120" w:after="120"/>
        <w:jc w:val="both"/>
      </w:pPr>
    </w:p>
    <w:p w:rsidR="003A3061" w:rsidRPr="00BB11AF" w:rsidRDefault="003A3061" w:rsidP="003A3061">
      <w:pPr>
        <w:pStyle w:val="planche"/>
      </w:pPr>
      <w:r w:rsidRPr="00BB11AF">
        <w:t>Le grand marché des valeurs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Tout cela m'entraine donc vers le quatrième type de corruption qui m'intéresse ici, celle qui touche, au grand jour de l'actualité, les inst</w:t>
      </w:r>
      <w:r w:rsidRPr="00BB11AF">
        <w:t>i</w:t>
      </w:r>
      <w:r w:rsidRPr="00BB11AF">
        <w:t>tutions publiques des sociétés développées.</w:t>
      </w:r>
    </w:p>
    <w:p w:rsidR="003A3061" w:rsidRPr="00BB11AF" w:rsidRDefault="003A3061" w:rsidP="003A3061">
      <w:pPr>
        <w:spacing w:before="120" w:after="120"/>
        <w:jc w:val="both"/>
      </w:pPr>
      <w:r w:rsidRPr="00BB11AF">
        <w:t>La corruption par le dopage, comme on l'a vu, peut elle-même pre</w:t>
      </w:r>
      <w:r w:rsidRPr="00BB11AF">
        <w:t>n</w:t>
      </w:r>
      <w:r w:rsidRPr="00BB11AF">
        <w:t>dre appui sur le détournement malhonnête des idées régulatrices fixées dans les professions et les pratiques institutionnalisées ; allons mai</w:t>
      </w:r>
      <w:r w:rsidRPr="00BB11AF">
        <w:t>n</w:t>
      </w:r>
      <w:r w:rsidRPr="00BB11AF">
        <w:t>tenant dans l'autre sens pour voir que la généralisation du dopage suppose la corruption des capacités architectoniques de l'État. J'entr</w:t>
      </w:r>
      <w:r w:rsidRPr="00BB11AF">
        <w:t>e</w:t>
      </w:r>
      <w:r w:rsidRPr="00BB11AF">
        <w:t>rai donc dans ce type de corruption au moyen d'une petite leçon de choses que le premier ministre canadien a offerte à ses collègues des autres pays lors du sommet de la francophonie de 2012 à Kinshasa. « Tous les gouvernements, sans exception a-t-il dit, doivent garantir à leurs citoyens la bonne gouvernance, l'État de droit et le respect des droits de la personne »</w:t>
      </w:r>
      <w:r>
        <w:t> </w:t>
      </w:r>
      <w:r>
        <w:rPr>
          <w:rStyle w:val="Appelnotedebasdep"/>
        </w:rPr>
        <w:footnoteReference w:id="92"/>
      </w:r>
      <w:r w:rsidRPr="00BB11AF">
        <w:t>.</w:t>
      </w:r>
    </w:p>
    <w:p w:rsidR="003A3061" w:rsidRPr="00BB11AF" w:rsidRDefault="003A3061" w:rsidP="003A3061">
      <w:pPr>
        <w:spacing w:before="120" w:after="120"/>
        <w:jc w:val="both"/>
      </w:pPr>
      <w:r w:rsidRPr="00BB11AF">
        <w:t>Tout est là, à la surface des choses, dans ce résumé impeccable de la philosophie qui s'y exprime. Cette maxime procède en effet à une gigantesque opération de réduction qui ramène l'ensemble des insta</w:t>
      </w:r>
      <w:r w:rsidRPr="00BB11AF">
        <w:t>n</w:t>
      </w:r>
      <w:r w:rsidRPr="00BB11AF">
        <w:t>ces de l'État au seul gouvernement, comme on l'a vu au Québec jusque dans l'esprit des législations récentes sur les sociétés de la Co</w:t>
      </w:r>
      <w:r w:rsidRPr="00BB11AF">
        <w:t>u</w:t>
      </w:r>
      <w:r w:rsidRPr="00BB11AF">
        <w:t>ronne. Le « gouvernement » devient, selon cette proposition, le substitut g</w:t>
      </w:r>
      <w:r w:rsidRPr="00BB11AF">
        <w:t>é</w:t>
      </w:r>
      <w:r w:rsidRPr="00BB11AF">
        <w:t>néral de l'État, le dernier bastion public que laissent subsister les lois de l'économie (la bonne gouvernance) et les droits individuels, qui l'enserrent de part et d'autre. Ayant</w:t>
      </w:r>
      <w:r>
        <w:t xml:space="preserve"> </w:t>
      </w:r>
      <w:r w:rsidRPr="00BB11AF">
        <w:t>[166]</w:t>
      </w:r>
      <w:r>
        <w:t xml:space="preserve"> </w:t>
      </w:r>
      <w:r w:rsidRPr="00BB11AF">
        <w:t>dûment avalé l'État, « le » gouvernement devient en somme une instance décisionnelle comme les autres dans un système de régul</w:t>
      </w:r>
      <w:r w:rsidRPr="00BB11AF">
        <w:t>a</w:t>
      </w:r>
      <w:r w:rsidRPr="00BB11AF">
        <w:t>tion dominé par des puissances privées.</w:t>
      </w:r>
    </w:p>
    <w:p w:rsidR="003A3061" w:rsidRPr="00BB11AF" w:rsidRDefault="003A3061" w:rsidP="003A3061">
      <w:pPr>
        <w:spacing w:before="120" w:after="120"/>
        <w:jc w:val="both"/>
      </w:pPr>
      <w:r w:rsidRPr="00BB11AF">
        <w:t>Les droits individuels, d'abord, qui sont ici l'essence de l'État de droit, forment une nébuleuse autonome de la société civile, une néb</w:t>
      </w:r>
      <w:r w:rsidRPr="00BB11AF">
        <w:t>u</w:t>
      </w:r>
      <w:r w:rsidRPr="00BB11AF">
        <w:t>leuse qui impose ses effets au gouvernement de l'extérieur. Le go</w:t>
      </w:r>
      <w:r w:rsidRPr="00BB11AF">
        <w:t>u</w:t>
      </w:r>
      <w:r w:rsidRPr="00BB11AF">
        <w:t>vern</w:t>
      </w:r>
      <w:r w:rsidRPr="00BB11AF">
        <w:t>e</w:t>
      </w:r>
      <w:r w:rsidRPr="00BB11AF">
        <w:t>ment doit respecter les droits individuels, mais sans qu'il ait à y voir la substance ou le principe de sa propre existence. La judiciaris</w:t>
      </w:r>
      <w:r w:rsidRPr="00BB11AF">
        <w:t>a</w:t>
      </w:r>
      <w:r w:rsidRPr="00BB11AF">
        <w:t>tion de l'humeur publique qui en résulte devient le principe réel de la régul</w:t>
      </w:r>
      <w:r w:rsidRPr="00BB11AF">
        <w:t>a</w:t>
      </w:r>
      <w:r w:rsidRPr="00BB11AF">
        <w:t>tion des cours et l'idée républicaine selon laquelle les droits fond</w:t>
      </w:r>
      <w:r w:rsidRPr="00BB11AF">
        <w:t>a</w:t>
      </w:r>
      <w:r w:rsidRPr="00BB11AF">
        <w:t>mentaux étaient le principe interne de l'État, la substance éthique qui ordonnait le jeu des « instances » de l'État, se trouve dûment subve</w:t>
      </w:r>
      <w:r w:rsidRPr="00BB11AF">
        <w:t>r</w:t>
      </w:r>
      <w:r w:rsidRPr="00BB11AF">
        <w:t>tie.</w:t>
      </w:r>
    </w:p>
    <w:p w:rsidR="003A3061" w:rsidRPr="00BB11AF" w:rsidRDefault="003A3061" w:rsidP="003A3061">
      <w:pPr>
        <w:spacing w:before="120" w:after="120"/>
        <w:jc w:val="both"/>
      </w:pPr>
      <w:r w:rsidRPr="00BB11AF">
        <w:t>Tout comme la juridiction, la législation et l'administration publ</w:t>
      </w:r>
      <w:r w:rsidRPr="00BB11AF">
        <w:t>i</w:t>
      </w:r>
      <w:r w:rsidRPr="00BB11AF">
        <w:t>que peuvent devenir de simples instruments du gouvernement, alors que le chef de l'État (la couronne au Canada) devient explicitement l'ornement d'une symbolique publicitaire dont dispose à guise le go</w:t>
      </w:r>
      <w:r w:rsidRPr="00BB11AF">
        <w:t>u</w:t>
      </w:r>
      <w:r w:rsidRPr="00BB11AF">
        <w:t>vern</w:t>
      </w:r>
      <w:r w:rsidRPr="00BB11AF">
        <w:t>e</w:t>
      </w:r>
      <w:r w:rsidRPr="00BB11AF">
        <w:t>ment, encore une fois. Le « législateur » est régulièrement et profo</w:t>
      </w:r>
      <w:r w:rsidRPr="00BB11AF">
        <w:t>n</w:t>
      </w:r>
      <w:r w:rsidRPr="00BB11AF">
        <w:t>dément bafoué (comme lorsqu'on l'oblige à voter 400 pages de lois en quelques heures), le juge est discrédité lui aussi de belle m</w:t>
      </w:r>
      <w:r w:rsidRPr="00BB11AF">
        <w:t>a</w:t>
      </w:r>
      <w:r w:rsidRPr="00BB11AF">
        <w:t>nière (comme lorsqu'on le nomme avec des post-it qui lui restent co</w:t>
      </w:r>
      <w:r w:rsidRPr="00BB11AF">
        <w:t>l</w:t>
      </w:r>
      <w:r w:rsidRPr="00BB11AF">
        <w:t>lés au cul jusque sur le banc) et le fonctionnaire, finalement, est ma</w:t>
      </w:r>
      <w:r w:rsidRPr="00BB11AF">
        <w:t>r</w:t>
      </w:r>
      <w:r w:rsidRPr="00BB11AF">
        <w:t>ginalisé (comme lorsqu'on le remplace, aux transports, par un comité de firmes d'ingénieurs ou, à l'éducation, par un comité de recteurs), en même temps qu'est marginalisé le principe même de fonction publ</w:t>
      </w:r>
      <w:r w:rsidRPr="00BB11AF">
        <w:t>i</w:t>
      </w:r>
      <w:r w:rsidRPr="00BB11AF">
        <w:t>que, traditionnellement « professionnelle, impersonnelle et désintére</w:t>
      </w:r>
      <w:r w:rsidRPr="00BB11AF">
        <w:t>s</w:t>
      </w:r>
      <w:r w:rsidRPr="00BB11AF">
        <w:t>sée ». On fait foin des « instances » de l'État et, donc, de l'État lui-même.</w:t>
      </w:r>
    </w:p>
    <w:p w:rsidR="003A3061" w:rsidRPr="00BB11AF" w:rsidRDefault="003A3061" w:rsidP="003A3061">
      <w:pPr>
        <w:spacing w:before="120" w:after="120"/>
        <w:jc w:val="both"/>
      </w:pPr>
      <w:r w:rsidRPr="00BB11AF">
        <w:t>Cette maxime, ensuite, ramène toute action « positive » de ce go</w:t>
      </w:r>
      <w:r w:rsidRPr="00BB11AF">
        <w:t>u</w:t>
      </w:r>
      <w:r w:rsidRPr="00BB11AF">
        <w:t>ve</w:t>
      </w:r>
      <w:r w:rsidRPr="00BB11AF">
        <w:t>r</w:t>
      </w:r>
      <w:r w:rsidRPr="00BB11AF">
        <w:t>nement multi-absorbant à une unique fonction d'adaptation à l'égard d'un second domaine d'extériorité, apparemment tout aussi a</w:t>
      </w:r>
      <w:r w:rsidRPr="00BB11AF">
        <w:t>u</w:t>
      </w:r>
      <w:r w:rsidRPr="00BB11AF">
        <w:t>tonome face à lui que la sphère des droits individuels, soit l'économie « globalitaire ». Nous avons donc ainsi un État, réduit au gouvern</w:t>
      </w:r>
      <w:r w:rsidRPr="00BB11AF">
        <w:t>e</w:t>
      </w:r>
      <w:r w:rsidRPr="00BB11AF">
        <w:t>ment et donc sans « personnalité morale » qui se distinguerait de lui et l'engloberait, qui professe n'avoir d'autre fonction que d'obéir à l'éc</w:t>
      </w:r>
      <w:r w:rsidRPr="00BB11AF">
        <w:t>o</w:t>
      </w:r>
      <w:r w:rsidRPr="00BB11AF">
        <w:t>nomie et aux droits des individus. La proposition « harperienne », presque innocente à force de conformité au sens commun, est en réal</w:t>
      </w:r>
      <w:r w:rsidRPr="00BB11AF">
        <w:t>i</w:t>
      </w:r>
      <w:r w:rsidRPr="00BB11AF">
        <w:t>té l'expression synthétique la plus nette d'un programme de destitution du politique qui, à terme, laissera derrière lui un « appareil institutio</w:t>
      </w:r>
      <w:r w:rsidRPr="00BB11AF">
        <w:t>n</w:t>
      </w:r>
      <w:r w:rsidRPr="00BB11AF">
        <w:t>nel » parfaitement orphelin, libéré des raisons d'être de l'État, mais fort de sa taille économique et de son arbitraire décisionnel.</w:t>
      </w:r>
    </w:p>
    <w:p w:rsidR="003A3061" w:rsidRPr="00BB11AF" w:rsidRDefault="003A3061" w:rsidP="003A3061">
      <w:pPr>
        <w:spacing w:before="120" w:after="120"/>
        <w:jc w:val="both"/>
      </w:pPr>
      <w:r w:rsidRPr="00BB11AF">
        <w:t>Le gouvernement, qui a fait de toutes les institutions de simples in</w:t>
      </w:r>
      <w:r w:rsidRPr="00BB11AF">
        <w:t>s</w:t>
      </w:r>
      <w:r w:rsidRPr="00BB11AF">
        <w:t>truments, se pose lui-même comme l'instrument supérieur d'un souverain bien indiscutable, l'économie. L'égalité devant la loi, l'équ</w:t>
      </w:r>
      <w:r w:rsidRPr="00BB11AF">
        <w:t>i</w:t>
      </w:r>
      <w:r w:rsidRPr="00BB11AF">
        <w:t>té fiscale, l'égalisation des chances, la liberté individuelle, la libre pa</w:t>
      </w:r>
      <w:r w:rsidRPr="00BB11AF">
        <w:t>r</w:t>
      </w:r>
      <w:r w:rsidRPr="00BB11AF">
        <w:t>tic</w:t>
      </w:r>
      <w:r w:rsidRPr="00BB11AF">
        <w:t>i</w:t>
      </w:r>
      <w:r w:rsidRPr="00BB11AF">
        <w:t>pation des citoyens au système du droit politique démocratique, le raffinement des esprits, l'adoucissement des mœurs, la</w:t>
      </w:r>
      <w:r>
        <w:t xml:space="preserve"> </w:t>
      </w:r>
      <w:r w:rsidRPr="00BB11AF">
        <w:t>[167]</w:t>
      </w:r>
      <w:r>
        <w:t xml:space="preserve"> </w:t>
      </w:r>
      <w:r w:rsidRPr="00BB11AF">
        <w:t>paix un</w:t>
      </w:r>
      <w:r w:rsidRPr="00BB11AF">
        <w:t>i</w:t>
      </w:r>
      <w:r w:rsidRPr="00BB11AF">
        <w:t>verselle, tout cela est préservé dans les textes et dans les humeurs de la société civile, sans pourtant que cela ne fasse du polit</w:t>
      </w:r>
      <w:r w:rsidRPr="00BB11AF">
        <w:t>i</w:t>
      </w:r>
      <w:r w:rsidRPr="00BB11AF">
        <w:t>que le lieu de formation d'une volonté souveraine concernant le bien commun et sans que cela ne laisse aux conflits sociaux la moindre e</w:t>
      </w:r>
      <w:r w:rsidRPr="00BB11AF">
        <w:t>f</w:t>
      </w:r>
      <w:r w:rsidRPr="00BB11AF">
        <w:t>fectivité de principe ni la moindre légitimité. Les conflits deviennent donc eux aussi des phénomènes de pure « puissance » et n'ont d'effe</w:t>
      </w:r>
      <w:r w:rsidRPr="00BB11AF">
        <w:t>c</w:t>
      </w:r>
      <w:r w:rsidRPr="00BB11AF">
        <w:t>tivité que sur la base de leur occasionnelle propagation « virale » irr</w:t>
      </w:r>
      <w:r w:rsidRPr="00BB11AF">
        <w:t>é</w:t>
      </w:r>
      <w:r w:rsidRPr="00BB11AF">
        <w:t>fléchie. La loi de l'adaptation à la contrainte économique extérieure, comme le dit Mascotto, fait du politique un lieu où les « représentants élus » ve</w:t>
      </w:r>
      <w:r w:rsidRPr="00BB11AF">
        <w:t>n</w:t>
      </w:r>
      <w:r w:rsidRPr="00BB11AF">
        <w:t>dent au peuple le cahier des charges de l'ordre global tout en opposant aux cahiers de doléances des citoyens une fin de non-recevoir. La d</w:t>
      </w:r>
      <w:r w:rsidRPr="00BB11AF">
        <w:t>é</w:t>
      </w:r>
      <w:r w:rsidRPr="00BB11AF">
        <w:t>mocratie représentative fonctionne dès lors à l'envers d'une manière systématique et elle devient une forme de représent</w:t>
      </w:r>
      <w:r w:rsidRPr="00BB11AF">
        <w:t>a</w:t>
      </w:r>
      <w:r w:rsidRPr="00BB11AF">
        <w:t>tion des décisions économiques aux yeux des citoyens. Les politiciens, bref, se cons</w:t>
      </w:r>
      <w:r w:rsidRPr="00BB11AF">
        <w:t>a</w:t>
      </w:r>
      <w:r w:rsidRPr="00BB11AF">
        <w:t>crent honnêtement à l'effort d'imposer l'argument de la réalité écon</w:t>
      </w:r>
      <w:r w:rsidRPr="00BB11AF">
        <w:t>o</w:t>
      </w:r>
      <w:r w:rsidRPr="00BB11AF">
        <w:t>mique à la volonté populaire plutôt que d'appliquer la volonté popula</w:t>
      </w:r>
      <w:r w:rsidRPr="00BB11AF">
        <w:t>i</w:t>
      </w:r>
      <w:r w:rsidRPr="00BB11AF">
        <w:t>re à cette réalité ; et ils concèdent en échange aux individus des droits de propriété qui les opposent les uns aux autres. Il est donc parfait</w:t>
      </w:r>
      <w:r w:rsidRPr="00BB11AF">
        <w:t>e</w:t>
      </w:r>
      <w:r w:rsidRPr="00BB11AF">
        <w:t>ment normal, quoiqu'absolument désolant, de voir que l'on interprète le désintérêt des jeunes pour ce spectacle « gouvernemental » comme du cynisme et comme un signe de dépolitisation alors que c'est préc</w:t>
      </w:r>
      <w:r w:rsidRPr="00BB11AF">
        <w:t>i</w:t>
      </w:r>
      <w:r w:rsidRPr="00BB11AF">
        <w:t>sément l'inverse qui se passe ; l'intérêt pour le bien commun refuse de jouer dans ce théâtre des ombres, mais il ne parvient à échapper au cynisme du droit de vote qu'en lui opp</w:t>
      </w:r>
      <w:r w:rsidRPr="00BB11AF">
        <w:t>o</w:t>
      </w:r>
      <w:r w:rsidRPr="00BB11AF">
        <w:t>sant l'anarchie souveraine de la « multitude ».</w:t>
      </w:r>
    </w:p>
    <w:p w:rsidR="003A3061" w:rsidRPr="00BB11AF" w:rsidRDefault="003A3061" w:rsidP="003A3061">
      <w:pPr>
        <w:spacing w:before="120" w:after="120"/>
        <w:jc w:val="both"/>
      </w:pPr>
      <w:r w:rsidRPr="00BB11AF">
        <w:t>Comme je l'ai dit plus haut, la dissolution du politique qu'implique la pragmatique de l'adaptation laisse soigneusement subsister des in</w:t>
      </w:r>
      <w:r w:rsidRPr="00BB11AF">
        <w:t>s</w:t>
      </w:r>
      <w:r w:rsidRPr="00BB11AF">
        <w:t>titutions orphelines qui peuvent dès lors être soumises au dopage sy</w:t>
      </w:r>
      <w:r w:rsidRPr="00BB11AF">
        <w:t>s</w:t>
      </w:r>
      <w:r w:rsidRPr="00BB11AF">
        <w:t>tématique par un salmigondis de valeurs tombées du ciel, mais dont to</w:t>
      </w:r>
      <w:r w:rsidRPr="00BB11AF">
        <w:t>u</w:t>
      </w:r>
      <w:r w:rsidRPr="00BB11AF">
        <w:t>tes les déclinaisons se ramènent à l'économie. Il ne reste donc de notre demi-siècle de démocratie sociale qu'un verbiage généralisé sur le rapport coût-bénéfice des politiques publiques. Les valeurs régul</w:t>
      </w:r>
      <w:r w:rsidRPr="00BB11AF">
        <w:t>a</w:t>
      </w:r>
      <w:r w:rsidRPr="00BB11AF">
        <w:t>trices des institutions étant tombées devant la contrainte à l'adaptation, les institutions peuvent être envahies par n'importe quelle belle valeur du moment, surtout si une clientèle temporaire y trouve son compte : on utilise la voirie pour créer des emplois de qualité, l'éducation sert à produire de la main- d'œuvre compétente, l'université doit inventer des armes (innovations techniques) pour nous permettre de gagner la guerre économique, l'industrie culturelle doit créer des biens export</w:t>
      </w:r>
      <w:r w:rsidRPr="00BB11AF">
        <w:t>a</w:t>
      </w:r>
      <w:r w:rsidRPr="00BB11AF">
        <w:t>bles, le patrimoine permet d'attirer des touristes et de remplir les h</w:t>
      </w:r>
      <w:r w:rsidRPr="00BB11AF">
        <w:t>ô</w:t>
      </w:r>
      <w:r w:rsidRPr="00BB11AF">
        <w:t>tels et la fiscalité doit aider à attirer les investisseurs. Que de belles finalités. Finalement, on conviendra qu'en donnant tous les permis de garderie et de pouponnière à une seule et même entreprise, cela pe</w:t>
      </w:r>
      <w:r w:rsidRPr="00BB11AF">
        <w:t>r</w:t>
      </w:r>
      <w:r w:rsidRPr="00BB11AF">
        <w:t>mettrait de créer une multinationale québécoise du gardiennage qui aurait du succès sur les grands marchés et qui permettrait d'exporter le savoir-faire local. Et ainsi de suite.</w:t>
      </w:r>
    </w:p>
    <w:p w:rsidR="003A3061" w:rsidRPr="00BB11AF" w:rsidRDefault="003A3061" w:rsidP="003A3061">
      <w:pPr>
        <w:spacing w:before="120" w:after="120"/>
        <w:jc w:val="both"/>
      </w:pPr>
      <w:r w:rsidRPr="00BB11AF">
        <w:t>On ajoute ainsi au travail des institutions existantes des objectifs éc</w:t>
      </w:r>
      <w:r w:rsidRPr="00BB11AF">
        <w:t>o</w:t>
      </w:r>
      <w:r w:rsidRPr="00BB11AF">
        <w:t>nomiques, louables et loués, mais contradictoires avec leur finalité légitime et on multiplie les zones d'irritation et les possibilités</w:t>
      </w:r>
      <w:r>
        <w:t xml:space="preserve"> </w:t>
      </w:r>
      <w:r w:rsidRPr="00BB11AF">
        <w:t>[168]</w:t>
      </w:r>
      <w:r>
        <w:t xml:space="preserve"> </w:t>
      </w:r>
      <w:r w:rsidRPr="00BB11AF">
        <w:t>d'injustice. Autrement dit, on procède à la généralisation du dop</w:t>
      </w:r>
      <w:r w:rsidRPr="00BB11AF">
        <w:t>a</w:t>
      </w:r>
      <w:r w:rsidRPr="00BB11AF">
        <w:t>ge. Comme les institutions ne peuvent plus rien exclure en pri</w:t>
      </w:r>
      <w:r w:rsidRPr="00BB11AF">
        <w:t>n</w:t>
      </w:r>
      <w:r w:rsidRPr="00BB11AF">
        <w:t>cipe parce que tous les biens se valent pour ce qui est de servir l'éc</w:t>
      </w:r>
      <w:r w:rsidRPr="00BB11AF">
        <w:t>o</w:t>
      </w:r>
      <w:r w:rsidRPr="00BB11AF">
        <w:t>nomie, ce qu'elles font régner est toujours le résultat d'un coup de force a</w:t>
      </w:r>
      <w:r w:rsidRPr="00BB11AF">
        <w:t>p</w:t>
      </w:r>
      <w:r w:rsidRPr="00BB11AF">
        <w:t>puyé sur une vertu temporairement indiscutable. Les institutions p</w:t>
      </w:r>
      <w:r w:rsidRPr="00BB11AF">
        <w:t>u</w:t>
      </w:r>
      <w:r w:rsidRPr="00BB11AF">
        <w:t>bliques sont mobilisables et disponibles et, en conséquence, les util</w:t>
      </w:r>
      <w:r w:rsidRPr="00BB11AF">
        <w:t>i</w:t>
      </w:r>
      <w:r w:rsidRPr="00BB11AF">
        <w:t>sateurs privés se les disputent. Même si toutes les pommes qui restent accr</w:t>
      </w:r>
      <w:r w:rsidRPr="00BB11AF">
        <w:t>o</w:t>
      </w:r>
      <w:r w:rsidRPr="00BB11AF">
        <w:t>chées aux branches des appareils publics étaient encore parfa</w:t>
      </w:r>
      <w:r w:rsidRPr="00BB11AF">
        <w:t>i</w:t>
      </w:r>
      <w:r w:rsidRPr="00BB11AF">
        <w:t>tement saines et honnêtes, le fait que le pommier se prenne lui-même pour du bois de chauffage ouvre toute grande la porte à toutes les formes ant</w:t>
      </w:r>
      <w:r w:rsidRPr="00BB11AF">
        <w:t>é</w:t>
      </w:r>
      <w:r w:rsidRPr="00BB11AF">
        <w:t>rieures de la corruption. Les institutions du bien co</w:t>
      </w:r>
      <w:r w:rsidRPr="00BB11AF">
        <w:t>m</w:t>
      </w:r>
      <w:r w:rsidRPr="00BB11AF">
        <w:t>mun devenant elles-mêmes des « ressources » âprement disputées, il n'y aura bientôt plus que les idiots pour être honnêtes.</w:t>
      </w:r>
    </w:p>
    <w:p w:rsidR="003A3061" w:rsidRPr="00BB11AF" w:rsidRDefault="003A3061" w:rsidP="003A3061">
      <w:pPr>
        <w:spacing w:before="120" w:after="120"/>
        <w:jc w:val="both"/>
      </w:pPr>
      <w:r w:rsidRPr="00BB11AF">
        <w:t>Mieux : comme les institutions ont été séparées du politique en toute honnêteté et subordonnées sans discussion aux valeurs économ</w:t>
      </w:r>
      <w:r w:rsidRPr="00BB11AF">
        <w:t>i</w:t>
      </w:r>
      <w:r w:rsidRPr="00BB11AF">
        <w:t>ques régnantes, les pratiques malhonnêtes antérieures en perdent leur pr</w:t>
      </w:r>
      <w:r w:rsidRPr="00BB11AF">
        <w:t>o</w:t>
      </w:r>
      <w:r w:rsidRPr="00BB11AF">
        <w:t>pre latin et elles se recyclent dans le salmigondis adaptatif en tant que valeurs légitimes parmi d'autres. You say tomato, I say t</w:t>
      </w:r>
      <w:r w:rsidRPr="00BB11AF">
        <w:t>o</w:t>
      </w:r>
      <w:r w:rsidRPr="00BB11AF">
        <w:t>maeto. La corruption de l'État, en somme, rend honnête tout ce qui conduit à un quelconque rendement économique et la réalité est plutôt qu'il n'y aura bientôt plus que les idiots pour être malhonnêtes.</w:t>
      </w:r>
    </w:p>
    <w:p w:rsidR="003A3061" w:rsidRPr="00BB11AF" w:rsidRDefault="003A3061" w:rsidP="003A3061">
      <w:pPr>
        <w:spacing w:before="120" w:after="120"/>
        <w:jc w:val="both"/>
      </w:pPr>
    </w:p>
    <w:p w:rsidR="003A3061" w:rsidRPr="00BB11AF" w:rsidRDefault="003A3061" w:rsidP="003A3061">
      <w:pPr>
        <w:pStyle w:val="planche"/>
      </w:pPr>
      <w:r w:rsidRPr="00BB11AF">
        <w:t>Conclusion</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Je terminerai en tentant de dessiner à grands traits le lien entre ce</w:t>
      </w:r>
      <w:r w:rsidRPr="00BB11AF">
        <w:t>t</w:t>
      </w:r>
      <w:r w:rsidRPr="00BB11AF">
        <w:t>te forme supérieure (et englobante) de la corruption et la nature des régulations supranationales et supra-politiques qui tendent aujou</w:t>
      </w:r>
      <w:r w:rsidRPr="00BB11AF">
        <w:t>r</w:t>
      </w:r>
      <w:r w:rsidRPr="00BB11AF">
        <w:t>d'hui à assurer, malgré tout, l'unité du système « globalitaire ». Le pr</w:t>
      </w:r>
      <w:r w:rsidRPr="00BB11AF">
        <w:t>é</w:t>
      </w:r>
      <w:r w:rsidRPr="00BB11AF">
        <w:t>sent colloque, intitulé Crise et mise en crise, nous invite en effet à e</w:t>
      </w:r>
      <w:r w:rsidRPr="00BB11AF">
        <w:t>x</w:t>
      </w:r>
      <w:r w:rsidRPr="00BB11AF">
        <w:t>plorer l'hypothèse d'une régulation par les crises et il reprend pour cela à son compte la notion d'un capitalisme du désastre que Naomi Klein a fo</w:t>
      </w:r>
      <w:r w:rsidRPr="00BB11AF">
        <w:t>r</w:t>
      </w:r>
      <w:r w:rsidRPr="00BB11AF">
        <w:t>mulée de belle manière dans son ouvrage The Shock Doctrine (2007).</w:t>
      </w:r>
    </w:p>
    <w:p w:rsidR="003A3061" w:rsidRPr="00BB11AF" w:rsidRDefault="003A3061" w:rsidP="003A3061">
      <w:pPr>
        <w:spacing w:before="120" w:after="120"/>
        <w:jc w:val="both"/>
      </w:pPr>
      <w:r w:rsidRPr="00BB11AF">
        <w:t>Pour dire les choses simplement, je ne crois pas que nous puissions continuer d'imaginer l'économie globalisée comme un système qui aurait des formes régulières de fonctionnement et, donc, des régul</w:t>
      </w:r>
      <w:r w:rsidRPr="00BB11AF">
        <w:t>a</w:t>
      </w:r>
      <w:r w:rsidRPr="00BB11AF">
        <w:t>tions endogènes relativement permanentes, entrecoupées seulement par des périodes de désordre et de crise auxquelles pourraient corre</w:t>
      </w:r>
      <w:r w:rsidRPr="00BB11AF">
        <w:t>s</w:t>
      </w:r>
      <w:r w:rsidRPr="00BB11AF">
        <w:t>pondre des stratégies de sortie de crise. L'économie, à mon avis, est maintenant un système de nature « crisique » et non pas un système qui serait, à l'occasion, affecté par des crises.</w:t>
      </w:r>
    </w:p>
    <w:p w:rsidR="003A3061" w:rsidRPr="00BB11AF" w:rsidRDefault="003A3061" w:rsidP="003A3061">
      <w:pPr>
        <w:spacing w:before="120" w:after="120"/>
        <w:jc w:val="both"/>
      </w:pPr>
      <w:r w:rsidRPr="00BB11AF">
        <w:t>Au-delà des contradictions qui résultent de l'autonomisation te</w:t>
      </w:r>
      <w:r w:rsidRPr="00BB11AF">
        <w:t>m</w:t>
      </w:r>
      <w:r w:rsidRPr="00BB11AF">
        <w:t>poraire de secteurs de la pratique économique-ce qui existe plus que j</w:t>
      </w:r>
      <w:r w:rsidRPr="00BB11AF">
        <w:t>a</w:t>
      </w:r>
      <w:r w:rsidRPr="00BB11AF">
        <w:t>mais comme 2007 l'a montré-, nous sommes entrés depuis trente ans dans une phase d'autonomisation « principielle » des multiples pui</w:t>
      </w:r>
      <w:r w:rsidRPr="00BB11AF">
        <w:t>s</w:t>
      </w:r>
      <w:r w:rsidRPr="00BB11AF">
        <w:t>sances d'action sur</w:t>
      </w:r>
      <w:r>
        <w:t xml:space="preserve"> </w:t>
      </w:r>
      <w:r w:rsidRPr="00BB11AF">
        <w:t>[169]</w:t>
      </w:r>
      <w:r>
        <w:t xml:space="preserve"> </w:t>
      </w:r>
      <w:r w:rsidRPr="00BB11AF">
        <w:t>l'économie. Les décisions des organisations de grande portée, les déc</w:t>
      </w:r>
      <w:r w:rsidRPr="00BB11AF">
        <w:t>i</w:t>
      </w:r>
      <w:r w:rsidRPr="00BB11AF">
        <w:t>sions, par exemple, qui réorganisent une branche d'activité et qui me</w:t>
      </w:r>
      <w:r w:rsidRPr="00BB11AF">
        <w:t>t</w:t>
      </w:r>
      <w:r w:rsidRPr="00BB11AF">
        <w:t>tent en jeu des montagnes de capitaux et des centaines de milliers de personnes, obligent les autres puissances organisationnelles qu'elles « affectent » à lancer des efforts d'adapt</w:t>
      </w:r>
      <w:r w:rsidRPr="00BB11AF">
        <w:t>a</w:t>
      </w:r>
      <w:r w:rsidRPr="00BB11AF">
        <w:t>tion d'envergure similaire pour tenir compte des nouvelles « conditions » qui leurs sont imp</w:t>
      </w:r>
      <w:r w:rsidRPr="00BB11AF">
        <w:t>o</w:t>
      </w:r>
      <w:r w:rsidRPr="00BB11AF">
        <w:t>sées. De proche en proche, les « conditions factuelles » qui en résu</w:t>
      </w:r>
      <w:r w:rsidRPr="00BB11AF">
        <w:t>l</w:t>
      </w:r>
      <w:r w:rsidRPr="00BB11AF">
        <w:t>tent en viennent à jouer dans cette affaire le rôle d'un « médium gén</w:t>
      </w:r>
      <w:r w:rsidRPr="00BB11AF">
        <w:t>é</w:t>
      </w:r>
      <w:r w:rsidRPr="00BB11AF">
        <w:t>ralisé de communication » - pour emprunter une image. L'économie globalisée actuelle est donc un sy</w:t>
      </w:r>
      <w:r w:rsidRPr="00BB11AF">
        <w:t>s</w:t>
      </w:r>
      <w:r w:rsidRPr="00BB11AF">
        <w:t>tème de royaumes combattants où l'arbitraire décisionnel et la pui</w:t>
      </w:r>
      <w:r w:rsidRPr="00BB11AF">
        <w:t>s</w:t>
      </w:r>
      <w:r w:rsidRPr="00BB11AF">
        <w:t>sance opératoire de chacun introduisent dans l'environnement des a</w:t>
      </w:r>
      <w:r w:rsidRPr="00BB11AF">
        <w:t>u</w:t>
      </w:r>
      <w:r w:rsidRPr="00BB11AF">
        <w:t>tres des situations inédites qui les obligent à jouer dans le jeu qui a ainsi été redéfini. Les « règles du jeu » ne sont plus tant des normes débattues ou instituées que la co</w:t>
      </w:r>
      <w:r w:rsidRPr="00BB11AF">
        <w:t>m</w:t>
      </w:r>
      <w:r w:rsidRPr="00BB11AF">
        <w:t>binaison des « états de fait » que chacun tente d'imposer à tous.</w:t>
      </w:r>
    </w:p>
    <w:p w:rsidR="003A3061" w:rsidRPr="00BB11AF" w:rsidRDefault="003A3061" w:rsidP="003A3061">
      <w:pPr>
        <w:spacing w:before="120" w:after="120"/>
        <w:jc w:val="both"/>
      </w:pPr>
      <w:r w:rsidRPr="00BB11AF">
        <w:t>Jacques Mascotto, encore une fois, me suggère que la chose que je désigne ici est la règle du « due process of crisis » et de la déstabilis</w:t>
      </w:r>
      <w:r w:rsidRPr="00BB11AF">
        <w:t>a</w:t>
      </w:r>
      <w:r w:rsidRPr="00BB11AF">
        <w:t>tion créatrice. Un tel système adaptatif complexe ne comporte pas d'autres régulations endogènes que celles qui résultent de l'absorption et de la dispersion frictionnelle des grands chocs dans les innombr</w:t>
      </w:r>
      <w:r w:rsidRPr="00BB11AF">
        <w:t>a</w:t>
      </w:r>
      <w:r w:rsidRPr="00BB11AF">
        <w:t>bles petits chocs qui résultent des efforts adaptatifs, la dégradation générale de toutes les énergies en chaleur constituant l'ultime tampon d'équilibrage du système, une sorte de temporisation fatale. Le mode opératoire d'un tel système est le chemin qui va d'une crise à l'autre en subordonnant les petites crises aux grandes, un système qui n'a pas, par définition, de destination autonome ou de terminus nécessaire et qui a en conséquence son destin hors de lui.</w:t>
      </w:r>
    </w:p>
    <w:p w:rsidR="003A3061" w:rsidRPr="00BB11AF" w:rsidRDefault="003A3061" w:rsidP="003A3061">
      <w:pPr>
        <w:spacing w:before="120" w:after="120"/>
        <w:jc w:val="both"/>
      </w:pPr>
      <w:r w:rsidRPr="00BB11AF">
        <w:t>Comme Michel Freitag l'a montré, l'économie qui s'est globalisée au sein du système financier a comme éléments de base des puissa</w:t>
      </w:r>
      <w:r w:rsidRPr="00BB11AF">
        <w:t>n</w:t>
      </w:r>
      <w:r w:rsidRPr="00BB11AF">
        <w:t>ces à caractère décisionnel et opérationnel qui tendent explicit</w:t>
      </w:r>
      <w:r w:rsidRPr="00BB11AF">
        <w:t>e</w:t>
      </w:r>
      <w:r w:rsidRPr="00BB11AF">
        <w:t>ment (depuis l'Accord multilatérale sur l'investissement) à faire des États nationaux les agents organisationnels d'un équilibrage adaptatif a po</w:t>
      </w:r>
      <w:r w:rsidRPr="00BB11AF">
        <w:t>s</w:t>
      </w:r>
      <w:r w:rsidRPr="00BB11AF">
        <w:t>teriori. L'aptitude à jouer ce rôle et à le jouer en toute liberté r</w:t>
      </w:r>
      <w:r w:rsidRPr="00BB11AF">
        <w:t>e</w:t>
      </w:r>
      <w:r w:rsidRPr="00BB11AF">
        <w:t>pose sur la dé-légitimation progressive des enjeux normatifs locaux, un processus qui désarme les pratiques institutionnalisées et fait dispara</w:t>
      </w:r>
      <w:r w:rsidRPr="00BB11AF">
        <w:t>î</w:t>
      </w:r>
      <w:r w:rsidRPr="00BB11AF">
        <w:t>tre la po</w:t>
      </w:r>
      <w:r w:rsidRPr="00BB11AF">
        <w:t>s</w:t>
      </w:r>
      <w:r w:rsidRPr="00BB11AF">
        <w:t>sibilité même d'une loyauté à l'égard d'une mission publique intériorisée comme karma personnel par les politiciens. La co</w:t>
      </w:r>
      <w:r w:rsidRPr="00BB11AF">
        <w:t>r</w:t>
      </w:r>
      <w:r w:rsidRPr="00BB11AF">
        <w:t>ruption n'est donc pas sans rapport avec la destitution de l'État et avec son remplacement par une gouverne adaptative capable de fournir au sy</w:t>
      </w:r>
      <w:r w:rsidRPr="00BB11AF">
        <w:t>s</w:t>
      </w:r>
      <w:r w:rsidRPr="00BB11AF">
        <w:t>tème « crisique » des décisions financières d'appoint, au coup par coup. Pour l'essentiel, ce processus abandonne les subjectivités à l'a</w:t>
      </w:r>
      <w:r w:rsidRPr="00BB11AF">
        <w:t>u</w:t>
      </w:r>
      <w:r w:rsidRPr="00BB11AF">
        <w:t>tocatalyse communicationnelle de valeurs disparates, relativement i</w:t>
      </w:r>
      <w:r w:rsidRPr="00BB11AF">
        <w:t>n</w:t>
      </w:r>
      <w:r w:rsidRPr="00BB11AF">
        <w:t>sign</w:t>
      </w:r>
      <w:r w:rsidRPr="00BB11AF">
        <w:t>i</w:t>
      </w:r>
      <w:r w:rsidRPr="00BB11AF">
        <w:t>fiantes, et les différences entre le patriotisme institutionnel, la loyauté mafieuse, le devoir professionnel ou la fidélité religieuse, par exemple, s'atténuent à mesure que tout est mis à plat dans un mor</w:t>
      </w:r>
      <w:r w:rsidRPr="00BB11AF">
        <w:t>a</w:t>
      </w:r>
      <w:r w:rsidRPr="00BB11AF">
        <w:t>lisme individuel coupé de toute relation avec le « système ».</w:t>
      </w:r>
    </w:p>
    <w:p w:rsidR="003A3061" w:rsidRPr="00BB11AF" w:rsidRDefault="003A3061" w:rsidP="003A3061">
      <w:pPr>
        <w:spacing w:before="120" w:after="120"/>
        <w:jc w:val="both"/>
      </w:pPr>
      <w:r w:rsidRPr="00BB11AF">
        <w:t>[170]</w:t>
      </w:r>
    </w:p>
    <w:p w:rsidR="003A3061" w:rsidRPr="00BB11AF" w:rsidRDefault="003A3061" w:rsidP="003A3061">
      <w:pPr>
        <w:spacing w:before="120" w:after="120"/>
        <w:jc w:val="both"/>
      </w:pPr>
      <w:r w:rsidRPr="00BB11AF">
        <w:t>Dans le système de l'état de fait achevé, les états d'âme seront en libre-service.</w:t>
      </w:r>
    </w:p>
    <w:p w:rsidR="003A3061" w:rsidRPr="00BB11AF" w:rsidRDefault="003A3061" w:rsidP="003A3061">
      <w:pPr>
        <w:spacing w:before="120" w:after="120"/>
        <w:jc w:val="both"/>
      </w:pPr>
    </w:p>
    <w:p w:rsidR="003A3061" w:rsidRPr="00BB11AF" w:rsidRDefault="003A3061" w:rsidP="003A3061">
      <w:pPr>
        <w:pStyle w:val="planche"/>
      </w:pPr>
      <w:r w:rsidRPr="00BB11AF">
        <w:t>Référence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 xml:space="preserve">Klein, N. 2007. </w:t>
      </w:r>
      <w:r w:rsidRPr="00BB11AF">
        <w:rPr>
          <w:i/>
        </w:rPr>
        <w:t>The Shock Doctrine. The Rise of Disaster Capit</w:t>
      </w:r>
      <w:r w:rsidRPr="00BB11AF">
        <w:rPr>
          <w:i/>
        </w:rPr>
        <w:t>a</w:t>
      </w:r>
      <w:r w:rsidRPr="00BB11AF">
        <w:rPr>
          <w:i/>
        </w:rPr>
        <w:t>lism</w:t>
      </w:r>
      <w:r w:rsidRPr="00BB11AF">
        <w:t>. New York : Alfred A. Knopf.</w:t>
      </w:r>
    </w:p>
    <w:p w:rsidR="003A3061" w:rsidRPr="00BB11AF" w:rsidRDefault="003A3061" w:rsidP="003A3061">
      <w:pPr>
        <w:spacing w:before="120" w:after="120"/>
        <w:jc w:val="both"/>
      </w:pPr>
    </w:p>
    <w:p w:rsidR="003A3061" w:rsidRPr="00BB11AF" w:rsidRDefault="003A3061" w:rsidP="003A3061">
      <w:pPr>
        <w:pStyle w:val="p"/>
      </w:pPr>
      <w:r w:rsidRPr="00BB11AF">
        <w:br w:type="page"/>
        <w:t>[171]</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hanging="20"/>
        <w:jc w:val="center"/>
        <w:rPr>
          <w:b/>
          <w:sz w:val="24"/>
        </w:rPr>
      </w:pPr>
      <w:bookmarkStart w:id="14" w:name="Crise_et_mise_en_crise_texte_11"/>
      <w:r w:rsidRPr="00BB11AF">
        <w:rPr>
          <w:b/>
          <w:i/>
          <w:color w:val="FF0000"/>
          <w:sz w:val="24"/>
        </w:rPr>
        <w:t>Crise</w:t>
      </w:r>
      <w:r w:rsidRPr="00BB11AF">
        <w:rPr>
          <w:b/>
          <w:sz w:val="24"/>
        </w:rPr>
        <w:t xml:space="preserve"> et mise en </w:t>
      </w:r>
      <w:r w:rsidRPr="00BB11AF">
        <w:rPr>
          <w:b/>
          <w:i/>
          <w:color w:val="FF0000"/>
          <w:sz w:val="24"/>
        </w:rPr>
        <w:t>crise</w:t>
      </w:r>
      <w:r w:rsidRPr="00BB11AF">
        <w:rPr>
          <w:b/>
          <w:sz w:val="24"/>
        </w:rPr>
        <w:t>.</w:t>
      </w:r>
    </w:p>
    <w:p w:rsidR="003A3061" w:rsidRPr="00BB11AF" w:rsidRDefault="003A3061" w:rsidP="003A3061">
      <w:pPr>
        <w:spacing w:after="120"/>
        <w:jc w:val="center"/>
        <w:rPr>
          <w:sz w:val="24"/>
        </w:rPr>
      </w:pPr>
      <w:r w:rsidRPr="00BB11AF">
        <w:rPr>
          <w:sz w:val="24"/>
        </w:rPr>
        <w:t>Actes du colloque annuel de l’ACSALF 2012.</w:t>
      </w:r>
    </w:p>
    <w:p w:rsidR="003A3061" w:rsidRPr="00BB11AF" w:rsidRDefault="003A3061" w:rsidP="003A3061">
      <w:pPr>
        <w:pStyle w:val="Titreniveau1"/>
      </w:pPr>
      <w:r w:rsidRPr="00BB11AF">
        <w:t>11</w:t>
      </w:r>
    </w:p>
    <w:p w:rsidR="003A3061" w:rsidRPr="00BB11AF" w:rsidRDefault="003A3061" w:rsidP="003A3061">
      <w:pPr>
        <w:pStyle w:val="Titreniveau2"/>
      </w:pPr>
      <w:r w:rsidRPr="00BB11AF">
        <w:t>“Rompre avec le futur.”</w:t>
      </w:r>
    </w:p>
    <w:bookmarkEnd w:id="14"/>
    <w:p w:rsidR="003A3061" w:rsidRPr="00BB11AF" w:rsidRDefault="003A3061" w:rsidP="003A3061">
      <w:pPr>
        <w:jc w:val="both"/>
        <w:rPr>
          <w:szCs w:val="36"/>
        </w:rPr>
      </w:pPr>
    </w:p>
    <w:p w:rsidR="003A3061" w:rsidRPr="00BB11AF" w:rsidRDefault="003A3061" w:rsidP="003A3061">
      <w:pPr>
        <w:pStyle w:val="suite"/>
      </w:pPr>
      <w:r w:rsidRPr="00BB11AF">
        <w:t>Par André TREMBLAY</w:t>
      </w:r>
    </w:p>
    <w:p w:rsidR="003A3061" w:rsidRPr="00BB11AF" w:rsidRDefault="003A3061" w:rsidP="003A3061">
      <w:pPr>
        <w:pStyle w:val="auteurst"/>
      </w:pPr>
      <w:r w:rsidRPr="00BB11AF">
        <w:t>Université d’Ottawa</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right="90" w:firstLine="0"/>
        <w:jc w:val="both"/>
        <w:rPr>
          <w:sz w:val="20"/>
        </w:rPr>
      </w:pPr>
      <w:hyperlink w:anchor="tdm" w:history="1">
        <w:r w:rsidRPr="00BB11AF">
          <w:rPr>
            <w:rStyle w:val="Lienhypertexte"/>
            <w:sz w:val="20"/>
          </w:rPr>
          <w:t>Retour à la table des matières</w:t>
        </w:r>
      </w:hyperlink>
    </w:p>
    <w:p w:rsidR="003A3061" w:rsidRPr="00BB11AF" w:rsidRDefault="00356B29" w:rsidP="003A3061">
      <w:pPr>
        <w:spacing w:before="120" w:after="120"/>
        <w:jc w:val="both"/>
      </w:pPr>
      <w:r w:rsidRPr="00BB11AF">
        <w:rPr>
          <w:noProof/>
          <w:lang w:val="fr-FR" w:eastAsia="fr-FR"/>
        </w:rPr>
        <w:drawing>
          <wp:anchor distT="0" distB="0" distL="63500" distR="182880" simplePos="0" relativeHeight="251661824" behindDoc="1" locked="0" layoutInCell="1" allowOverlap="0">
            <wp:simplePos x="0" y="0"/>
            <wp:positionH relativeFrom="margin">
              <wp:posOffset>51435</wp:posOffset>
            </wp:positionH>
            <wp:positionV relativeFrom="margin">
              <wp:posOffset>3545840</wp:posOffset>
            </wp:positionV>
            <wp:extent cx="1130300" cy="787400"/>
            <wp:effectExtent l="25400" t="25400" r="12700" b="12700"/>
            <wp:wrapTight wrapText="bothSides">
              <wp:wrapPolygon edited="0">
                <wp:start x="-485" y="-697"/>
                <wp:lineTo x="-485" y="21948"/>
                <wp:lineTo x="21843" y="21948"/>
                <wp:lineTo x="21843" y="-697"/>
                <wp:lineTo x="-485" y="-697"/>
              </wp:wrapPolygon>
            </wp:wrapTight>
            <wp:docPr id="18" name="Image 18"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image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0300" cy="7874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3A3061" w:rsidRPr="00BB11AF">
        <w:t>Notre travail prend appui sur l'analyse d'un mouvement social, le « Printemps érable », qui malgré ses spécificités empiriques s'inscrit dans un mouvement plus général enclenché par la crise économique de 2008. Ces manifestations nous donnent à réfl</w:t>
      </w:r>
      <w:r w:rsidR="003A3061" w:rsidRPr="00BB11AF">
        <w:t>é</w:t>
      </w:r>
      <w:r w:rsidR="003A3061" w:rsidRPr="00BB11AF">
        <w:t>chir sur le rapport aux institutions, aux valeurs et aux rapports entre l'avant et l'après, entre le passé, le présent et le futur. La crise en tant que rupture dans le prévisible, entre le passé et le futur a été développé par Arendt (1972) notamment. Cette dernière met en lumière le fait que les n</w:t>
      </w:r>
      <w:r w:rsidR="003A3061" w:rsidRPr="00BB11AF">
        <w:t>o</w:t>
      </w:r>
      <w:r w:rsidR="003A3061" w:rsidRPr="00BB11AF">
        <w:t>tions mêmes de passé et de futur ou celle d'histoire ont été profondément modifiées par la mode</w:t>
      </w:r>
      <w:r w:rsidR="003A3061" w:rsidRPr="00BB11AF">
        <w:t>r</w:t>
      </w:r>
      <w:r w:rsidR="003A3061" w:rsidRPr="00BB11AF">
        <w:t>nité. Le doute cartésien nous a fait passer des vérités éternelles à une science en d</w:t>
      </w:r>
      <w:r w:rsidR="003A3061" w:rsidRPr="00BB11AF">
        <w:t>e</w:t>
      </w:r>
      <w:r w:rsidR="003A3061" w:rsidRPr="00BB11AF">
        <w:t>venir</w:t>
      </w:r>
      <w:r w:rsidR="003A3061">
        <w:t> </w:t>
      </w:r>
      <w:r w:rsidR="003A3061">
        <w:rPr>
          <w:rStyle w:val="Appelnotedebasdep"/>
        </w:rPr>
        <w:footnoteReference w:id="93"/>
      </w:r>
      <w:r w:rsidR="003A3061" w:rsidRPr="00BB11AF">
        <w:t>. Tout en considérant un passé plus récent, nous tenterons de situer les événements de 2012 à l'échelle des temps sociaux. Nous d</w:t>
      </w:r>
      <w:r w:rsidR="003A3061" w:rsidRPr="00BB11AF">
        <w:t>é</w:t>
      </w:r>
      <w:r w:rsidR="003A3061" w:rsidRPr="00BB11AF">
        <w:t>crirons d'abord quelques él</w:t>
      </w:r>
      <w:r w:rsidR="003A3061" w:rsidRPr="00BB11AF">
        <w:t>é</w:t>
      </w:r>
      <w:r w:rsidR="003A3061" w:rsidRPr="00BB11AF">
        <w:t>ments enjeu pendant ce conflit qui sont particulièrement pertinents pour comprendre comment les év</w:t>
      </w:r>
      <w:r w:rsidR="003A3061" w:rsidRPr="00BB11AF">
        <w:t>é</w:t>
      </w:r>
      <w:r w:rsidR="003A3061" w:rsidRPr="00BB11AF">
        <w:t>nements qui l'ont porté interrogent la temporalité sociale. Nous l'inscrirons e</w:t>
      </w:r>
      <w:r w:rsidR="003A3061" w:rsidRPr="00BB11AF">
        <w:t>n</w:t>
      </w:r>
      <w:r w:rsidR="003A3061" w:rsidRPr="00BB11AF">
        <w:t>suite dans la durée, en fait dans l'évolution sociale des cinquante de</w:t>
      </w:r>
      <w:r w:rsidR="003A3061" w:rsidRPr="00BB11AF">
        <w:t>r</w:t>
      </w:r>
      <w:r w:rsidR="003A3061" w:rsidRPr="00BB11AF">
        <w:t>nières années. Sans nous e</w:t>
      </w:r>
      <w:r w:rsidR="003A3061" w:rsidRPr="00BB11AF">
        <w:t>n</w:t>
      </w:r>
      <w:r w:rsidR="003A3061" w:rsidRPr="00BB11AF">
        <w:t>gager dans une comparaison systématique avec les mouvements de contestation que l'on a vus a</w:t>
      </w:r>
      <w:r w:rsidR="003A3061" w:rsidRPr="00BB11AF">
        <w:t>p</w:t>
      </w:r>
      <w:r w:rsidR="003A3061" w:rsidRPr="00BB11AF">
        <w:t>paraître ici ou là que nous interdit le format de cet article, nous allons aussi considérer le cas québécois dans un contexte plus large. Nous allons traiter de trois points princ</w:t>
      </w:r>
      <w:r w:rsidR="003A3061" w:rsidRPr="00BB11AF">
        <w:t>i</w:t>
      </w:r>
      <w:r w:rsidR="003A3061" w:rsidRPr="00BB11AF">
        <w:t>paux :</w:t>
      </w:r>
    </w:p>
    <w:p w:rsidR="003A3061" w:rsidRPr="00BB11AF" w:rsidRDefault="003A3061" w:rsidP="003A3061">
      <w:pPr>
        <w:spacing w:before="120" w:after="120"/>
        <w:jc w:val="both"/>
      </w:pPr>
    </w:p>
    <w:p w:rsidR="003A3061" w:rsidRPr="00BB11AF" w:rsidRDefault="003A3061" w:rsidP="003A3061">
      <w:pPr>
        <w:spacing w:before="120" w:after="120"/>
        <w:ind w:left="720" w:hanging="360"/>
        <w:jc w:val="both"/>
      </w:pPr>
      <w:r w:rsidRPr="00BB11AF">
        <w:t>1.</w:t>
      </w:r>
      <w:r w:rsidRPr="00BB11AF">
        <w:tab/>
        <w:t xml:space="preserve">La rupture avec le passé : les années </w:t>
      </w:r>
      <w:r w:rsidRPr="00103AF2">
        <w:rPr>
          <w:bCs/>
        </w:rPr>
        <w:t>1965-1975</w:t>
      </w:r>
      <w:r w:rsidRPr="00BB11AF">
        <w:t xml:space="preserve"> ont été ma</w:t>
      </w:r>
      <w:r w:rsidRPr="00BB11AF">
        <w:t>r</w:t>
      </w:r>
      <w:r w:rsidRPr="00BB11AF">
        <w:t>quées par une série de contestations politiques au Québec, en France et aux États-Unis, notamment, qui revendiquaient une rupture avec les anciens modèles au profit d'une nouvelle prat</w:t>
      </w:r>
      <w:r w:rsidRPr="00BB11AF">
        <w:t>i</w:t>
      </w:r>
      <w:r w:rsidRPr="00BB11AF">
        <w:t>que. Ce n'est pas uniqu</w:t>
      </w:r>
      <w:r w:rsidRPr="00BB11AF">
        <w:t>e</w:t>
      </w:r>
      <w:r w:rsidRPr="00BB11AF">
        <w:t>ment dans le monde politique que les changements apparaissent, nous verrons rapidement comment la transformation de la structure d'e</w:t>
      </w:r>
      <w:r w:rsidRPr="00BB11AF">
        <w:t>m</w:t>
      </w:r>
      <w:r w:rsidRPr="00BB11AF">
        <w:t xml:space="preserve">ploi et des rapports de sexe au cours des années </w:t>
      </w:r>
      <w:r w:rsidRPr="00BB11AF">
        <w:rPr>
          <w:rStyle w:val="Corpsdutexte2TimesNewRoman85ptGras"/>
          <w:rFonts w:eastAsia="Arial"/>
          <w:b w:val="0"/>
          <w:lang w:val="fr-CA"/>
        </w:rPr>
        <w:t>1970,</w:t>
      </w:r>
      <w:r w:rsidRPr="00BB11AF">
        <w:t xml:space="preserve"> ont remis en question leurs trad</w:t>
      </w:r>
      <w:r w:rsidRPr="00BB11AF">
        <w:t>i</w:t>
      </w:r>
      <w:r w:rsidRPr="00BB11AF">
        <w:t>tions. Un mouvement qui dépasse le Québec et l'englobe. Rem</w:t>
      </w:r>
      <w:r w:rsidRPr="00BB11AF">
        <w:t>i</w:t>
      </w:r>
      <w:r w:rsidRPr="00BB11AF">
        <w:t>se en question qui aura des conséquences sur l'image de soi et l'intégration sociale tant des hommes que des femmes. Nous en f</w:t>
      </w:r>
      <w:r w:rsidRPr="00BB11AF">
        <w:t>e</w:t>
      </w:r>
      <w:r w:rsidRPr="00BB11AF">
        <w:t>rons la démonstration en</w:t>
      </w:r>
      <w:r>
        <w:t xml:space="preserve"> </w:t>
      </w:r>
      <w:r w:rsidRPr="00BB11AF">
        <w:t>[172]</w:t>
      </w:r>
      <w:r>
        <w:t xml:space="preserve"> </w:t>
      </w:r>
      <w:r w:rsidRPr="00BB11AF">
        <w:t>analysant l'évolution des taux de suicide des jeunes hommes au cours des cinquante dernières années en relation avec la transformation de la structure d'e</w:t>
      </w:r>
      <w:r w:rsidRPr="00BB11AF">
        <w:t>m</w:t>
      </w:r>
      <w:r w:rsidRPr="00BB11AF">
        <w:t>ploi et celle de la famille.</w:t>
      </w:r>
    </w:p>
    <w:p w:rsidR="003A3061" w:rsidRPr="00BB11AF" w:rsidRDefault="003A3061" w:rsidP="003A3061">
      <w:pPr>
        <w:spacing w:before="120" w:after="120"/>
        <w:ind w:left="720" w:hanging="360"/>
        <w:jc w:val="both"/>
      </w:pPr>
      <w:r w:rsidRPr="00BB11AF">
        <w:t>2.</w:t>
      </w:r>
      <w:r w:rsidRPr="00BB11AF">
        <w:tab/>
        <w:t>Les promesses du « progressisme » et son legs : les contestata</w:t>
      </w:r>
      <w:r w:rsidRPr="00BB11AF">
        <w:t>i</w:t>
      </w:r>
      <w:r w:rsidRPr="00BB11AF">
        <w:t xml:space="preserve">res des années </w:t>
      </w:r>
      <w:r w:rsidRPr="00103AF2">
        <w:rPr>
          <w:bCs/>
        </w:rPr>
        <w:t xml:space="preserve">1965-1975 </w:t>
      </w:r>
      <w:r w:rsidRPr="00BB11AF">
        <w:t>apportaient avec eux plusieurs pr</w:t>
      </w:r>
      <w:r w:rsidRPr="00BB11AF">
        <w:t>o</w:t>
      </w:r>
      <w:r w:rsidRPr="00BB11AF">
        <w:t>messes que leur montée en pouvoir devait permettre de mettre en œuvre : le socialisme ou, à tout le moins, une égalité plus grande entre les ind</w:t>
      </w:r>
      <w:r w:rsidRPr="00BB11AF">
        <w:t>i</w:t>
      </w:r>
      <w:r w:rsidRPr="00BB11AF">
        <w:t>vidus, l'indépendance politique, dans le cas du Québec, et l'égalité e</w:t>
      </w:r>
      <w:r w:rsidRPr="00BB11AF">
        <w:t>n</w:t>
      </w:r>
      <w:r w:rsidRPr="00BB11AF">
        <w:t>tre les hommes et les femmes. Leurs legs furent assez loin des espoirs soulevés par leurs promesses : nous pourrions citer ici la croi</w:t>
      </w:r>
      <w:r w:rsidRPr="00BB11AF">
        <w:t>s</w:t>
      </w:r>
      <w:r w:rsidRPr="00BB11AF">
        <w:t>sance du néo-libéralisme, la connectique et un bilan mitigé sur le plan du genre. Qui plus est, le mouvement « progressiste » a perdu son monopole du progrès. En fait, ceux qui défendent l'égalité ou l'ind</w:t>
      </w:r>
      <w:r w:rsidRPr="00BB11AF">
        <w:t>é</w:t>
      </w:r>
      <w:r w:rsidRPr="00BB11AF">
        <w:t>pendance polit</w:t>
      </w:r>
      <w:r w:rsidRPr="00BB11AF">
        <w:t>i</w:t>
      </w:r>
      <w:r w:rsidRPr="00BB11AF">
        <w:t>que sont souvent décriés comme passéistes, voire arriérés. Nous discuterons comment innovation, créativité et chang</w:t>
      </w:r>
      <w:r w:rsidRPr="00BB11AF">
        <w:t>e</w:t>
      </w:r>
      <w:r w:rsidRPr="00BB11AF">
        <w:t>ment, trois thèmes récurrents de la pensée néo-libérale perme</w:t>
      </w:r>
      <w:r w:rsidRPr="00BB11AF">
        <w:t>t</w:t>
      </w:r>
      <w:r w:rsidRPr="00BB11AF">
        <w:t>tent une réelle colonisation du futur.</w:t>
      </w:r>
    </w:p>
    <w:p w:rsidR="003A3061" w:rsidRPr="00BB11AF" w:rsidRDefault="003A3061" w:rsidP="003A3061">
      <w:pPr>
        <w:spacing w:before="120" w:after="120"/>
        <w:ind w:left="720" w:hanging="360"/>
        <w:jc w:val="both"/>
      </w:pPr>
      <w:r w:rsidRPr="00BB11AF">
        <w:t>3.</w:t>
      </w:r>
      <w:r w:rsidRPr="00BB11AF">
        <w:tab/>
        <w:t>Que faire quand on naît au monde politique dans ce contexte ? C'est en fait la question à laquelle avait réellement à répondre le mo</w:t>
      </w:r>
      <w:r w:rsidRPr="00BB11AF">
        <w:t>u</w:t>
      </w:r>
      <w:r w:rsidRPr="00BB11AF">
        <w:t>vement étudiant québécois. Nous y revenons de manière spécifique dans cette dernière section. Pris entre les promesses non réalisées d'un passé récent et un futur inquiétant, le mo</w:t>
      </w:r>
      <w:r w:rsidRPr="00BB11AF">
        <w:t>u</w:t>
      </w:r>
      <w:r w:rsidRPr="00BB11AF">
        <w:t>vement étudiant devait r</w:t>
      </w:r>
      <w:r w:rsidRPr="00BB11AF">
        <w:t>e</w:t>
      </w:r>
      <w:r w:rsidRPr="00BB11AF">
        <w:t>nouer avec un passé déficient et faire face à un futur et des espoirs dont on craint la réalisation. Peut-on voir leur mouvement comme une tentative de rompre avec le futur pour défendre le progrès ?</w:t>
      </w:r>
    </w:p>
    <w:p w:rsidR="003A3061" w:rsidRPr="00BB11AF" w:rsidRDefault="003A3061" w:rsidP="003A3061">
      <w:pPr>
        <w:spacing w:before="120" w:after="120"/>
        <w:jc w:val="both"/>
      </w:pPr>
      <w:r>
        <w:br w:type="page"/>
      </w:r>
    </w:p>
    <w:p w:rsidR="003A3061" w:rsidRPr="00BB11AF" w:rsidRDefault="003A3061" w:rsidP="003A3061">
      <w:pPr>
        <w:pStyle w:val="planche"/>
      </w:pPr>
      <w:r w:rsidRPr="00BB11AF">
        <w:t>Le mouvement étudiant québécois :</w:t>
      </w:r>
      <w:r>
        <w:br/>
      </w:r>
      <w:r w:rsidRPr="00BB11AF">
        <w:t>les carrés rouges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Entre février et septembre 2012, le Québec a vécu sa plus longue et sa plus importante grève étudiante. Engagée autour d'une augment</w:t>
      </w:r>
      <w:r w:rsidRPr="00BB11AF">
        <w:t>a</w:t>
      </w:r>
      <w:r w:rsidRPr="00BB11AF">
        <w:t>tion des frais de scolarité, elle est devenue un réel mouvement social qui a précipité la tenue d'élections générales au Québec au début de l'a</w:t>
      </w:r>
      <w:r w:rsidRPr="00BB11AF">
        <w:t>u</w:t>
      </w:r>
      <w:r w:rsidRPr="00BB11AF">
        <w:t>tomne 2012. À son apex, plus de 170 000 étudiants ont refusé de su</w:t>
      </w:r>
      <w:r w:rsidRPr="00BB11AF">
        <w:t>i</w:t>
      </w:r>
      <w:r w:rsidRPr="00BB11AF">
        <w:t>vre leurs cours. En quelques mois, trois manifestations de plus de 200 000 personnes ont eu lieu et des « manifestations de nuit » quot</w:t>
      </w:r>
      <w:r w:rsidRPr="00BB11AF">
        <w:t>i</w:t>
      </w:r>
      <w:r w:rsidRPr="00BB11AF">
        <w:t>diennes pendant plus de 120 jours consécutifs. Pour les étudiants, l'a</w:t>
      </w:r>
      <w:r w:rsidRPr="00BB11AF">
        <w:t>c</w:t>
      </w:r>
      <w:r w:rsidRPr="00BB11AF">
        <w:t>cès aux études supérieures et l'endettement étudiant étaient au cœur de la contestation. La position du gouvernement libéral québécois et de ses alliés pendant la grève s'articulait autour de trois points princ</w:t>
      </w:r>
      <w:r w:rsidRPr="00BB11AF">
        <w:t>i</w:t>
      </w:r>
      <w:r w:rsidRPr="00BB11AF">
        <w:t>paux : « payer sa juste part » d'un service gouvernemental demandant un débours conséquent à sa nature et à son rendement pour l'individu ; le respect du droit individuel à poursuivre ses études, lui-même fondé sur la prédominance des droits individuels sur les droits collectifs, ce qui conduisit à toute une série d'injonctions judiciaires pour bloquer la grève et à tenter d'imposer la notion de « boycott » à la place de celle de « grève » ; et, finalement, le dernier reproche adressé aux étudiants et le plus insidieux, celui de ne pas être responsables face à leur pr</w:t>
      </w:r>
      <w:r w:rsidRPr="00BB11AF">
        <w:t>o</w:t>
      </w:r>
      <w:r w:rsidRPr="00BB11AF">
        <w:t>pre futur, le gouvernement dénigrant les grévistes en insistant sur le fait que ceux qui s'opposaient à la grève s'assuraient un avenir mei</w:t>
      </w:r>
      <w:r w:rsidRPr="00BB11AF">
        <w:t>l</w:t>
      </w:r>
      <w:r w:rsidRPr="00BB11AF">
        <w:t>leur. Nous ne</w:t>
      </w:r>
      <w:r>
        <w:t xml:space="preserve"> </w:t>
      </w:r>
      <w:r w:rsidRPr="00BB11AF">
        <w:t>[173]</w:t>
      </w:r>
      <w:r>
        <w:t xml:space="preserve"> </w:t>
      </w:r>
      <w:r w:rsidRPr="00BB11AF">
        <w:t>reprendrons pas en détail ces trois reproches. Formulés essentie</w:t>
      </w:r>
      <w:r w:rsidRPr="00BB11AF">
        <w:t>l</w:t>
      </w:r>
      <w:r w:rsidRPr="00BB11AF">
        <w:t>lement dans une logique de confrontation visant à dévaloriser les contestataires, rien ne nous indique qu'ils avaient un fondement empirique. Nous remarquerons tout de même que cet a</w:t>
      </w:r>
      <w:r w:rsidRPr="00BB11AF">
        <w:t>r</w:t>
      </w:r>
      <w:r w:rsidRPr="00BB11AF">
        <w:t>gumentaire était organisé autour des notions « d'individu », « d'investissements » et de « futur ». Ce dernier point étant particuli</w:t>
      </w:r>
      <w:r w:rsidRPr="00BB11AF">
        <w:t>è</w:t>
      </w:r>
      <w:r w:rsidRPr="00BB11AF">
        <w:t>rement significatif pour n</w:t>
      </w:r>
      <w:r w:rsidRPr="00BB11AF">
        <w:t>o</w:t>
      </w:r>
      <w:r w:rsidRPr="00BB11AF">
        <w:t>tre propos.</w:t>
      </w:r>
    </w:p>
    <w:p w:rsidR="003A3061" w:rsidRPr="00BB11AF" w:rsidRDefault="003A3061" w:rsidP="003A3061">
      <w:pPr>
        <w:spacing w:before="120" w:after="120"/>
        <w:jc w:val="both"/>
      </w:pPr>
      <w:r w:rsidRPr="00BB11AF">
        <w:t>Nous passons à d'autres remontrances provenant de personnes plus à gauche sur l'échiquier politique. Des gens non seulement en faveur de la gratuité scolaire, mais qui auraient voulu que le mouvement ét</w:t>
      </w:r>
      <w:r w:rsidRPr="00BB11AF">
        <w:t>u</w:t>
      </w:r>
      <w:r w:rsidRPr="00BB11AF">
        <w:t>diant québécois se structure bien davantage. Certains commentateurs ont en effet critiqué les mouvements d'émancipation et plus particuli</w:t>
      </w:r>
      <w:r w:rsidRPr="00BB11AF">
        <w:t>è</w:t>
      </w:r>
      <w:r w:rsidRPr="00BB11AF">
        <w:t>rement le mouvement étudiant québécois pour son manque de vision à long terme : « ils n'iraient pas assez loin », « ils seraient incapables de monter en généralité », « ils ne feraient que critiquer sans proposer un projet alternatif ». Joseph-Yvon Thériault, professeur de sociologie à l'Université du Québec à Montréal (UQAM)-un des foyers de la co</w:t>
      </w:r>
      <w:r w:rsidRPr="00BB11AF">
        <w:t>n</w:t>
      </w:r>
      <w:r w:rsidRPr="00BB11AF">
        <w:t>testation, en conférence au Centre interdisciplinaire de recherche sur la citoyenneté et les minorités (CIRCEM) à Ottawa, interrogeait l'e</w:t>
      </w:r>
      <w:r w:rsidRPr="00BB11AF">
        <w:t>n</w:t>
      </w:r>
      <w:r w:rsidRPr="00BB11AF">
        <w:t>racinement des Carrés rouges dans les institutions, leur reprochant d'être et en cela à l'image de la gauche entière, plus préoccupés de r</w:t>
      </w:r>
      <w:r w:rsidRPr="00BB11AF">
        <w:t>e</w:t>
      </w:r>
      <w:r w:rsidRPr="00BB11AF">
        <w:t>jeter ceci ou cela que de développer un projet qui permettrait de fixer des objectifs pour une génération. L'horizontalité quasi pathologique des nouveaux mouvements de gauche leur interdisant de développer la verticalité leur permettant de faire aboutir leur vision du monde. Il reprit ces thèmes lors de la table ronde organisée dans le cadre de ce colloque. Chose certaine, l'exemple de l'Égypte ou même de la Tun</w:t>
      </w:r>
      <w:r w:rsidRPr="00BB11AF">
        <w:t>i</w:t>
      </w:r>
      <w:r w:rsidRPr="00BB11AF">
        <w:t>sie ont montré comment ces mouvements horizontaux permettant une mobilisation intense de manière quasi instantanée ne résistent pas d</w:t>
      </w:r>
      <w:r w:rsidRPr="00BB11AF">
        <w:t>e</w:t>
      </w:r>
      <w:r w:rsidRPr="00BB11AF">
        <w:t>vant des organisations plus centralisées, plus verticales, telles les Fr</w:t>
      </w:r>
      <w:r w:rsidRPr="00BB11AF">
        <w:t>è</w:t>
      </w:r>
      <w:r w:rsidRPr="00BB11AF">
        <w:t>res musulmans ou Enhada, quand vient le temps de l'action à long terme.</w:t>
      </w:r>
    </w:p>
    <w:p w:rsidR="003A3061" w:rsidRPr="00BB11AF" w:rsidRDefault="003A3061" w:rsidP="003A3061">
      <w:pPr>
        <w:spacing w:before="120" w:after="120"/>
        <w:jc w:val="both"/>
      </w:pPr>
      <w:r w:rsidRPr="00BB11AF">
        <w:t>On se trouve devant deux constats opposés, celui d'individus d</w:t>
      </w:r>
      <w:r w:rsidRPr="00BB11AF">
        <w:t>é</w:t>
      </w:r>
      <w:r w:rsidRPr="00BB11AF">
        <w:t>responsabilisés et fixés dans l'immédiat de la part du gouvernement et celui du manque d'organisation et de projet. On aura bien sûr rema</w:t>
      </w:r>
      <w:r w:rsidRPr="00BB11AF">
        <w:t>r</w:t>
      </w:r>
      <w:r w:rsidRPr="00BB11AF">
        <w:t>qué que les deux critiques ont en commun d'interroger le rapport au temps des étudiants et plus particulièrement leur rapport au futur que l'on comprend au plan individuel dans le premier cas et au plan colle</w:t>
      </w:r>
      <w:r w:rsidRPr="00BB11AF">
        <w:t>c</w:t>
      </w:r>
      <w:r w:rsidRPr="00BB11AF">
        <w:t>tif dans le second. Nous devons, par ailleurs, nous interroger sur cette absence supposée d'un projet de société et de la nécessité d'en avoir un. « Supposée », car le mouvement des Carrés rouges regroupait une grande variété de sous-groupes qu'on pourrait classer dans leur rapport au futur. Ce travail empirique mériterait d'être fait, mais nous ne nous y attelons pas maintenant. La possibilité d'un tel « projet de société » peut, elle, être examinée dès maintenant. La poser est en soi très rév</w:t>
      </w:r>
      <w:r w:rsidRPr="00BB11AF">
        <w:t>é</w:t>
      </w:r>
      <w:r w:rsidRPr="00BB11AF">
        <w:t>lateur. Cela nous amène à regarder vers le passé pour mieux compre</w:t>
      </w:r>
      <w:r w:rsidRPr="00BB11AF">
        <w:t>n</w:t>
      </w:r>
      <w:r w:rsidRPr="00BB11AF">
        <w:t>dre le présent et nous projeter vers le futur.</w:t>
      </w:r>
    </w:p>
    <w:p w:rsidR="003A3061" w:rsidRPr="00BB11AF" w:rsidRDefault="003A3061" w:rsidP="003A3061">
      <w:pPr>
        <w:spacing w:before="120" w:after="120"/>
        <w:jc w:val="both"/>
      </w:pPr>
      <w:r w:rsidRPr="00BB11AF">
        <w:br w:type="page"/>
        <w:t>[174]</w:t>
      </w:r>
    </w:p>
    <w:p w:rsidR="003A3061" w:rsidRPr="00BB11AF" w:rsidRDefault="003A3061" w:rsidP="003A3061">
      <w:pPr>
        <w:spacing w:before="120" w:after="120"/>
        <w:jc w:val="both"/>
      </w:pPr>
    </w:p>
    <w:p w:rsidR="003A3061" w:rsidRPr="00BB11AF" w:rsidRDefault="003A3061" w:rsidP="003A3061">
      <w:pPr>
        <w:pStyle w:val="planche"/>
      </w:pPr>
      <w:r w:rsidRPr="00BB11AF">
        <w:t>La rupture avec le passé</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Quelle rupture ? Quel passé ? On peut retracer plusieurs ruptures à compter de 1965-1975. Au plan politique, c'est à ce moment que dans plusieurs pays montent des mouvements contestataires dirigés par des leaders étudiants ou à tout le moins jeunes. On veut rompre avec les vieilles élites. En 1965, au plan économique, nous sommes au milieu de ce qu'on appelle les Trente Glorieuses. Au cours de cette période, nous avons abandonné le système qui permettait de gérer l'économie mondiale depuis 1944, connu comme les Accords de Bretton-Woods. Le premier choc pétrolier a débuté en 1971 ébranlant tout le système productif fondé sur une énergie à rabais. L'économie industrielle a commencé sa conversion vers l'économie de la connaissance. Sur le plan des moeurs et de la famille, le mouvement des femmes, relativ</w:t>
      </w:r>
      <w:r w:rsidRPr="00BB11AF">
        <w:t>e</w:t>
      </w:r>
      <w:r w:rsidRPr="00BB11AF">
        <w:t>ment silencieux depuis ses victoires du début du XX</w:t>
      </w:r>
      <w:r w:rsidRPr="00BB11AF">
        <w:rPr>
          <w:vertAlign w:val="superscript"/>
        </w:rPr>
        <w:t>e</w:t>
      </w:r>
      <w:r w:rsidRPr="00BB11AF">
        <w:t xml:space="preserve"> siècle, s'est r</w:t>
      </w:r>
      <w:r w:rsidRPr="00BB11AF">
        <w:t>e</w:t>
      </w:r>
      <w:r w:rsidRPr="00BB11AF">
        <w:t>mis en marche et s'est organisé. Voyons dans l'ordre les aspects polit</w:t>
      </w:r>
      <w:r w:rsidRPr="00BB11AF">
        <w:t>i</w:t>
      </w:r>
      <w:r w:rsidRPr="00BB11AF">
        <w:t>ques, socio-économiques et de rapports de genre pertinents pour co</w:t>
      </w:r>
      <w:r w:rsidRPr="00BB11AF">
        <w:t>m</w:t>
      </w:r>
      <w:r w:rsidRPr="00BB11AF">
        <w:t>prendre cette rupture.</w:t>
      </w:r>
    </w:p>
    <w:p w:rsidR="003A3061" w:rsidRPr="00BB11AF" w:rsidRDefault="003A3061" w:rsidP="003A3061">
      <w:pPr>
        <w:spacing w:before="120" w:after="120"/>
        <w:jc w:val="both"/>
      </w:pPr>
    </w:p>
    <w:p w:rsidR="003A3061" w:rsidRPr="00BB11AF" w:rsidRDefault="003A3061" w:rsidP="003A3061">
      <w:pPr>
        <w:pStyle w:val="planche"/>
      </w:pPr>
      <w:r w:rsidRPr="00BB11AF">
        <w:t>La contestation politique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Regardons l'aspect politique d'abord. Ici, plusieurs dates s'offrent à nous. Choisissons 1968 avec la situation française en tête. Pourquoi 1968 et pas d'autres moments de contestation ou des crises économ</w:t>
      </w:r>
      <w:r w:rsidRPr="00BB11AF">
        <w:t>i</w:t>
      </w:r>
      <w:r w:rsidRPr="00BB11AF">
        <w:t>ques ? Après tout, Koselleck et Richter (2006) ont bien montré que la notion de crise a été utilisée pour la première fois dans les sciences historiques à partir des révolutions anglaises et françaises. Rompant ainsi dans chaque culture avec le sens que le mot crise avait en méd</w:t>
      </w:r>
      <w:r w:rsidRPr="00BB11AF">
        <w:t>e</w:t>
      </w:r>
      <w:r w:rsidRPr="00BB11AF">
        <w:t>cine, soit un événement de courte durée dont la résolution était la mort ou le retour à l'état antérieur tout en gardant les sens de « moment d</w:t>
      </w:r>
      <w:r w:rsidRPr="00BB11AF">
        <w:t>é</w:t>
      </w:r>
      <w:r w:rsidRPr="00BB11AF">
        <w:t>cisif » et de « rupture temporelle ».</w:t>
      </w:r>
    </w:p>
    <w:p w:rsidR="003A3061" w:rsidRPr="00BB11AF" w:rsidRDefault="003A3061" w:rsidP="003A3061">
      <w:pPr>
        <w:spacing w:before="120" w:after="120"/>
        <w:jc w:val="both"/>
      </w:pPr>
      <w:r w:rsidRPr="00BB11AF">
        <w:t>La rupture politique engagée en 1968 tire ses racines bien avant. Arendt voit la rupture dans l'histoire occidentale dans la montée du totalitarisme. Elle « [...] naquit d'un chaos de problèmes de masse sur la scène politique et d'opinions de masse dans le domaine spirituel que les mouvements totalitaires, au moyen de la terreur et de l'idéologie, cristallisèrent en une nouvelle forme de gouvernement et de domin</w:t>
      </w:r>
      <w:r w:rsidRPr="00BB11AF">
        <w:t>a</w:t>
      </w:r>
      <w:r w:rsidRPr="00BB11AF">
        <w:t>tion » (Arendt 1972 :39). Après l'effarement causé par le totalit</w:t>
      </w:r>
      <w:r w:rsidRPr="00BB11AF">
        <w:t>a</w:t>
      </w:r>
      <w:r w:rsidRPr="00BB11AF">
        <w:t>risme</w:t>
      </w:r>
      <w:r>
        <w:t xml:space="preserve"> </w:t>
      </w:r>
      <w:r w:rsidRPr="00BB11AF">
        <w:t>-</w:t>
      </w:r>
      <w:r>
        <w:t xml:space="preserve"> </w:t>
      </w:r>
      <w:r w:rsidRPr="00BB11AF">
        <w:t>qui se continua en Europe de l'Est</w:t>
      </w:r>
      <w:r>
        <w:t xml:space="preserve"> </w:t>
      </w:r>
      <w:r w:rsidRPr="00BB11AF">
        <w:t>-</w:t>
      </w:r>
      <w:r>
        <w:t xml:space="preserve"> </w:t>
      </w:r>
      <w:r w:rsidRPr="00BB11AF">
        <w:t>et l'horreur de la guerre, les E</w:t>
      </w:r>
      <w:r w:rsidRPr="00BB11AF">
        <w:t>u</w:t>
      </w:r>
      <w:r w:rsidRPr="00BB11AF">
        <w:t>ropéens tentèrent de reprendre leur tradition en même temps que leur reconstruction matérielle. Une tradition qui avait perdu certains de ses ressorts, dont le nationalisme, emporté par la chute du totalit</w:t>
      </w:r>
      <w:r w:rsidRPr="00BB11AF">
        <w:t>a</w:t>
      </w:r>
      <w:r w:rsidRPr="00BB11AF">
        <w:t>risme. 1968 fut le moment de l'élaboration d'une contre-tradition pol</w:t>
      </w:r>
      <w:r w:rsidRPr="00BB11AF">
        <w:t>i</w:t>
      </w:r>
      <w:r w:rsidRPr="00BB11AF">
        <w:t>tique et sociale. Mais le mouvement ne se limite ni à la France ni à l'Europe. Rappelons d'abord brièvement l'histoire québécoise.</w:t>
      </w:r>
    </w:p>
    <w:p w:rsidR="003A3061" w:rsidRPr="00BB11AF" w:rsidRDefault="003A3061" w:rsidP="003A3061">
      <w:pPr>
        <w:spacing w:before="120" w:after="120"/>
        <w:jc w:val="both"/>
      </w:pPr>
      <w:r w:rsidRPr="00BB11AF">
        <w:t>[175]</w:t>
      </w:r>
    </w:p>
    <w:p w:rsidR="003A3061" w:rsidRPr="00BB11AF" w:rsidRDefault="003A3061" w:rsidP="003A3061">
      <w:pPr>
        <w:spacing w:before="120" w:after="120"/>
        <w:jc w:val="both"/>
      </w:pPr>
      <w:r w:rsidRPr="00BB11AF">
        <w:t>Les premières grèves étudiantes autour de la langue et de l'accès à l'université en français eurent lieu entre 1968 et 1974. En octobre 1968, l'opposition au projet de Loi 63 (Loi sur les langues officielles) avait donné lieu à toute une série de manifestations où le mouvement étudiant s'allia aux syndicats et aux nationalistes de toute obédience. 15 des 23 Collèges d'enseignement général et professionnel (cégeps), des institutions d'enseignement postsecondaire qui réunissent le sup</w:t>
      </w:r>
      <w:r w:rsidRPr="00BB11AF">
        <w:t>é</w:t>
      </w:r>
      <w:r w:rsidRPr="00BB11AF">
        <w:t>rieur technique et le pré-universitaire, furent occupés par leurs ét</w:t>
      </w:r>
      <w:r w:rsidRPr="00BB11AF">
        <w:t>u</w:t>
      </w:r>
      <w:r w:rsidRPr="00BB11AF">
        <w:t>diants (Gauthier 2007). Le point culminant de cette contestation soci</w:t>
      </w:r>
      <w:r w:rsidRPr="00BB11AF">
        <w:t>o</w:t>
      </w:r>
      <w:r w:rsidRPr="00BB11AF">
        <w:t>linguistique advint en 1976 avec l'élection du Parti Québécois. Les revendications sur la langue ayant trouvé dans le Parti Québécois sa meilleure expression. Différence majeure, le « Printemps érable » n'a pas eu la préservation de la langue française, l'indépendance ou le n</w:t>
      </w:r>
      <w:r w:rsidRPr="00BB11AF">
        <w:t>a</w:t>
      </w:r>
      <w:r w:rsidRPr="00BB11AF">
        <w:t>tionalisme comme enjeu même secondaire. L'égalité fut son principal enjeu et non pas la singularité du Québec. Nous y reviendrons.</w:t>
      </w:r>
    </w:p>
    <w:p w:rsidR="003A3061" w:rsidRPr="00BB11AF" w:rsidRDefault="003A3061" w:rsidP="003A3061">
      <w:pPr>
        <w:spacing w:before="120" w:after="120"/>
        <w:jc w:val="both"/>
      </w:pPr>
      <w:r w:rsidRPr="00BB11AF">
        <w:t>Parallèlement, dans les années 1960, les États-Unis ont aussi connu des mouvements étudiants. Malgré qu'ils s'opposent principalement à la guerre du Vietnam, les événements de Berkeley en 1964 contribu</w:t>
      </w:r>
      <w:r w:rsidRPr="00BB11AF">
        <w:t>è</w:t>
      </w:r>
      <w:r w:rsidRPr="00BB11AF">
        <w:t>rent surtout au développement du mouvement hippie et de la contre-culture qu'à développer une véritable alternative politique. 1968 en France, la Loi 63 au Québec, le mouvement de contestation étudiante américain des années 1960 ont, tous en commun de vouloir rompre avec la tradition tantôt pensée en termes politiques, tantôt davantage en termes sociaux ou de rapports interpersonnels. Ils ont engagé des mouvements qui trouveront leur aboutissement dans la décennie su</w:t>
      </w:r>
      <w:r w:rsidRPr="00BB11AF">
        <w:t>i</w:t>
      </w:r>
      <w:r w:rsidRPr="00BB11AF">
        <w:t>vante.</w:t>
      </w:r>
    </w:p>
    <w:p w:rsidR="003A3061" w:rsidRPr="00BB11AF" w:rsidRDefault="003A3061" w:rsidP="003A3061">
      <w:pPr>
        <w:spacing w:before="120" w:after="120"/>
        <w:jc w:val="both"/>
      </w:pPr>
      <w:r w:rsidRPr="00BB11AF">
        <w:t>Boltanski et Chiapello (1999) mettent bien en lumière la dynam</w:t>
      </w:r>
      <w:r w:rsidRPr="00BB11AF">
        <w:t>i</w:t>
      </w:r>
      <w:r w:rsidRPr="00BB11AF">
        <w:t>que de rupture dans le cas français et sur le plan de l'économie polit</w:t>
      </w:r>
      <w:r w:rsidRPr="00BB11AF">
        <w:t>i</w:t>
      </w:r>
      <w:r w:rsidRPr="00BB11AF">
        <w:t>que. En quelques années, les contestataires français ont réduit de beaucoup l'influence des liens traditionnels. Ils ont mis à mal ce que Boltanski et Thévenot (1991) appellent la « cité domestique » qui r</w:t>
      </w:r>
      <w:r w:rsidRPr="00BB11AF">
        <w:t>e</w:t>
      </w:r>
      <w:r w:rsidRPr="00BB11AF">
        <w:t>pose sur un système de rapports fixes entre des statuts sociaux inscrits dans une hiérarchie qu'il est presque impossible à dépasser. Le bou</w:t>
      </w:r>
      <w:r w:rsidRPr="00BB11AF">
        <w:t>r</w:t>
      </w:r>
      <w:r w:rsidRPr="00BB11AF">
        <w:t>geois et l'ouvrier ne pouvaient que se reproduire à l'identique dans un grand clivage culturel institutionnalisé tant par l'école que par les sy</w:t>
      </w:r>
      <w:r w:rsidRPr="00BB11AF">
        <w:t>s</w:t>
      </w:r>
      <w:r w:rsidRPr="00BB11AF">
        <w:t>tèmes de distinction. Bourdieu et Passeron (1964) nous l'ont bien montré dans Les héritiers. En dévoilant comment la possession par les membres des classes dominantes d'une culture développée dès l'e</w:t>
      </w:r>
      <w:r w:rsidRPr="00BB11AF">
        <w:t>n</w:t>
      </w:r>
      <w:r w:rsidRPr="00BB11AF">
        <w:t>fance et partagée par le système scolaire leur donnait un avantage sur les autres groupes sociaux pour obtenir le succès scolaire, clef du su</w:t>
      </w:r>
      <w:r w:rsidRPr="00BB11AF">
        <w:t>c</w:t>
      </w:r>
      <w:r w:rsidRPr="00BB11AF">
        <w:t>cès économique. Cependant, le système qui l'a remplacé n'a pas co</w:t>
      </w:r>
      <w:r w:rsidRPr="00BB11AF">
        <w:t>r</w:t>
      </w:r>
      <w:r w:rsidRPr="00BB11AF">
        <w:t>respondu aux espoirs révolutionnaires. Les années 1970 ont plutôt vu le développement de systèmes bureaucratiques qui, même s'ils avaient souvent comme fonction de gérer l'égalité, étaient fondés sur les n</w:t>
      </w:r>
      <w:r w:rsidRPr="00BB11AF">
        <w:t>o</w:t>
      </w:r>
      <w:r w:rsidRPr="00BB11AF">
        <w:t>tions de productivité et d'efficacité inscrites dans de longues hiéra</w:t>
      </w:r>
      <w:r w:rsidRPr="00BB11AF">
        <w:t>r</w:t>
      </w:r>
      <w:r w:rsidRPr="00BB11AF">
        <w:t>chies. Et, autant les institutions du changement que celles de la stabil</w:t>
      </w:r>
      <w:r w:rsidRPr="00BB11AF">
        <w:t>i</w:t>
      </w:r>
      <w:r w:rsidRPr="00BB11AF">
        <w:t>té s'en sont trouvées profondément transformées.</w:t>
      </w:r>
    </w:p>
    <w:p w:rsidR="003A3061" w:rsidRPr="00BB11AF" w:rsidRDefault="003A3061" w:rsidP="003A3061">
      <w:pPr>
        <w:spacing w:before="120" w:after="120"/>
        <w:jc w:val="both"/>
      </w:pPr>
      <w:r w:rsidRPr="00BB11AF">
        <w:t>[176]</w:t>
      </w:r>
    </w:p>
    <w:p w:rsidR="003A3061" w:rsidRPr="00BB11AF" w:rsidRDefault="003A3061" w:rsidP="003A3061">
      <w:pPr>
        <w:spacing w:before="120" w:after="120"/>
        <w:jc w:val="both"/>
      </w:pPr>
      <w:r w:rsidRPr="00BB11AF">
        <w:t>Abandonnons pour le moment l'économie politique et les tran</w:t>
      </w:r>
      <w:r w:rsidRPr="00BB11AF">
        <w:t>s</w:t>
      </w:r>
      <w:r w:rsidRPr="00BB11AF">
        <w:t>form</w:t>
      </w:r>
      <w:r w:rsidRPr="00BB11AF">
        <w:t>a</w:t>
      </w:r>
      <w:r w:rsidRPr="00BB11AF">
        <w:t>tions idéologiques pour regarder les transformations sociales mises en jeu à la même époque en partie causées par ces institutions de l'égalité. Cela nous permettra aussi d'aborder la rupture au plan s</w:t>
      </w:r>
      <w:r w:rsidRPr="00BB11AF">
        <w:t>o</w:t>
      </w:r>
      <w:r w:rsidRPr="00BB11AF">
        <w:t>cio-économique aussi bien que celui des relations interpersonnelles et plus particulièrement des rapports de sexe.</w:t>
      </w:r>
    </w:p>
    <w:p w:rsidR="003A3061" w:rsidRPr="00BB11AF" w:rsidRDefault="003A3061" w:rsidP="003A3061">
      <w:pPr>
        <w:spacing w:before="120" w:after="120"/>
        <w:jc w:val="both"/>
      </w:pPr>
    </w:p>
    <w:p w:rsidR="003A3061" w:rsidRPr="00BB11AF" w:rsidRDefault="003A3061" w:rsidP="003A3061">
      <w:pPr>
        <w:pStyle w:val="planche"/>
      </w:pPr>
      <w:r w:rsidRPr="00BB11AF">
        <w:t>Les transformations socio-économiques</w:t>
      </w:r>
    </w:p>
    <w:p w:rsidR="003A3061" w:rsidRPr="00BB11AF" w:rsidRDefault="003A3061" w:rsidP="003A3061">
      <w:pPr>
        <w:spacing w:before="120" w:after="120"/>
        <w:jc w:val="both"/>
      </w:pPr>
    </w:p>
    <w:p w:rsidR="003A3061" w:rsidRDefault="003A3061" w:rsidP="003A3061">
      <w:pPr>
        <w:spacing w:before="120" w:after="120"/>
        <w:jc w:val="both"/>
      </w:pPr>
      <w:r w:rsidRPr="00BB11AF">
        <w:t>Le processus de transformation socio-économique se laisse voir dans les statistiques sur l'utilisation de la main-d'œuvre publiées par l'O</w:t>
      </w:r>
      <w:r w:rsidRPr="00BB11AF">
        <w:t>C</w:t>
      </w:r>
      <w:r w:rsidRPr="00BB11AF">
        <w:t>DE. Elles constitueront donc notre entrée en matière. Depuis la Deuxième Guerre mondiale, dans la plupart des pays industrialisés, la baisse de l'emploi agricole s'est confirmée ; l'emploi industriel a décru fortement alors que les services regroupent une majorité croissante de travailleurs. On peut distinguer deux processus différents pour attei</w:t>
      </w:r>
      <w:r w:rsidRPr="00BB11AF">
        <w:t>n</w:t>
      </w:r>
      <w:r w:rsidRPr="00BB11AF">
        <w:t>dre des taux de travail dans le secteur tertiaire supérieurs à 70% de la main-d'œuvre : l'un, plus graduel, se laisse voir lorsque baisse pr</w:t>
      </w:r>
      <w:r w:rsidRPr="00BB11AF">
        <w:t>o</w:t>
      </w:r>
      <w:r w:rsidRPr="00BB11AF">
        <w:t>gressivement la main-d'œuvre agricole au profit de l'industrie man</w:t>
      </w:r>
      <w:r w:rsidRPr="00BB11AF">
        <w:t>u</w:t>
      </w:r>
      <w:r w:rsidRPr="00BB11AF">
        <w:t>facturière qui s'installe d'abord, bien avant les années 1950, pour e</w:t>
      </w:r>
      <w:r w:rsidRPr="00BB11AF">
        <w:t>n</w:t>
      </w:r>
      <w:r w:rsidRPr="00BB11AF">
        <w:t>suite décroître en faveur des services ; l'autre processus est plus rap</w:t>
      </w:r>
      <w:r w:rsidRPr="00BB11AF">
        <w:t>i</w:t>
      </w:r>
      <w:r w:rsidRPr="00BB11AF">
        <w:t>de. Il apparaît lorsque le déversement vers le secteur tertiaire se fait à la fois à partir d'un secteur primaire qui décroît rapidement et d'un secteur industriel qui croît, stagne puis décroît pendant la même p</w:t>
      </w:r>
      <w:r w:rsidRPr="00BB11AF">
        <w:t>é</w:t>
      </w:r>
      <w:r w:rsidRPr="00BB11AF">
        <w:t>riode. La Figure</w:t>
      </w:r>
      <w:r>
        <w:t> </w:t>
      </w:r>
      <w:r w:rsidRPr="00BB11AF">
        <w:t>1 illustre le processus séquentiel à plus long terme chaque secteur se déversant dans l'autre après un processus de matur</w:t>
      </w:r>
      <w:r w:rsidRPr="00BB11AF">
        <w:t>a</w:t>
      </w:r>
      <w:r w:rsidRPr="00BB11AF">
        <w:t>tion ; la Figure</w:t>
      </w:r>
      <w:r>
        <w:t> </w:t>
      </w:r>
      <w:r w:rsidRPr="00BB11AF">
        <w:t>2 fait état du processus accéléré qui a marqué certaines économies.</w:t>
      </w:r>
    </w:p>
    <w:p w:rsidR="003A3061" w:rsidRDefault="003A3061" w:rsidP="003A3061">
      <w:pPr>
        <w:spacing w:before="120" w:after="120"/>
        <w:jc w:val="both"/>
      </w:pPr>
    </w:p>
    <w:p w:rsidR="003A3061" w:rsidRPr="00BB11AF" w:rsidRDefault="003A3061" w:rsidP="003A3061">
      <w:pPr>
        <w:spacing w:before="120" w:after="120"/>
        <w:jc w:val="both"/>
      </w:pPr>
    </w:p>
    <w:p w:rsidR="003A3061" w:rsidRPr="00BB11AF" w:rsidRDefault="00356B29" w:rsidP="003A3061">
      <w:pPr>
        <w:pStyle w:val="fig"/>
      </w:pPr>
      <w:r>
        <w:rPr>
          <w:noProof/>
        </w:rPr>
        <w:drawing>
          <wp:inline distT="0" distB="0" distL="0" distR="0">
            <wp:extent cx="5016500" cy="2247900"/>
            <wp:effectExtent l="0" t="0" r="0" b="0"/>
            <wp:docPr id="8" name="Image 8" descr="fig_p_176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fig_p_176_low"/>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16500" cy="2247900"/>
                    </a:xfrm>
                    <a:prstGeom prst="rect">
                      <a:avLst/>
                    </a:prstGeom>
                    <a:noFill/>
                    <a:ln>
                      <a:noFill/>
                    </a:ln>
                  </pic:spPr>
                </pic:pic>
              </a:graphicData>
            </a:graphic>
          </wp:inline>
        </w:drawing>
      </w:r>
    </w:p>
    <w:p w:rsidR="003A3061" w:rsidRDefault="003A3061" w:rsidP="003A3061">
      <w:pPr>
        <w:spacing w:before="120" w:after="120"/>
        <w:jc w:val="both"/>
      </w:pPr>
      <w:r>
        <w:br w:type="page"/>
      </w:r>
    </w:p>
    <w:p w:rsidR="003A3061" w:rsidRPr="00BB11AF" w:rsidRDefault="003A3061" w:rsidP="003A3061">
      <w:pPr>
        <w:spacing w:before="120" w:after="120"/>
        <w:jc w:val="both"/>
      </w:pPr>
      <w:r w:rsidRPr="00BB11AF">
        <w:t>[177]</w:t>
      </w:r>
    </w:p>
    <w:p w:rsidR="003A3061" w:rsidRPr="00BB11AF" w:rsidRDefault="003A3061" w:rsidP="003A3061">
      <w:pPr>
        <w:spacing w:before="120" w:after="120"/>
        <w:jc w:val="both"/>
      </w:pPr>
      <w:r w:rsidRPr="00BB11AF">
        <w:t>Les États-Unis</w:t>
      </w:r>
      <w:r>
        <w:t> </w:t>
      </w:r>
      <w:r>
        <w:rPr>
          <w:rStyle w:val="Appelnotedebasdep"/>
        </w:rPr>
        <w:footnoteReference w:id="94"/>
      </w:r>
      <w:r w:rsidRPr="00BB11AF">
        <w:t xml:space="preserve"> (voir Figure 3), mais aussi le Canada, la Belg</w:t>
      </w:r>
      <w:r w:rsidRPr="00BB11AF">
        <w:t>i</w:t>
      </w:r>
      <w:r w:rsidRPr="00BB11AF">
        <w:t>que et l'Angleterre, sont un exemple du processus à long terme. La Finla</w:t>
      </w:r>
      <w:r w:rsidRPr="00BB11AF">
        <w:t>n</w:t>
      </w:r>
      <w:r w:rsidRPr="00BB11AF">
        <w:t>de (voir Figure</w:t>
      </w:r>
      <w:r>
        <w:t> </w:t>
      </w:r>
      <w:r w:rsidRPr="00BB11AF">
        <w:t xml:space="preserve">4), la Corée du sud et, jusqu'à un certain point, la </w:t>
      </w:r>
      <w:r>
        <w:t xml:space="preserve">France </w:t>
      </w:r>
      <w:r w:rsidRPr="00BB11AF">
        <w:t>-où le secteur agricole s'est maintenu longtemps à des n</w:t>
      </w:r>
      <w:r w:rsidRPr="00BB11AF">
        <w:t>i</w:t>
      </w:r>
      <w:r w:rsidRPr="00BB11AF">
        <w:t>veaux élevés malgré son entrée relativement hâtive dans l'ère indu</w:t>
      </w:r>
      <w:r w:rsidRPr="00BB11AF">
        <w:t>s</w:t>
      </w:r>
      <w:r w:rsidRPr="00BB11AF">
        <w:t>trielle-, ainsi que la Norvège sont des exemples du second (données non illu</w:t>
      </w:r>
      <w:r w:rsidRPr="00BB11AF">
        <w:t>s</w:t>
      </w:r>
      <w:r w:rsidRPr="00BB11AF">
        <w:t>trées, disponibles sur demande). La situation de la Finlande est part</w:t>
      </w:r>
      <w:r w:rsidRPr="00BB11AF">
        <w:t>i</w:t>
      </w:r>
      <w:r w:rsidRPr="00BB11AF">
        <w:t>culièrement parlante. On peut identifier les années 1960 co</w:t>
      </w:r>
      <w:r w:rsidRPr="00BB11AF">
        <w:t>m</w:t>
      </w:r>
      <w:r w:rsidRPr="00BB11AF">
        <w:t>me le moment où l'emploi agricole s'effondre, alors qu'au même moment tant l'emploi manufacturier que tertiaire s'accroissent. Mais la déce</w:t>
      </w:r>
      <w:r w:rsidRPr="00BB11AF">
        <w:t>n</w:t>
      </w:r>
      <w:r w:rsidRPr="00BB11AF">
        <w:t>nie 1970 n'est pas terminée que déjà l'emploi manufacturier comme</w:t>
      </w:r>
      <w:r w:rsidRPr="00BB11AF">
        <w:t>n</w:t>
      </w:r>
      <w:r w:rsidRPr="00BB11AF">
        <w:t>ce à baisser. La question que soulèvent ces rapides chang</w:t>
      </w:r>
      <w:r w:rsidRPr="00BB11AF">
        <w:t>e</w:t>
      </w:r>
      <w:r w:rsidRPr="00BB11AF">
        <w:t>ments est simple : comment la population peut-elle suivre ? Comment les jeunes hommes et les jeunes femmes arrivent-ils à se projeter dans le futur ? Se sentent-ils faire partie de ces transformations ou laissé-pour-compte ? De plus, les différences entre le travail à la ferme, celui à l'usine et l'emploi de bureau ne se limitent pas à un changement de titre d'e</w:t>
      </w:r>
      <w:r w:rsidRPr="00BB11AF">
        <w:t>m</w:t>
      </w:r>
      <w:r w:rsidRPr="00BB11AF">
        <w:t>ploi, ce sont des modes de vie différents. La sociabilité n'est pas la même et les rapports de genre sont fondamentalement diff</w:t>
      </w:r>
      <w:r w:rsidRPr="00BB11AF">
        <w:t>é</w:t>
      </w:r>
      <w:r w:rsidRPr="00BB11AF">
        <w:t>rents.</w:t>
      </w:r>
    </w:p>
    <w:p w:rsidR="003A3061" w:rsidRPr="00BB11AF" w:rsidRDefault="003A3061" w:rsidP="003A3061">
      <w:pPr>
        <w:spacing w:before="120" w:after="120"/>
        <w:jc w:val="both"/>
      </w:pPr>
      <w:r w:rsidRPr="00BB11AF">
        <w:t>Nous ne disposons pas de statistiques comparables portant sur le Qu</w:t>
      </w:r>
      <w:r w:rsidRPr="00BB11AF">
        <w:t>é</w:t>
      </w:r>
      <w:r w:rsidRPr="00BB11AF">
        <w:t>bec, l'OCDE ne publiant pas de statistiques infranationales. On sait cependant que Montréal a pendant longtemps été une des locom</w:t>
      </w:r>
      <w:r w:rsidRPr="00BB11AF">
        <w:t>o</w:t>
      </w:r>
      <w:r w:rsidRPr="00BB11AF">
        <w:t>tives industrielles du Canada. Si la grande industrie mécanisée y a été moins présente qu'en Ontario, l'industrie automobile, notamment, ce fut la capitale incontestée du textile. Malgré cela, les Canadiens fra</w:t>
      </w:r>
      <w:r w:rsidRPr="00BB11AF">
        <w:t>n</w:t>
      </w:r>
      <w:r w:rsidRPr="00BB11AF">
        <w:t>çais jouèrent un rôle subalterne dans ce développement alors nett</w:t>
      </w:r>
      <w:r w:rsidRPr="00BB11AF">
        <w:t>e</w:t>
      </w:r>
      <w:r w:rsidRPr="00BB11AF">
        <w:t>ment dominé par les Canadiens anglais. On sait aussi que le Québec francophone fût plus lent que le Canada anglais à s'engager dans la tertiarisation, ce qui entraîna chez les élites québécoises le sentiment de « rattrapage » à partir des années 1960. Au plan économique, c'est sous cet angle que s'engagea la Révolution tranquille, nom que l'on a donné aux transformations sociales et économiques rapides qui mod</w:t>
      </w:r>
      <w:r w:rsidRPr="00BB11AF">
        <w:t>i</w:t>
      </w:r>
      <w:r w:rsidRPr="00BB11AF">
        <w:t>fièrent profondément la seule province francophone du Canada. Un mouvement qui avait pour objectif tant le développement rapide d'une économie moderne que l'accès de la population francophone aux l</w:t>
      </w:r>
      <w:r w:rsidRPr="00BB11AF">
        <w:t>e</w:t>
      </w:r>
      <w:r w:rsidRPr="00BB11AF">
        <w:t>viers du pouvoir politique et économique. Le slogan électoral du go</w:t>
      </w:r>
      <w:r w:rsidRPr="00BB11AF">
        <w:t>u</w:t>
      </w:r>
      <w:r w:rsidRPr="00BB11AF">
        <w:t>vernement libéral qui engagea le mouvement était « Maîtres chez nous ». Les systèmes d'éducation et de santé passèrent alors des mains de l'Église catholique à celles de l'État, ce qui en permit le dévelo</w:t>
      </w:r>
      <w:r w:rsidRPr="00BB11AF">
        <w:t>p</w:t>
      </w:r>
      <w:r w:rsidRPr="00BB11AF">
        <w:t>pement accéléré, en même temps que le mouvement de nationalisation d'une partie de l'économie, dont l'hydro-électricité. Toute une série de changements sociaux s'inscrivent dans cette mouvance. La natalité et le taux de mariage s'effondrent et le taux de divorce, légalisé en 1979, s'envole.</w:t>
      </w:r>
    </w:p>
    <w:p w:rsidR="003A3061" w:rsidRPr="00BB11AF" w:rsidRDefault="003A3061" w:rsidP="003A3061">
      <w:pPr>
        <w:spacing w:before="120" w:after="120"/>
        <w:jc w:val="both"/>
      </w:pPr>
      <w:r w:rsidRPr="00BB11AF">
        <w:t>[178]</w:t>
      </w:r>
    </w:p>
    <w:p w:rsidR="003A3061" w:rsidRPr="00BB11AF" w:rsidRDefault="003A3061" w:rsidP="003A3061">
      <w:pPr>
        <w:spacing w:before="120" w:after="120"/>
        <w:jc w:val="both"/>
      </w:pPr>
    </w:p>
    <w:p w:rsidR="003A3061" w:rsidRDefault="003A3061" w:rsidP="003A3061">
      <w:pPr>
        <w:spacing w:before="120" w:after="120"/>
        <w:jc w:val="both"/>
      </w:pPr>
    </w:p>
    <w:tbl>
      <w:tblPr>
        <w:tblW w:w="0" w:type="auto"/>
        <w:tblLook w:val="00BF" w:firstRow="1" w:lastRow="0" w:firstColumn="1" w:lastColumn="0" w:noHBand="0" w:noVBand="0"/>
      </w:tblPr>
      <w:tblGrid>
        <w:gridCol w:w="4131"/>
        <w:gridCol w:w="3929"/>
      </w:tblGrid>
      <w:tr w:rsidR="003A3061">
        <w:tc>
          <w:tcPr>
            <w:tcW w:w="4131" w:type="dxa"/>
          </w:tcPr>
          <w:p w:rsidR="003A3061" w:rsidRPr="003830C6" w:rsidRDefault="003A3061" w:rsidP="003A3061">
            <w:pPr>
              <w:spacing w:before="120" w:after="120"/>
              <w:jc w:val="center"/>
              <w:rPr>
                <w:sz w:val="20"/>
              </w:rPr>
            </w:pPr>
            <w:r w:rsidRPr="003830C6">
              <w:rPr>
                <w:sz w:val="20"/>
              </w:rPr>
              <w:t>Figure 3</w:t>
            </w:r>
          </w:p>
          <w:p w:rsidR="003A3061" w:rsidRDefault="003A3061" w:rsidP="003A3061">
            <w:pPr>
              <w:spacing w:before="120" w:after="120"/>
              <w:ind w:firstLine="0"/>
              <w:jc w:val="both"/>
            </w:pPr>
            <w:r w:rsidRPr="003830C6">
              <w:rPr>
                <w:sz w:val="20"/>
              </w:rPr>
              <w:t>Évolution du type d'emploi en pourcentage de l'emploi total, États-Unis 1956-2009</w:t>
            </w:r>
          </w:p>
        </w:tc>
        <w:tc>
          <w:tcPr>
            <w:tcW w:w="3929" w:type="dxa"/>
          </w:tcPr>
          <w:p w:rsidR="003A3061" w:rsidRPr="003830C6" w:rsidRDefault="003A3061" w:rsidP="003A3061">
            <w:pPr>
              <w:spacing w:before="120" w:after="120"/>
              <w:jc w:val="center"/>
              <w:rPr>
                <w:sz w:val="20"/>
              </w:rPr>
            </w:pPr>
            <w:r w:rsidRPr="003830C6">
              <w:rPr>
                <w:sz w:val="20"/>
              </w:rPr>
              <w:t>Figure 4</w:t>
            </w:r>
          </w:p>
          <w:p w:rsidR="003A3061" w:rsidRDefault="003A3061" w:rsidP="003A3061">
            <w:pPr>
              <w:spacing w:before="120" w:after="120"/>
              <w:ind w:firstLine="0"/>
              <w:jc w:val="both"/>
            </w:pPr>
            <w:r w:rsidRPr="003830C6">
              <w:rPr>
                <w:sz w:val="20"/>
              </w:rPr>
              <w:t>Évolution du type d'emploi en pourcentage de l'emploi total, Fi</w:t>
            </w:r>
            <w:r w:rsidRPr="003830C6">
              <w:rPr>
                <w:sz w:val="20"/>
              </w:rPr>
              <w:t>n</w:t>
            </w:r>
            <w:r w:rsidRPr="003830C6">
              <w:rPr>
                <w:sz w:val="20"/>
              </w:rPr>
              <w:t>lande 1956-2009</w:t>
            </w:r>
          </w:p>
        </w:tc>
      </w:tr>
    </w:tbl>
    <w:p w:rsidR="003A3061" w:rsidRPr="00BB11AF" w:rsidRDefault="00356B29" w:rsidP="003A3061">
      <w:pPr>
        <w:pStyle w:val="fig"/>
      </w:pPr>
      <w:r>
        <w:rPr>
          <w:noProof/>
        </w:rPr>
        <w:drawing>
          <wp:inline distT="0" distB="0" distL="0" distR="0">
            <wp:extent cx="5016500" cy="2184400"/>
            <wp:effectExtent l="0" t="0" r="0" b="0"/>
            <wp:docPr id="9" name="Image 9" descr="fig_p_178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fig_p_178_low"/>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16500" cy="2184400"/>
                    </a:xfrm>
                    <a:prstGeom prst="rect">
                      <a:avLst/>
                    </a:prstGeom>
                    <a:noFill/>
                    <a:ln>
                      <a:noFill/>
                    </a:ln>
                  </pic:spPr>
                </pic:pic>
              </a:graphicData>
            </a:graphic>
          </wp:inline>
        </w:drawing>
      </w:r>
    </w:p>
    <w:p w:rsidR="003A3061" w:rsidRPr="00BB11AF" w:rsidRDefault="003A3061" w:rsidP="003A3061">
      <w:pPr>
        <w:spacing w:before="120" w:after="120"/>
        <w:jc w:val="both"/>
      </w:pP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Ces transformations, d'autant plus lorsqu'elles se firent sous un mode accéléré, ne furent pas sans conséquence pour les populations qui en firent l'expérience. Nous revenons ici à l'intuition de Durkheim reliant les taux de suicide aux transitions économiques. Précisons ici que nous ne nous intéressons pas en soi aux « causes personnelles de su</w:t>
      </w:r>
      <w:r w:rsidRPr="00BB11AF">
        <w:t>i</w:t>
      </w:r>
      <w:r w:rsidRPr="00BB11AF">
        <w:t>cide » ou à sa prévention, mais, tout comme Baudelot et Establet (2006), nous voyons le suicide comme un indicateur des transform</w:t>
      </w:r>
      <w:r w:rsidRPr="00BB11AF">
        <w:t>a</w:t>
      </w:r>
      <w:r w:rsidRPr="00BB11AF">
        <w:t>tions de nos sociétés. À cet égard, les transformations économiques ne sont pas les seules à jouer un rôle important, mais elles sont plus fac</w:t>
      </w:r>
      <w:r w:rsidRPr="00BB11AF">
        <w:t>i</w:t>
      </w:r>
      <w:r w:rsidRPr="00BB11AF">
        <w:t>lement mesurables. Notre perspective est aussi différente de celle de Durkheim en ce que nous ne nous intéressons pas ici aux phénomènes de croissance ou de décroissance de l'emploi ou aux crises économ</w:t>
      </w:r>
      <w:r w:rsidRPr="00BB11AF">
        <w:t>i</w:t>
      </w:r>
      <w:r w:rsidRPr="00BB11AF">
        <w:t>ques, mais aux transformations fondamentales de la structure d'e</w:t>
      </w:r>
      <w:r w:rsidRPr="00BB11AF">
        <w:t>m</w:t>
      </w:r>
      <w:r w:rsidRPr="00BB11AF">
        <w:t>ploi. Ces transformations rendent difficiles à prévoir le cours des ch</w:t>
      </w:r>
      <w:r w:rsidRPr="00BB11AF">
        <w:t>o</w:t>
      </w:r>
      <w:r w:rsidRPr="00BB11AF">
        <w:t>ses aussi bien que le cours de sa propre vie et les jeunes devie</w:t>
      </w:r>
      <w:r w:rsidRPr="00BB11AF">
        <w:t>n</w:t>
      </w:r>
      <w:r w:rsidRPr="00BB11AF">
        <w:t>nent incapables de se projeter dans le futur. Or, à compter des années 1970, et ce, dans presque tous les pays occidentaux, on a observé une tran</w:t>
      </w:r>
      <w:r w:rsidRPr="00BB11AF">
        <w:t>s</w:t>
      </w:r>
      <w:r w:rsidRPr="00BB11AF">
        <w:t>formation radicale de la pyramide d'âge des taux de suicide (Baudelot et Establet 2006). Historiquement, les hauts taux de suicide étaient l'apanage des classes d'âge les plus élevées au-delà de 60 ans. Et si, partout en occident et jusqu'à aujourd'hui, les hommes se tuent plus que les femmes, le suicide des jeunes hommes était un phén</w:t>
      </w:r>
      <w:r w:rsidRPr="00BB11AF">
        <w:t>o</w:t>
      </w:r>
      <w:r w:rsidRPr="00BB11AF">
        <w:t>mène inédit. En 2005, dans 11 des 29 pays de l'OCDE, les jeunes (15- 24 ans) se sont tués davantage que leurs aînés (75 ans et plus) et dans 19 des 29 pays les plus âgés ne représentaient pas le groupe où l'on se tuait le plus (OCDE 2009). De hauts taux de suicide sont particuli</w:t>
      </w:r>
      <w:r w:rsidRPr="00BB11AF">
        <w:t>è</w:t>
      </w:r>
      <w:r w:rsidRPr="00BB11AF">
        <w:t>rement présents dans les pays qui connurent une transformation acc</w:t>
      </w:r>
      <w:r w:rsidRPr="00BB11AF">
        <w:t>é</w:t>
      </w:r>
      <w:r w:rsidRPr="00BB11AF">
        <w:t>lérée de la structure d'emploi. Ainsi la Corée du Sud, l'exemple par excellence d'une croissance économique rapide et taux de suicide le plus élevé de l'OCDE en 2010, a vu son taux de suicide tripler entre 1985 et 2010 quoique davantage chez les plus vieux que chez les plus jeunes, eux-mêmes très élevés. Quant à la Finlande</w:t>
      </w:r>
      <w:r>
        <w:t xml:space="preserve"> </w:t>
      </w:r>
      <w:r w:rsidRPr="00BB11AF">
        <w:t>[179]</w:t>
      </w:r>
      <w:r>
        <w:t xml:space="preserve"> </w:t>
      </w:r>
      <w:r w:rsidRPr="00BB11AF">
        <w:t>dont nous illustrions la transformation accélérée de la structure d'emploi, elle a connu le taux de suicide le plus élevé d'Europe pe</w:t>
      </w:r>
      <w:r w:rsidRPr="00BB11AF">
        <w:t>n</w:t>
      </w:r>
      <w:r w:rsidRPr="00BB11AF">
        <w:t>dant une décennie.</w:t>
      </w:r>
    </w:p>
    <w:p w:rsidR="003A3061" w:rsidRPr="00BB11AF" w:rsidRDefault="003A3061" w:rsidP="003A3061">
      <w:pPr>
        <w:spacing w:before="120" w:after="120"/>
        <w:jc w:val="both"/>
      </w:pPr>
      <w:r w:rsidRPr="00BB11AF">
        <w:t>Pourquoi le passage vers une économie tertiaire a-t-elle fait augme</w:t>
      </w:r>
      <w:r w:rsidRPr="00BB11AF">
        <w:t>n</w:t>
      </w:r>
      <w:r w:rsidRPr="00BB11AF">
        <w:t>ter les taux de divorce et de suicide et pourquoi le taux de suicide des jeunes hommes ? Également, pourquoi le taux de suicide est-il si élevé dans les pays qui ont connu un processus accéléré ? Est-ce si</w:t>
      </w:r>
      <w:r w:rsidRPr="00BB11AF">
        <w:t>m</w:t>
      </w:r>
      <w:r w:rsidRPr="00BB11AF">
        <w:t>plement une question de vitesse ? On notera auparavant que les « impacts sociaux » de la transformation de l'économie tendent à d</w:t>
      </w:r>
      <w:r w:rsidRPr="00BB11AF">
        <w:t>i</w:t>
      </w:r>
      <w:r w:rsidRPr="00BB11AF">
        <w:t>minuer avec le temps, au fur et à mesure où le travail dans les services devient la norme. C'est le cas aux États-Unis dont nous illustrons l'évolution, mais aussi ailleurs. À l'échelle de l'OCDE, les plus hauts taux de su</w:t>
      </w:r>
      <w:r w:rsidRPr="00BB11AF">
        <w:t>i</w:t>
      </w:r>
      <w:r w:rsidRPr="00BB11AF">
        <w:t>cide furent atteints au début des années 1980 pour décliner ensuite progressivement</w:t>
      </w:r>
      <w:r>
        <w:t> </w:t>
      </w:r>
      <w:r>
        <w:rPr>
          <w:rStyle w:val="Appelnotedebasdep"/>
        </w:rPr>
        <w:footnoteReference w:id="95"/>
      </w:r>
      <w:r w:rsidRPr="00BB11AF">
        <w:t>. Au Québec, les plus hauts taux de suicide ont été atteints en 1999 après une décennie de hausse constante. D</w:t>
      </w:r>
      <w:r w:rsidRPr="00BB11AF">
        <w:t>e</w:t>
      </w:r>
      <w:r w:rsidRPr="00BB11AF">
        <w:t>puis lors, ils ont baissé au point que le Québec se trouve en quatrième position parmi les provinces canadiennes, derrière la Saskatchewan, le Man</w:t>
      </w:r>
      <w:r w:rsidRPr="00BB11AF">
        <w:t>i</w:t>
      </w:r>
      <w:r w:rsidRPr="00BB11AF">
        <w:t>toba et la Nouvelle-Écosse et devançant à peine l'Alberta (Légaré et al. 2013). La baisse est particulièrement marquée chez les hommes de 15-19 ans. Toute proportion gardée, trois fois moins de jeunes de cet âge se sont tués en 2010 qu'en 1995. Un phénomène similaire s'o</w:t>
      </w:r>
      <w:r w:rsidRPr="00BB11AF">
        <w:t>b</w:t>
      </w:r>
      <w:r w:rsidRPr="00BB11AF">
        <w:t>se</w:t>
      </w:r>
      <w:r w:rsidRPr="00BB11AF">
        <w:t>r</w:t>
      </w:r>
      <w:r w:rsidRPr="00BB11AF">
        <w:t>ve chez le groupe des 20-34 ans, ils sont moitié moins à se tuer en 2010 qu'en 1995.</w:t>
      </w:r>
    </w:p>
    <w:p w:rsidR="003A3061" w:rsidRPr="00BB11AF" w:rsidRDefault="003A3061" w:rsidP="003A3061">
      <w:pPr>
        <w:spacing w:before="120" w:after="120"/>
        <w:jc w:val="both"/>
      </w:pPr>
      <w:r w:rsidRPr="00BB11AF">
        <w:t>Nos propres travaux sur le suicide au Québec révèlent que même dans un État où l'industrialisation a débuté avant la Seconde Guerre mondiale, ce sont dans les régions où les emplois primaires et indu</w:t>
      </w:r>
      <w:r w:rsidRPr="00BB11AF">
        <w:t>s</w:t>
      </w:r>
      <w:r w:rsidRPr="00BB11AF">
        <w:t>triels prévalent encore aujourd'hui, celles où le secteur tertiaire est peu développé, que les taux de suicide des jeunes hommes sont les plus él</w:t>
      </w:r>
      <w:r w:rsidRPr="00BB11AF">
        <w:t>e</w:t>
      </w:r>
      <w:r w:rsidRPr="00BB11AF">
        <w:t>vés (Tremblay 2006). Cutler (2001) pose le même constat sur le suicide aux États-Unis ; les états ruraux ont les plus forts taux de su</w:t>
      </w:r>
      <w:r w:rsidRPr="00BB11AF">
        <w:t>i</w:t>
      </w:r>
      <w:r w:rsidRPr="00BB11AF">
        <w:t>cide des jeunes. Or, ces jeunes sont des hommes trois fois plus so</w:t>
      </w:r>
      <w:r w:rsidRPr="00BB11AF">
        <w:t>u</w:t>
      </w:r>
      <w:r w:rsidRPr="00BB11AF">
        <w:t>vent que des femmes. Ce sont des régions qui sont encore en tran</w:t>
      </w:r>
      <w:r w:rsidRPr="00BB11AF">
        <w:t>s</w:t>
      </w:r>
      <w:r w:rsidRPr="00BB11AF">
        <w:t>formation accélérée et qui, en plus, perçus comme retardataires, sont exposées à une image dévalorisée. Toutefois, les taux de suicide ne sont pas les seuls « indicateurs sociaux » des transformations écon</w:t>
      </w:r>
      <w:r w:rsidRPr="00BB11AF">
        <w:t>o</w:t>
      </w:r>
      <w:r w:rsidRPr="00BB11AF">
        <w:t>miques en cours. Ils ne révèlent pas une simple inadaptation au cha</w:t>
      </w:r>
      <w:r w:rsidRPr="00BB11AF">
        <w:t>n</w:t>
      </w:r>
      <w:r w:rsidRPr="00BB11AF">
        <w:t>gement éc</w:t>
      </w:r>
      <w:r w:rsidRPr="00BB11AF">
        <w:t>o</w:t>
      </w:r>
      <w:r w:rsidRPr="00BB11AF">
        <w:t>nomique. Ce serait bien peu comprendre l'ampleur des changements qui fut à l'œuvre dans cette transformation de l'appareil productif o</w:t>
      </w:r>
      <w:r w:rsidRPr="00BB11AF">
        <w:t>c</w:t>
      </w:r>
      <w:r w:rsidRPr="00BB11AF">
        <w:t>cidental.</w:t>
      </w:r>
    </w:p>
    <w:p w:rsidR="003A3061" w:rsidRPr="00BB11AF" w:rsidRDefault="003A3061" w:rsidP="003A3061">
      <w:pPr>
        <w:spacing w:before="120" w:after="120"/>
        <w:jc w:val="both"/>
      </w:pPr>
    </w:p>
    <w:p w:rsidR="003A3061" w:rsidRPr="00BB11AF" w:rsidRDefault="003A3061" w:rsidP="003A3061">
      <w:pPr>
        <w:pStyle w:val="planche"/>
      </w:pPr>
      <w:r w:rsidRPr="00BB11AF">
        <w:t>La transformation des rapports de genre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Lorsqu'on aborde les liens entre le monde économique et le genre, c'est souvent pour noter la place moindre des femmes dans les hauts postes de l'administration ou faire état de discrimination systématique, des problèmes bien réels. On néglige généralement de souligner comment le passage vers l'économie de service a entraîné dans la fo</w:t>
      </w:r>
      <w:r w:rsidRPr="00BB11AF">
        <w:t>u</w:t>
      </w:r>
      <w:r w:rsidRPr="00BB11AF">
        <w:t>lée des modifications des rapports de sexe. Les</w:t>
      </w:r>
      <w:r>
        <w:t xml:space="preserve"> </w:t>
      </w:r>
      <w:r w:rsidRPr="00BB11AF">
        <w:t>[180]</w:t>
      </w:r>
      <w:r>
        <w:t xml:space="preserve"> </w:t>
      </w:r>
      <w:r w:rsidRPr="00BB11AF">
        <w:t>services, et plus particulièrement les bureaucraties, sont en effet un univers où les hommes et les femmes cohabitent hors de la superv</w:t>
      </w:r>
      <w:r w:rsidRPr="00BB11AF">
        <w:t>i</w:t>
      </w:r>
      <w:r w:rsidRPr="00BB11AF">
        <w:t>sion familiale. Contrairement au monde manufacturier dont les fe</w:t>
      </w:r>
      <w:r w:rsidRPr="00BB11AF">
        <w:t>m</w:t>
      </w:r>
      <w:r w:rsidRPr="00BB11AF">
        <w:t>mes sont encore aujourd'hui quasi absentes, elles sont presque en nombre égal aux hommes dans une économie fondée sur les services. La Figure 5 illu</w:t>
      </w:r>
      <w:r w:rsidRPr="00BB11AF">
        <w:t>s</w:t>
      </w:r>
      <w:r w:rsidRPr="00BB11AF">
        <w:t>tre la situation aux États-Unis, mais on trouve le m</w:t>
      </w:r>
      <w:r w:rsidRPr="00BB11AF">
        <w:t>ê</w:t>
      </w:r>
      <w:r w:rsidRPr="00BB11AF">
        <w:t>me phénomène à l'identique dans plusieurs pays. Le taux de mascul</w:t>
      </w:r>
      <w:r w:rsidRPr="00BB11AF">
        <w:t>i</w:t>
      </w:r>
      <w:r w:rsidRPr="00BB11AF">
        <w:t>nité des emplois diminue en même temps que s'accroît la part des services dans l'e</w:t>
      </w:r>
      <w:r w:rsidRPr="00BB11AF">
        <w:t>m</w:t>
      </w:r>
      <w:r w:rsidRPr="00BB11AF">
        <w:t>ploi. Or, le taux de masculinité n'est pas le seul ph</w:t>
      </w:r>
      <w:r w:rsidRPr="00BB11AF">
        <w:t>é</w:t>
      </w:r>
      <w:r w:rsidRPr="00BB11AF">
        <w:t>nomène qui soit relié à la croissance des services. La proportion de services dans l'éc</w:t>
      </w:r>
      <w:r w:rsidRPr="00BB11AF">
        <w:t>o</w:t>
      </w:r>
      <w:r w:rsidRPr="00BB11AF">
        <w:t>nomie est à la fois reliée au taux de divorce et au taux de suicide des jeunes hommes (Figure 6 et Figure 8). De plus, et c'est majeur, le taux de masculinité de l'emploi est aussi relié au taux de divorce.</w:t>
      </w:r>
    </w:p>
    <w:p w:rsidR="003A3061" w:rsidRPr="00BB11AF" w:rsidRDefault="003A3061" w:rsidP="003A3061">
      <w:pPr>
        <w:spacing w:before="120" w:after="120"/>
        <w:jc w:val="both"/>
      </w:pPr>
      <w:r w:rsidRPr="00BB11AF">
        <w:t>Revenons à la Figure</w:t>
      </w:r>
      <w:r>
        <w:t> </w:t>
      </w:r>
      <w:r w:rsidRPr="00BB11AF">
        <w:t>5 pour quelques explications techniques. On y trouve une série de points et deux lignes, une droite et une courbe. Les points indiquent la valeur de chaque année alors que les lignes ind</w:t>
      </w:r>
      <w:r w:rsidRPr="00BB11AF">
        <w:t>i</w:t>
      </w:r>
      <w:r w:rsidRPr="00BB11AF">
        <w:t>quent la tendance, la droite réfère à un R</w:t>
      </w:r>
      <w:r w:rsidRPr="00BB11AF">
        <w:rPr>
          <w:vertAlign w:val="superscript"/>
        </w:rPr>
        <w:t>2</w:t>
      </w:r>
      <w:r w:rsidRPr="00BB11AF">
        <w:t xml:space="preserve"> linéaire alors que la courbe est une fonction quadratique. L'augmentation de la proportion des emplois de service dans l'économie se traduit par une baisse con</w:t>
      </w:r>
      <w:r w:rsidRPr="00BB11AF">
        <w:t>s</w:t>
      </w:r>
      <w:r w:rsidRPr="00BB11AF">
        <w:t>tante du taux de masculinité (nombre d'hommes divisé par le nombre de fe</w:t>
      </w:r>
      <w:r w:rsidRPr="00BB11AF">
        <w:t>m</w:t>
      </w:r>
      <w:r w:rsidRPr="00BB11AF">
        <w:t>mes) de l'emploi dans l'économie américaine. On voit un effet de pl</w:t>
      </w:r>
      <w:r w:rsidRPr="00BB11AF">
        <w:t>a</w:t>
      </w:r>
      <w:r w:rsidRPr="00BB11AF">
        <w:t>teau au-delà de 75% d'emploi dans le secteur des services.</w:t>
      </w:r>
    </w:p>
    <w:p w:rsidR="003A3061" w:rsidRPr="00BB11AF" w:rsidRDefault="003A3061" w:rsidP="003A3061">
      <w:pPr>
        <w:spacing w:before="120" w:after="120"/>
        <w:jc w:val="both"/>
      </w:pPr>
      <w:r w:rsidRPr="00BB11AF">
        <w:t>Les trois autres figures comprennent une ligne de tendance cubique en plus d'une droite sauf la Figure 7 qui n'a pas de droite. Les courbes cubiques permettent de décrire des situations où non seulement il y a un effet de plateau, comme dans la Figure 5, mais une décroissance après un certain temps. Tous les coefficients des équations quadrat</w:t>
      </w:r>
      <w:r w:rsidRPr="00BB11AF">
        <w:t>i</w:t>
      </w:r>
      <w:r w:rsidRPr="00BB11AF">
        <w:t>ques et cubiques sont à des niveaux très élevés, exceptionnels même (la plus faible est à 0,944). Avant de poursuivre un petit mot sur la place du temps dans ces graphiques.</w:t>
      </w:r>
    </w:p>
    <w:p w:rsidR="003A3061" w:rsidRPr="00BB11AF" w:rsidRDefault="003A3061" w:rsidP="003A3061">
      <w:pPr>
        <w:pStyle w:val="p"/>
      </w:pPr>
      <w:r w:rsidRPr="00BB11AF">
        <w:t>[181]</w:t>
      </w:r>
    </w:p>
    <w:p w:rsidR="003A3061" w:rsidRPr="00BB11AF" w:rsidRDefault="003A3061" w:rsidP="003A3061">
      <w:pPr>
        <w:pStyle w:val="figtitre"/>
      </w:pPr>
      <w:r w:rsidRPr="00BB11AF">
        <w:t>Figure 5.</w:t>
      </w:r>
      <w:r>
        <w:br/>
      </w:r>
      <w:r w:rsidRPr="00BB11AF">
        <w:t>Ratio de masculinité des emplois et importance des se</w:t>
      </w:r>
      <w:r w:rsidRPr="00BB11AF">
        <w:t>r</w:t>
      </w:r>
      <w:r w:rsidRPr="00BB11AF">
        <w:t>vices</w:t>
      </w:r>
      <w:r>
        <w:br/>
      </w:r>
      <w:r w:rsidRPr="00BB11AF">
        <w:t>(États-Unis, 1950- 2010)</w:t>
      </w:r>
    </w:p>
    <w:p w:rsidR="003A3061" w:rsidRPr="00BB11AF" w:rsidRDefault="00356B29" w:rsidP="003A3061">
      <w:pPr>
        <w:pStyle w:val="fig"/>
      </w:pPr>
      <w:r>
        <w:rPr>
          <w:noProof/>
        </w:rPr>
        <w:drawing>
          <wp:inline distT="0" distB="0" distL="0" distR="0">
            <wp:extent cx="4851400" cy="3975100"/>
            <wp:effectExtent l="0" t="0" r="0" b="0"/>
            <wp:docPr id="10" name="Image 10" descr="fig_p_181a_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fig_p_181a_st"/>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51400" cy="3975100"/>
                    </a:xfrm>
                    <a:prstGeom prst="rect">
                      <a:avLst/>
                    </a:prstGeom>
                    <a:noFill/>
                    <a:ln>
                      <a:noFill/>
                    </a:ln>
                  </pic:spPr>
                </pic:pic>
              </a:graphicData>
            </a:graphic>
          </wp:inline>
        </w:drawing>
      </w:r>
    </w:p>
    <w:p w:rsidR="003A3061" w:rsidRPr="00BB11AF" w:rsidRDefault="003A3061" w:rsidP="003A3061">
      <w:pPr>
        <w:spacing w:before="120" w:after="120"/>
        <w:jc w:val="both"/>
      </w:pPr>
      <w:r>
        <w:br w:type="page"/>
      </w:r>
    </w:p>
    <w:p w:rsidR="003A3061" w:rsidRPr="00BB11AF" w:rsidRDefault="003A3061" w:rsidP="003A3061">
      <w:pPr>
        <w:pStyle w:val="figtitre"/>
      </w:pPr>
      <w:r w:rsidRPr="00BB11AF">
        <w:t>Figure 6.</w:t>
      </w:r>
      <w:r>
        <w:br/>
      </w:r>
      <w:r w:rsidRPr="00BB11AF">
        <w:t>Taux de divorce et importance des services (États-Unis, 1950-2010)</w:t>
      </w:r>
    </w:p>
    <w:p w:rsidR="003A3061" w:rsidRPr="00BB11AF" w:rsidRDefault="00356B29" w:rsidP="003A3061">
      <w:pPr>
        <w:pStyle w:val="fig"/>
      </w:pPr>
      <w:r>
        <w:rPr>
          <w:noProof/>
        </w:rPr>
        <w:drawing>
          <wp:inline distT="0" distB="0" distL="0" distR="0">
            <wp:extent cx="5029200" cy="3898900"/>
            <wp:effectExtent l="0" t="0" r="0" b="0"/>
            <wp:docPr id="11" name="Image 11" descr="Fig_p_181b_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Fig_p_181b_st"/>
                    <pic:cNvPicPr>
                      <a:picLocks/>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29200" cy="3898900"/>
                    </a:xfrm>
                    <a:prstGeom prst="rect">
                      <a:avLst/>
                    </a:prstGeom>
                    <a:noFill/>
                    <a:ln>
                      <a:noFill/>
                    </a:ln>
                  </pic:spPr>
                </pic:pic>
              </a:graphicData>
            </a:graphic>
          </wp:inline>
        </w:drawing>
      </w:r>
    </w:p>
    <w:p w:rsidR="003A3061" w:rsidRPr="00BB11AF" w:rsidRDefault="003A3061" w:rsidP="003A3061">
      <w:pPr>
        <w:spacing w:before="120" w:after="120"/>
        <w:jc w:val="both"/>
      </w:pPr>
      <w:r>
        <w:br w:type="page"/>
      </w:r>
    </w:p>
    <w:p w:rsidR="003A3061" w:rsidRPr="00BB11AF" w:rsidRDefault="003A3061" w:rsidP="003A3061">
      <w:pPr>
        <w:pStyle w:val="figtitre"/>
      </w:pPr>
      <w:r w:rsidRPr="00BB11AF">
        <w:t>Figure 7.</w:t>
      </w:r>
      <w:r>
        <w:br/>
      </w:r>
      <w:r w:rsidRPr="00BB11AF">
        <w:t>Ratio de masculinité et taux de divorce (États-Unis, 1950-2010)</w:t>
      </w:r>
    </w:p>
    <w:p w:rsidR="003A3061" w:rsidRPr="00BB11AF" w:rsidRDefault="00356B29" w:rsidP="003A3061">
      <w:pPr>
        <w:pStyle w:val="fig"/>
      </w:pPr>
      <w:r>
        <w:rPr>
          <w:noProof/>
        </w:rPr>
        <w:drawing>
          <wp:inline distT="0" distB="0" distL="0" distR="0">
            <wp:extent cx="5029200" cy="4025900"/>
            <wp:effectExtent l="0" t="0" r="0" b="0"/>
            <wp:docPr id="12" name="Image 12" descr="Fig_p_181c_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Fig_p_181c_st"/>
                    <pic:cNvPicPr>
                      <a:picLocks/>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29200" cy="4025900"/>
                    </a:xfrm>
                    <a:prstGeom prst="rect">
                      <a:avLst/>
                    </a:prstGeom>
                    <a:noFill/>
                    <a:ln>
                      <a:noFill/>
                    </a:ln>
                  </pic:spPr>
                </pic:pic>
              </a:graphicData>
            </a:graphic>
          </wp:inline>
        </w:drawing>
      </w:r>
    </w:p>
    <w:p w:rsidR="003A3061" w:rsidRPr="00BB11AF" w:rsidRDefault="003A3061" w:rsidP="003A3061">
      <w:pPr>
        <w:spacing w:before="120" w:after="120"/>
        <w:jc w:val="both"/>
      </w:pPr>
      <w:r>
        <w:br w:type="page"/>
      </w:r>
    </w:p>
    <w:p w:rsidR="003A3061" w:rsidRPr="00BB11AF" w:rsidRDefault="003A3061" w:rsidP="003A3061">
      <w:pPr>
        <w:pStyle w:val="figtitre"/>
      </w:pPr>
      <w:r w:rsidRPr="00BB11AF">
        <w:t>Figure 8.</w:t>
      </w:r>
      <w:r>
        <w:br/>
      </w:r>
      <w:r w:rsidRPr="00BB11AF">
        <w:t>Importance des services et taux de suicide des hommes de 15-19 ans</w:t>
      </w:r>
      <w:r>
        <w:br/>
      </w:r>
      <w:r w:rsidRPr="00BB11AF">
        <w:t>(États-Unis, 1950-2010)</w:t>
      </w:r>
    </w:p>
    <w:p w:rsidR="003A3061" w:rsidRDefault="00356B29" w:rsidP="003A3061">
      <w:pPr>
        <w:pStyle w:val="fig"/>
      </w:pPr>
      <w:r>
        <w:rPr>
          <w:noProof/>
        </w:rPr>
        <w:drawing>
          <wp:inline distT="0" distB="0" distL="0" distR="0">
            <wp:extent cx="5029200" cy="4152900"/>
            <wp:effectExtent l="0" t="0" r="0" b="0"/>
            <wp:docPr id="13" name="Image 13" descr="Fig_p_181d_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Fig_p_181d_st"/>
                    <pic:cNvPicPr>
                      <a:picLocks/>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029200" cy="4152900"/>
                    </a:xfrm>
                    <a:prstGeom prst="rect">
                      <a:avLst/>
                    </a:prstGeom>
                    <a:noFill/>
                    <a:ln>
                      <a:noFill/>
                    </a:ln>
                  </pic:spPr>
                </pic:pic>
              </a:graphicData>
            </a:graphic>
          </wp:inline>
        </w:drawing>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Aucun graphique n'a en effet le temps (années, mois, etc.) comme d</w:t>
      </w:r>
      <w:r w:rsidRPr="00BB11AF">
        <w:t>i</w:t>
      </w:r>
      <w:r w:rsidRPr="00BB11AF">
        <w:t>mension. Ils sont néanmoins orientés en fonction du temps à cause des variables utilisées qui sont toutes reliées intimement à ce dernier. Le rapport entre l'année d'une part, le rapport de masculinité et, d'autre part, la proportion de l'emploi dans les services est presque parfait. Notez que le temps se lit de droite à gauche pour la Figure 7 et de gauche à droite pour les trois autres graphiques.</w:t>
      </w:r>
    </w:p>
    <w:p w:rsidR="003A3061" w:rsidRPr="00BB11AF" w:rsidRDefault="003A3061" w:rsidP="003A3061">
      <w:pPr>
        <w:spacing w:before="120" w:after="120"/>
        <w:jc w:val="both"/>
      </w:pPr>
      <w:r w:rsidRPr="00BB11AF">
        <w:t>Revenons à leur interprétation. Les figures</w:t>
      </w:r>
      <w:r>
        <w:t> </w:t>
      </w:r>
      <w:r w:rsidRPr="00BB11AF">
        <w:t>6, 7 et 8 nous ense</w:t>
      </w:r>
      <w:r w:rsidRPr="00BB11AF">
        <w:t>i</w:t>
      </w:r>
      <w:r w:rsidRPr="00BB11AF">
        <w:t>gnent toutes la même leçon. La croissance des emplois de service dans l'économie américaine est reliée tant au taux de divorce qu'au</w:t>
      </w:r>
      <w:r>
        <w:t xml:space="preserve"> </w:t>
      </w:r>
      <w:r w:rsidRPr="00BB11AF">
        <w:t>[182]</w:t>
      </w:r>
      <w:r>
        <w:t xml:space="preserve"> </w:t>
      </w:r>
      <w:r w:rsidRPr="00BB11AF">
        <w:t>taux de suicide (que nous savons depuis longtemps très associé au d</w:t>
      </w:r>
      <w:r w:rsidRPr="00BB11AF">
        <w:t>i</w:t>
      </w:r>
      <w:r w:rsidRPr="00BB11AF">
        <w:t>vorce). Le temps de la transition vers une domination nette de l'e</w:t>
      </w:r>
      <w:r w:rsidRPr="00BB11AF">
        <w:t>m</w:t>
      </w:r>
      <w:r w:rsidRPr="00BB11AF">
        <w:t>ploi tertiaire en est un d'apprentissage de nouveaux modes de vie ; il e</w:t>
      </w:r>
      <w:r w:rsidRPr="00BB11AF">
        <w:t>n</w:t>
      </w:r>
      <w:r w:rsidRPr="00BB11AF">
        <w:t>traîne des problèmes dans la stabilité des mariages et augmente la propension à s'enlever la vie. Mais l'un et l'autre se stabilisent après un certain temps et commencent à décroître.</w:t>
      </w:r>
    </w:p>
    <w:p w:rsidR="003A3061" w:rsidRPr="00BB11AF" w:rsidRDefault="003A3061" w:rsidP="003A3061">
      <w:pPr>
        <w:spacing w:before="120" w:after="120"/>
        <w:jc w:val="both"/>
      </w:pPr>
      <w:r w:rsidRPr="00BB11AF">
        <w:t>Comment penser les changements de la structure d'emploi en te</w:t>
      </w:r>
      <w:r w:rsidRPr="00BB11AF">
        <w:t>r</w:t>
      </w:r>
      <w:r w:rsidRPr="00BB11AF">
        <w:t>mes de rapports de sexe ? Nous avons construit la Figure 9 pour tenter d'en rendre compte de la manière la plus synthétique possible. Aux trois grands secteurs de l'emploi que nous avons renommés « types de pr</w:t>
      </w:r>
      <w:r w:rsidRPr="00BB11AF">
        <w:t>o</w:t>
      </w:r>
      <w:r w:rsidRPr="00BB11AF">
        <w:t>duction » pour indiquer qu'il ne s'agit pas simplement d'une forme d'emploi, mais aussi d'un mode de vie. Nous leur avons fait corre</w:t>
      </w:r>
      <w:r w:rsidRPr="00BB11AF">
        <w:t>s</w:t>
      </w:r>
      <w:r w:rsidRPr="00BB11AF">
        <w:t>pondre trois modèles de rapports de sexe et de type de s</w:t>
      </w:r>
      <w:r w:rsidRPr="00BB11AF">
        <w:t>o</w:t>
      </w:r>
      <w:r w:rsidRPr="00BB11AF">
        <w:t>ciabilité au travail. Nous terminons en précisant la nature et le lieu du travail a</w:t>
      </w:r>
      <w:r w:rsidRPr="00BB11AF">
        <w:t>c</w:t>
      </w:r>
      <w:r w:rsidRPr="00BB11AF">
        <w:t>compli pour ces trois types de production.</w:t>
      </w:r>
    </w:p>
    <w:p w:rsidR="003A3061" w:rsidRPr="00BB11AF" w:rsidRDefault="003A3061" w:rsidP="003A3061">
      <w:pPr>
        <w:spacing w:before="120" w:after="120"/>
        <w:jc w:val="both"/>
      </w:pPr>
    </w:p>
    <w:p w:rsidR="003A3061" w:rsidRPr="00BB11AF" w:rsidRDefault="003A3061" w:rsidP="003A3061">
      <w:pPr>
        <w:spacing w:before="120" w:after="120"/>
        <w:ind w:firstLine="0"/>
        <w:jc w:val="center"/>
        <w:rPr>
          <w:b/>
          <w:bCs/>
          <w:sz w:val="24"/>
          <w:szCs w:val="24"/>
        </w:rPr>
      </w:pPr>
      <w:r w:rsidRPr="00BB11AF">
        <w:rPr>
          <w:b/>
          <w:bCs/>
          <w:sz w:val="24"/>
          <w:szCs w:val="24"/>
        </w:rPr>
        <w:t>Figure 9.</w:t>
      </w:r>
      <w:r w:rsidRPr="00BB11AF">
        <w:rPr>
          <w:b/>
          <w:bCs/>
          <w:sz w:val="24"/>
          <w:szCs w:val="24"/>
        </w:rPr>
        <w:br/>
        <w:t>Type de production économique et rapports de sexe</w:t>
      </w:r>
    </w:p>
    <w:tbl>
      <w:tblPr>
        <w:tblOverlap w:val="never"/>
        <w:tblW w:w="0" w:type="auto"/>
        <w:tblLayout w:type="fixed"/>
        <w:tblCellMar>
          <w:left w:w="10" w:type="dxa"/>
          <w:right w:w="10" w:type="dxa"/>
        </w:tblCellMar>
        <w:tblLook w:val="04A0" w:firstRow="1" w:lastRow="0" w:firstColumn="1" w:lastColumn="0" w:noHBand="0" w:noVBand="1"/>
      </w:tblPr>
      <w:tblGrid>
        <w:gridCol w:w="1586"/>
        <w:gridCol w:w="1586"/>
        <w:gridCol w:w="1586"/>
        <w:gridCol w:w="1586"/>
        <w:gridCol w:w="1586"/>
      </w:tblGrid>
      <w:tr w:rsidR="003A3061" w:rsidRPr="00BB11AF">
        <w:tblPrEx>
          <w:tblCellMar>
            <w:top w:w="0" w:type="dxa"/>
            <w:bottom w:w="0" w:type="dxa"/>
          </w:tblCellMar>
        </w:tblPrEx>
        <w:tc>
          <w:tcPr>
            <w:tcW w:w="1586" w:type="dxa"/>
            <w:tcBorders>
              <w:top w:val="single" w:sz="4" w:space="0" w:color="auto"/>
              <w:left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Type de</w:t>
            </w:r>
            <w:r w:rsidRPr="00BB11AF">
              <w:rPr>
                <w:sz w:val="24"/>
              </w:rPr>
              <w:br/>
              <w:t>pr</w:t>
            </w:r>
            <w:r w:rsidRPr="00BB11AF">
              <w:rPr>
                <w:sz w:val="24"/>
              </w:rPr>
              <w:t>o</w:t>
            </w:r>
            <w:r w:rsidRPr="00BB11AF">
              <w:rPr>
                <w:sz w:val="24"/>
              </w:rPr>
              <w:t>duction</w:t>
            </w:r>
          </w:p>
        </w:tc>
        <w:tc>
          <w:tcPr>
            <w:tcW w:w="1586" w:type="dxa"/>
            <w:tcBorders>
              <w:top w:val="single" w:sz="4" w:space="0" w:color="auto"/>
              <w:left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Rapports</w:t>
            </w:r>
            <w:r w:rsidRPr="00BB11AF">
              <w:rPr>
                <w:sz w:val="24"/>
              </w:rPr>
              <w:br/>
              <w:t>de sexe</w:t>
            </w:r>
          </w:p>
        </w:tc>
        <w:tc>
          <w:tcPr>
            <w:tcW w:w="1586" w:type="dxa"/>
            <w:tcBorders>
              <w:top w:val="single" w:sz="4" w:space="0" w:color="auto"/>
              <w:left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Sociabilité</w:t>
            </w:r>
            <w:r w:rsidRPr="00BB11AF">
              <w:rPr>
                <w:sz w:val="24"/>
              </w:rPr>
              <w:br/>
              <w:t>au tr</w:t>
            </w:r>
            <w:r w:rsidRPr="00BB11AF">
              <w:rPr>
                <w:sz w:val="24"/>
              </w:rPr>
              <w:t>a</w:t>
            </w:r>
            <w:r w:rsidRPr="00BB11AF">
              <w:rPr>
                <w:sz w:val="24"/>
              </w:rPr>
              <w:t>vail</w:t>
            </w:r>
          </w:p>
        </w:tc>
        <w:tc>
          <w:tcPr>
            <w:tcW w:w="1586" w:type="dxa"/>
            <w:tcBorders>
              <w:top w:val="single" w:sz="4" w:space="0" w:color="auto"/>
              <w:left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Nature</w:t>
            </w:r>
            <w:r w:rsidRPr="00BB11AF">
              <w:rPr>
                <w:sz w:val="24"/>
              </w:rPr>
              <w:br/>
              <w:t>du tr</w:t>
            </w:r>
            <w:r w:rsidRPr="00BB11AF">
              <w:rPr>
                <w:sz w:val="24"/>
              </w:rPr>
              <w:t>a</w:t>
            </w:r>
            <w:r w:rsidRPr="00BB11AF">
              <w:rPr>
                <w:sz w:val="24"/>
              </w:rPr>
              <w:t>vail</w:t>
            </w:r>
          </w:p>
        </w:tc>
        <w:tc>
          <w:tcPr>
            <w:tcW w:w="1586" w:type="dxa"/>
            <w:tcBorders>
              <w:top w:val="single" w:sz="4" w:space="0" w:color="auto"/>
              <w:left w:val="single" w:sz="4" w:space="0" w:color="auto"/>
              <w:right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Lieu</w:t>
            </w:r>
            <w:r w:rsidRPr="00BB11AF">
              <w:rPr>
                <w:sz w:val="24"/>
              </w:rPr>
              <w:br/>
              <w:t>du tr</w:t>
            </w:r>
            <w:r w:rsidRPr="00BB11AF">
              <w:rPr>
                <w:sz w:val="24"/>
              </w:rPr>
              <w:t>a</w:t>
            </w:r>
            <w:r w:rsidRPr="00BB11AF">
              <w:rPr>
                <w:sz w:val="24"/>
              </w:rPr>
              <w:t>vail</w:t>
            </w:r>
          </w:p>
        </w:tc>
      </w:tr>
      <w:tr w:rsidR="003A3061" w:rsidRPr="00BB11AF">
        <w:tblPrEx>
          <w:tblCellMar>
            <w:top w:w="0" w:type="dxa"/>
            <w:bottom w:w="0" w:type="dxa"/>
          </w:tblCellMar>
        </w:tblPrEx>
        <w:tc>
          <w:tcPr>
            <w:tcW w:w="1586" w:type="dxa"/>
            <w:tcBorders>
              <w:top w:val="single" w:sz="4" w:space="0" w:color="auto"/>
              <w:left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Agr</w:t>
            </w:r>
            <w:r w:rsidRPr="00BB11AF">
              <w:rPr>
                <w:sz w:val="24"/>
              </w:rPr>
              <w:t>i</w:t>
            </w:r>
            <w:r w:rsidRPr="00BB11AF">
              <w:rPr>
                <w:sz w:val="24"/>
              </w:rPr>
              <w:t>culture</w:t>
            </w:r>
          </w:p>
        </w:tc>
        <w:tc>
          <w:tcPr>
            <w:tcW w:w="1586" w:type="dxa"/>
            <w:tcBorders>
              <w:top w:val="single" w:sz="4" w:space="0" w:color="auto"/>
              <w:left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Segmenté</w:t>
            </w:r>
          </w:p>
        </w:tc>
        <w:tc>
          <w:tcPr>
            <w:tcW w:w="1586" w:type="dxa"/>
            <w:tcBorders>
              <w:top w:val="single" w:sz="4" w:space="0" w:color="auto"/>
              <w:left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Masc</w:t>
            </w:r>
            <w:r w:rsidRPr="00BB11AF">
              <w:rPr>
                <w:sz w:val="24"/>
              </w:rPr>
              <w:t>u</w:t>
            </w:r>
            <w:r w:rsidRPr="00BB11AF">
              <w:rPr>
                <w:sz w:val="24"/>
              </w:rPr>
              <w:t>lin</w:t>
            </w:r>
            <w:r w:rsidRPr="00BB11AF">
              <w:rPr>
                <w:sz w:val="24"/>
              </w:rPr>
              <w:br/>
              <w:t>ou Féminin</w:t>
            </w:r>
          </w:p>
        </w:tc>
        <w:tc>
          <w:tcPr>
            <w:tcW w:w="1586" w:type="dxa"/>
            <w:tcBorders>
              <w:top w:val="single" w:sz="4" w:space="0" w:color="auto"/>
              <w:left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Manuel</w:t>
            </w:r>
          </w:p>
        </w:tc>
        <w:tc>
          <w:tcPr>
            <w:tcW w:w="1586" w:type="dxa"/>
            <w:tcBorders>
              <w:top w:val="single" w:sz="4" w:space="0" w:color="auto"/>
              <w:left w:val="single" w:sz="4" w:space="0" w:color="auto"/>
              <w:right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Même que</w:t>
            </w:r>
            <w:r w:rsidRPr="00BB11AF">
              <w:rPr>
                <w:sz w:val="24"/>
              </w:rPr>
              <w:br/>
              <w:t>réside</w:t>
            </w:r>
            <w:r w:rsidRPr="00BB11AF">
              <w:rPr>
                <w:sz w:val="24"/>
              </w:rPr>
              <w:t>n</w:t>
            </w:r>
            <w:r w:rsidRPr="00BB11AF">
              <w:rPr>
                <w:sz w:val="24"/>
              </w:rPr>
              <w:t>ce</w:t>
            </w:r>
          </w:p>
        </w:tc>
      </w:tr>
      <w:tr w:rsidR="003A3061" w:rsidRPr="00BB11AF">
        <w:tblPrEx>
          <w:tblCellMar>
            <w:top w:w="0" w:type="dxa"/>
            <w:bottom w:w="0" w:type="dxa"/>
          </w:tblCellMar>
        </w:tblPrEx>
        <w:tc>
          <w:tcPr>
            <w:tcW w:w="1586" w:type="dxa"/>
            <w:tcBorders>
              <w:top w:val="single" w:sz="4" w:space="0" w:color="auto"/>
              <w:left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Indu</w:t>
            </w:r>
            <w:r w:rsidRPr="00BB11AF">
              <w:rPr>
                <w:sz w:val="24"/>
              </w:rPr>
              <w:t>s</w:t>
            </w:r>
            <w:r w:rsidRPr="00BB11AF">
              <w:rPr>
                <w:sz w:val="24"/>
              </w:rPr>
              <w:t>trie</w:t>
            </w:r>
          </w:p>
        </w:tc>
        <w:tc>
          <w:tcPr>
            <w:tcW w:w="1586" w:type="dxa"/>
            <w:tcBorders>
              <w:top w:val="single" w:sz="4" w:space="0" w:color="auto"/>
              <w:left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Divisé</w:t>
            </w:r>
          </w:p>
        </w:tc>
        <w:tc>
          <w:tcPr>
            <w:tcW w:w="1586" w:type="dxa"/>
            <w:tcBorders>
              <w:top w:val="single" w:sz="4" w:space="0" w:color="auto"/>
              <w:left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Masc</w:t>
            </w:r>
            <w:r w:rsidRPr="00BB11AF">
              <w:rPr>
                <w:sz w:val="24"/>
              </w:rPr>
              <w:t>u</w:t>
            </w:r>
            <w:r w:rsidRPr="00BB11AF">
              <w:rPr>
                <w:sz w:val="24"/>
              </w:rPr>
              <w:t>lin</w:t>
            </w:r>
          </w:p>
        </w:tc>
        <w:tc>
          <w:tcPr>
            <w:tcW w:w="1586" w:type="dxa"/>
            <w:tcBorders>
              <w:top w:val="single" w:sz="4" w:space="0" w:color="auto"/>
              <w:left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Manuel</w:t>
            </w:r>
          </w:p>
        </w:tc>
        <w:tc>
          <w:tcPr>
            <w:tcW w:w="1586" w:type="dxa"/>
            <w:tcBorders>
              <w:top w:val="single" w:sz="4" w:space="0" w:color="auto"/>
              <w:left w:val="single" w:sz="4" w:space="0" w:color="auto"/>
              <w:right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Différent que</w:t>
            </w:r>
            <w:r w:rsidRPr="00BB11AF">
              <w:rPr>
                <w:sz w:val="24"/>
              </w:rPr>
              <w:br/>
              <w:t>réside</w:t>
            </w:r>
            <w:r w:rsidRPr="00BB11AF">
              <w:rPr>
                <w:sz w:val="24"/>
              </w:rPr>
              <w:t>n</w:t>
            </w:r>
            <w:r w:rsidRPr="00BB11AF">
              <w:rPr>
                <w:sz w:val="24"/>
              </w:rPr>
              <w:t>ce</w:t>
            </w:r>
          </w:p>
        </w:tc>
      </w:tr>
      <w:tr w:rsidR="003A3061" w:rsidRPr="00BB11AF">
        <w:tblPrEx>
          <w:tblCellMar>
            <w:top w:w="0" w:type="dxa"/>
            <w:bottom w:w="0" w:type="dxa"/>
          </w:tblCellMar>
        </w:tblPrEx>
        <w:tc>
          <w:tcPr>
            <w:tcW w:w="1586" w:type="dxa"/>
            <w:tcBorders>
              <w:top w:val="single" w:sz="4" w:space="0" w:color="auto"/>
              <w:left w:val="single" w:sz="4" w:space="0" w:color="auto"/>
              <w:bottom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Service</w:t>
            </w:r>
          </w:p>
        </w:tc>
        <w:tc>
          <w:tcPr>
            <w:tcW w:w="1586" w:type="dxa"/>
            <w:tcBorders>
              <w:top w:val="single" w:sz="4" w:space="0" w:color="auto"/>
              <w:left w:val="single" w:sz="4" w:space="0" w:color="auto"/>
              <w:bottom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Intégré</w:t>
            </w:r>
          </w:p>
        </w:tc>
        <w:tc>
          <w:tcPr>
            <w:tcW w:w="1586" w:type="dxa"/>
            <w:tcBorders>
              <w:top w:val="single" w:sz="4" w:space="0" w:color="auto"/>
              <w:left w:val="single" w:sz="4" w:space="0" w:color="auto"/>
              <w:bottom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Mixte</w:t>
            </w:r>
          </w:p>
        </w:tc>
        <w:tc>
          <w:tcPr>
            <w:tcW w:w="1586" w:type="dxa"/>
            <w:tcBorders>
              <w:top w:val="single" w:sz="4" w:space="0" w:color="auto"/>
              <w:left w:val="single" w:sz="4" w:space="0" w:color="auto"/>
              <w:bottom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Intelle</w:t>
            </w:r>
            <w:r w:rsidRPr="00BB11AF">
              <w:rPr>
                <w:sz w:val="24"/>
              </w:rPr>
              <w:t>c</w:t>
            </w:r>
            <w:r w:rsidRPr="00BB11AF">
              <w:rPr>
                <w:sz w:val="24"/>
              </w:rPr>
              <w:t>tuel</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3A3061" w:rsidRPr="00BB11AF" w:rsidRDefault="003A3061" w:rsidP="003A3061">
            <w:pPr>
              <w:spacing w:before="120" w:after="120"/>
              <w:ind w:firstLine="0"/>
              <w:jc w:val="center"/>
              <w:rPr>
                <w:sz w:val="24"/>
              </w:rPr>
            </w:pPr>
            <w:r w:rsidRPr="00BB11AF">
              <w:rPr>
                <w:sz w:val="24"/>
              </w:rPr>
              <w:t>Variable</w:t>
            </w:r>
          </w:p>
        </w:tc>
      </w:tr>
    </w:tbl>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jc w:val="both"/>
      </w:pPr>
      <w:r w:rsidRPr="00BB11AF">
        <w:t>Le type de production agricole était segmenté sur la base des sexes, les femmes s'occupant du travail ménager, des enfants et de la basse-cour et les hommes travaillant aux champs-distinguant ainsi deux r</w:t>
      </w:r>
      <w:r w:rsidRPr="00BB11AF">
        <w:t>é</w:t>
      </w:r>
      <w:r w:rsidRPr="00BB11AF">
        <w:t>seaux de sociabilité malgré qu'ils prennent place dans un même lieu, la ferme familiale, une famille plus souvent étendue que nucléaire. Tous, hommes et femmes, étaient engagés dans un travail d'abord et avant tout manuel, mais l'activité des femmes et des hommes restait le plus souvent séparée. Le monde industriel</w:t>
      </w:r>
      <w:r>
        <w:t> </w:t>
      </w:r>
      <w:r>
        <w:rPr>
          <w:rStyle w:val="Appelnotedebasdep"/>
        </w:rPr>
        <w:footnoteReference w:id="96"/>
      </w:r>
      <w:r w:rsidRPr="00BB11AF">
        <w:t xml:space="preserve"> aussi répartissait strict</w:t>
      </w:r>
      <w:r w:rsidRPr="00BB11AF">
        <w:t>e</w:t>
      </w:r>
      <w:r w:rsidRPr="00BB11AF">
        <w:t>ment les fonctions féminines et masculines, cette fois entre les sph</w:t>
      </w:r>
      <w:r w:rsidRPr="00BB11AF">
        <w:t>è</w:t>
      </w:r>
      <w:r w:rsidRPr="00BB11AF">
        <w:t>res privées et publiques respectivement. Historiquement, le monde indu</w:t>
      </w:r>
      <w:r w:rsidRPr="00BB11AF">
        <w:t>s</w:t>
      </w:r>
      <w:r w:rsidRPr="00BB11AF">
        <w:t>triel et plus particulièrement le monde manufacturier était un monde d'homme-sauf l'industrie textile, ses règles et ses pratiques r</w:t>
      </w:r>
      <w:r w:rsidRPr="00BB11AF">
        <w:t>é</w:t>
      </w:r>
      <w:r w:rsidRPr="00BB11AF">
        <w:t>féraient à la sociabilité masculine. Les femmes se trouvaient exclues du monde de la production économique. Le travail domestique lui échouait dans le cadre de la famille nucléaire. Nous avons préféré ne pas ajouter une quatrième rangée à notre tableau pour lui faire une place. Car nous nous en tenons au travail rémunéré. Contrairement aux deux premiers types de</w:t>
      </w:r>
      <w:r>
        <w:t xml:space="preserve"> </w:t>
      </w:r>
      <w:r w:rsidRPr="00BB11AF">
        <w:t>[183]</w:t>
      </w:r>
      <w:r>
        <w:t xml:space="preserve"> </w:t>
      </w:r>
      <w:r w:rsidRPr="00BB11AF">
        <w:t>production, les services-sans atteindre une stricte égal</w:t>
      </w:r>
      <w:r w:rsidRPr="00BB11AF">
        <w:t>i</w:t>
      </w:r>
      <w:r w:rsidRPr="00BB11AF">
        <w:t>té des statuts et des revenus-amènent les hommes et les femmes à co</w:t>
      </w:r>
      <w:r w:rsidRPr="00BB11AF">
        <w:t>l</w:t>
      </w:r>
      <w:r w:rsidRPr="00BB11AF">
        <w:t>laborer</w:t>
      </w:r>
      <w:r>
        <w:t> </w:t>
      </w:r>
      <w:r>
        <w:rPr>
          <w:rStyle w:val="Appelnotedebasdep"/>
        </w:rPr>
        <w:footnoteReference w:id="97"/>
      </w:r>
      <w:r w:rsidRPr="00BB11AF">
        <w:t xml:space="preserve"> étro</w:t>
      </w:r>
      <w:r w:rsidRPr="00BB11AF">
        <w:t>i</w:t>
      </w:r>
      <w:r w:rsidRPr="00BB11AF">
        <w:t>tement. Cela tient en partie au fait que le travail dans les services ne repose pas sur la force physique</w:t>
      </w:r>
      <w:r>
        <w:t> </w:t>
      </w:r>
      <w:r>
        <w:rPr>
          <w:rStyle w:val="Appelnotedebasdep"/>
        </w:rPr>
        <w:footnoteReference w:id="98"/>
      </w:r>
      <w:r w:rsidRPr="00BB11AF">
        <w:t>. Un travail féminin d'abord cantonné aux fonctions subalternes qui peu à peu se transfo</w:t>
      </w:r>
      <w:r w:rsidRPr="00BB11AF">
        <w:t>r</w:t>
      </w:r>
      <w:r w:rsidRPr="00BB11AF">
        <w:t>me et d</w:t>
      </w:r>
      <w:r w:rsidRPr="00BB11AF">
        <w:t>e</w:t>
      </w:r>
      <w:r w:rsidRPr="00BB11AF">
        <w:t>vient plus varié. Et si le « plafond de verre » existe toujours, cette ba</w:t>
      </w:r>
      <w:r w:rsidRPr="00BB11AF">
        <w:t>r</w:t>
      </w:r>
      <w:r w:rsidRPr="00BB11AF">
        <w:t>rière invisible qui limite la progression des femmes dans les échelles du pouvoir organisationnel, elles ne sont plus seulement s</w:t>
      </w:r>
      <w:r w:rsidRPr="00BB11AF">
        <w:t>e</w:t>
      </w:r>
      <w:r w:rsidRPr="00BB11AF">
        <w:t>crétaires ou commis. Ce n'est donc pas uniquement au plan idéolog</w:t>
      </w:r>
      <w:r w:rsidRPr="00BB11AF">
        <w:t>i</w:t>
      </w:r>
      <w:r w:rsidRPr="00BB11AF">
        <w:t>que, avec le développement du féminisme notamment, que les ra</w:t>
      </w:r>
      <w:r w:rsidRPr="00BB11AF">
        <w:t>p</w:t>
      </w:r>
      <w:r w:rsidRPr="00BB11AF">
        <w:t>ports de sexe se sont modifiés. Hommes et femmes se sont trouvés face à face hors du cadre familial à un rythme et avec une intensité jamais vus jusqu'alors. Alors que pendant des générations les hommes et les femmes ne re</w:t>
      </w:r>
      <w:r w:rsidRPr="00BB11AF">
        <w:t>n</w:t>
      </w:r>
      <w:r w:rsidRPr="00BB11AF">
        <w:t>contraient que fort peu de personnes de l'autre sexe en dehors du cadre ou du contrôle familial, aujourd'hui ils se c</w:t>
      </w:r>
      <w:r w:rsidRPr="00BB11AF">
        <w:t>ô</w:t>
      </w:r>
      <w:r w:rsidRPr="00BB11AF">
        <w:t>toient tous les jours.</w:t>
      </w:r>
    </w:p>
    <w:p w:rsidR="003A3061" w:rsidRPr="00BB11AF" w:rsidRDefault="003A3061" w:rsidP="003A3061">
      <w:pPr>
        <w:spacing w:before="120" w:after="120"/>
        <w:jc w:val="both"/>
      </w:pPr>
      <w:r w:rsidRPr="00BB11AF">
        <w:t>C'est dans ce contexte que le féminisme connaît sa plus grande e</w:t>
      </w:r>
      <w:r w:rsidRPr="00BB11AF">
        <w:t>x</w:t>
      </w:r>
      <w:r w:rsidRPr="00BB11AF">
        <w:t>tension. Apparu dès l'aube du développement industriel, le mouv</w:t>
      </w:r>
      <w:r w:rsidRPr="00BB11AF">
        <w:t>e</w:t>
      </w:r>
      <w:r w:rsidRPr="00BB11AF">
        <w:t>ment féministe occidental avait peu progressé après avoir permis aux fe</w:t>
      </w:r>
      <w:r w:rsidRPr="00BB11AF">
        <w:t>m</w:t>
      </w:r>
      <w:r w:rsidRPr="00BB11AF">
        <w:t>mes d'acquérir le droit de vote dans la première moitié du XX</w:t>
      </w:r>
      <w:r w:rsidRPr="00BB11AF">
        <w:rPr>
          <w:vertAlign w:val="superscript"/>
        </w:rPr>
        <w:t>e</w:t>
      </w:r>
      <w:r w:rsidRPr="00BB11AF">
        <w:t xml:space="preserve"> siècle. En même temps que les revendications étudiantes à l'égalité éclatent en 1968, se forment le Mouvement de libération des femmes (MLF) et, dans les pays anglo-saxons, le </w:t>
      </w:r>
      <w:r w:rsidRPr="00BB11AF">
        <w:rPr>
          <w:i/>
        </w:rPr>
        <w:t>Women's Liberation Mov</w:t>
      </w:r>
      <w:r w:rsidRPr="00BB11AF">
        <w:rPr>
          <w:i/>
        </w:rPr>
        <w:t>e</w:t>
      </w:r>
      <w:r w:rsidRPr="00BB11AF">
        <w:rPr>
          <w:i/>
        </w:rPr>
        <w:t>ment</w:t>
      </w:r>
      <w:r w:rsidRPr="00BB11AF">
        <w:t xml:space="preserve"> (1969). Notre propos n'est pas de développer davantage cette histoire qui sans doute ne dépend pas uniquement de l'évolution du type d'emploi, mais plutôt de faire remarquer que le développ</w:t>
      </w:r>
      <w:r w:rsidRPr="00BB11AF">
        <w:t>e</w:t>
      </w:r>
      <w:r w:rsidRPr="00BB11AF">
        <w:t>ment du travail dans les services et son usage du travail des femmes à un niveau in</w:t>
      </w:r>
      <w:r w:rsidRPr="00BB11AF">
        <w:t>é</w:t>
      </w:r>
      <w:r w:rsidRPr="00BB11AF">
        <w:t>galé jusqu'alors ont favorisé l'entrée des femmes dans la force de tr</w:t>
      </w:r>
      <w:r w:rsidRPr="00BB11AF">
        <w:t>a</w:t>
      </w:r>
      <w:r w:rsidRPr="00BB11AF">
        <w:t>vail et leur accès à l'indépendance économique. Avec la généralisation de la contraception, les femmes ont pu emprunter les mêmes voies que les hommes tant dans leurs choix personnels que professionnels. Le mouvement féministe, s'il a joué un rôle certain pour l'accès à l'égalité des femmes, a profité de cette transformation profonde de l'appareil économique. Il aurait été étonnant que la pou</w:t>
      </w:r>
      <w:r w:rsidRPr="00BB11AF">
        <w:t>r</w:t>
      </w:r>
      <w:r w:rsidRPr="00BB11AF">
        <w:t>suite d'une économie fondée sur le travail de force en industrie lui ait donné la même oppo</w:t>
      </w:r>
      <w:r w:rsidRPr="00BB11AF">
        <w:t>r</w:t>
      </w:r>
      <w:r w:rsidRPr="00BB11AF">
        <w:t>tunité. Inversement, l'absence d'un mouvement féministe fort, tel qu'on le voit dans le Japon contemporain, aurait laissé les femmes loin derrière les hommes (voir Mirza dans cet o</w:t>
      </w:r>
      <w:r w:rsidRPr="00BB11AF">
        <w:t>u</w:t>
      </w:r>
      <w:r w:rsidRPr="00BB11AF">
        <w:t>vrage).</w:t>
      </w:r>
    </w:p>
    <w:p w:rsidR="003A3061" w:rsidRPr="00BB11AF" w:rsidRDefault="003A3061" w:rsidP="003A3061">
      <w:pPr>
        <w:spacing w:before="120" w:after="120"/>
        <w:jc w:val="both"/>
      </w:pPr>
      <w:r w:rsidRPr="00BB11AF">
        <w:t>Les institutions qui régissaient les rapports interpersonnels att</w:t>
      </w:r>
      <w:r w:rsidRPr="00BB11AF">
        <w:t>a</w:t>
      </w:r>
      <w:r w:rsidRPr="00BB11AF">
        <w:t>quées au plan idéologique par le féminisme, remises en question dans leurs fondements empiriques par le développement des services, s'en sont trouvées profondément bouleversées. Le divorce a été ajouté au rég</w:t>
      </w:r>
      <w:r w:rsidRPr="00BB11AF">
        <w:t>i</w:t>
      </w:r>
      <w:r w:rsidRPr="00BB11AF">
        <w:t>me régissant les rapports entre les époux là où il n'existait pas et partout il a augmenté. La pratique du mariage a périclité dans de nombreux pays. La fécondité a baissé partout dans les pays occide</w:t>
      </w:r>
      <w:r w:rsidRPr="00BB11AF">
        <w:t>n</w:t>
      </w:r>
      <w:r w:rsidRPr="00BB11AF">
        <w:t>taux - bien que ce phénomène commence bien avant le XX</w:t>
      </w:r>
      <w:r w:rsidRPr="00BB11AF">
        <w:rPr>
          <w:vertAlign w:val="superscript"/>
        </w:rPr>
        <w:t>e</w:t>
      </w:r>
      <w:r w:rsidRPr="00BB11AF">
        <w:t xml:space="preserve"> siècle il s'est accéléré après les générations plus nombreuses identifiées au B</w:t>
      </w:r>
      <w:r w:rsidRPr="00BB11AF">
        <w:t>a</w:t>
      </w:r>
      <w:r w:rsidRPr="00BB11AF">
        <w:t>by-Boom de l'après-guerre. L'évolution des grands indicateurs de la f</w:t>
      </w:r>
      <w:r w:rsidRPr="00BB11AF">
        <w:t>a</w:t>
      </w:r>
      <w:r w:rsidRPr="00BB11AF">
        <w:t>mille au Québec illustre fort bien la désinstitution de la famille qu'a décrite Tahon (1995). Depuis le début du</w:t>
      </w:r>
      <w:r>
        <w:t xml:space="preserve"> </w:t>
      </w:r>
      <w:r w:rsidRPr="00BB11AF">
        <w:t>[184]</w:t>
      </w:r>
      <w:r>
        <w:t xml:space="preserve"> </w:t>
      </w:r>
      <w:r w:rsidRPr="00BB11AF">
        <w:t>siècle et surtout après la Seconde Guerre mondiale, le Québec a connu une transition dém</w:t>
      </w:r>
      <w:r w:rsidRPr="00BB11AF">
        <w:t>o</w:t>
      </w:r>
      <w:r w:rsidRPr="00BB11AF">
        <w:t>graphique radicale. Les taux de fécondité et de nuptialité se sont e</w:t>
      </w:r>
      <w:r w:rsidRPr="00BB11AF">
        <w:t>f</w:t>
      </w:r>
      <w:r w:rsidRPr="00BB11AF">
        <w:t>fondrés. C'est un chemin qu'a suivi tout l'Occ</w:t>
      </w:r>
      <w:r w:rsidRPr="00BB11AF">
        <w:t>i</w:t>
      </w:r>
      <w:r w:rsidRPr="00BB11AF">
        <w:t>dent chrétien, selon des temporalités diverses, mais aussi, sur le plan de la fécondité nota</w:t>
      </w:r>
      <w:r w:rsidRPr="00BB11AF">
        <w:t>m</w:t>
      </w:r>
      <w:r w:rsidRPr="00BB11AF">
        <w:t>ment, les pays islamiques (Todd et Courbage 2007). Le taux de divo</w:t>
      </w:r>
      <w:r w:rsidRPr="00BB11AF">
        <w:t>r</w:t>
      </w:r>
      <w:r w:rsidRPr="00BB11AF">
        <w:t>ce et de naissances hors mariage ont suivi le chemin inverse. Ici, le Québec se distingue par l'importance du mo</w:t>
      </w:r>
      <w:r w:rsidRPr="00BB11AF">
        <w:t>u</w:t>
      </w:r>
      <w:r w:rsidRPr="00BB11AF">
        <w:t>vement, mais la plupart des pays de l'Europe de l'Ouest connaissent des te</w:t>
      </w:r>
      <w:r w:rsidRPr="00BB11AF">
        <w:t>n</w:t>
      </w:r>
      <w:r w:rsidRPr="00BB11AF">
        <w:t>dances similaires.</w:t>
      </w:r>
    </w:p>
    <w:p w:rsidR="003A3061" w:rsidRPr="00BB11AF" w:rsidRDefault="003A3061" w:rsidP="003A3061">
      <w:pPr>
        <w:spacing w:before="120" w:after="120"/>
        <w:jc w:val="both"/>
      </w:pPr>
      <w:r w:rsidRPr="00BB11AF">
        <w:t>Il faut bien comprendre ici que la position du mouvement fémini</w:t>
      </w:r>
      <w:r w:rsidRPr="00BB11AF">
        <w:t>s</w:t>
      </w:r>
      <w:r w:rsidRPr="00BB11AF">
        <w:t>te, malgré son insistance sur l'accès à la contraception et le droit à l'avo</w:t>
      </w:r>
      <w:r w:rsidRPr="00BB11AF">
        <w:t>r</w:t>
      </w:r>
      <w:r w:rsidRPr="00BB11AF">
        <w:t>tement, n'était pas en soi de réduire la fécondité ou la nuptialité. Non plus l'augmentation du divorce ou du nombre de naissances hors m</w:t>
      </w:r>
      <w:r w:rsidRPr="00BB11AF">
        <w:t>a</w:t>
      </w:r>
      <w:r w:rsidRPr="00BB11AF">
        <w:t>riage n'était dans les listes de ses objectifs. Sans doute y eut-il des groupuscules qui revendiquaient l'abolition du mariage ou de la m</w:t>
      </w:r>
      <w:r w:rsidRPr="00BB11AF">
        <w:t>a</w:t>
      </w:r>
      <w:r w:rsidRPr="00BB11AF">
        <w:t>ternité, mais dans l'ensemble les revendications visaient l'égalité entre les sexes au sein de la famille, une paternité plus active nota</w:t>
      </w:r>
      <w:r w:rsidRPr="00BB11AF">
        <w:t>m</w:t>
      </w:r>
      <w:r w:rsidRPr="00BB11AF">
        <w:t>ment et les transformations des institutions oppressives (mariage, p</w:t>
      </w:r>
      <w:r w:rsidRPr="00BB11AF">
        <w:t>a</w:t>
      </w:r>
      <w:r w:rsidRPr="00BB11AF">
        <w:t>rentalité, patriarcat), un accès plus facile au travail puis aux postes de décision et un salaire égal (Tahon 1995). Ce n'est que dans un de</w:t>
      </w:r>
      <w:r w:rsidRPr="00BB11AF">
        <w:t>u</w:t>
      </w:r>
      <w:r w:rsidRPr="00BB11AF">
        <w:t>xième temps que le mouvement féministe s'est engagé fermement en faveur des minorités sexuelles et ethniques, voire des minorités en général. Ce sont autant les conditions objectives du travail des femmes, l'absence de garderies en milieu de travail ou des horaires qui leur permettraient de s'occuper de leurs enfants - des revendications portées par le mo</w:t>
      </w:r>
      <w:r w:rsidRPr="00BB11AF">
        <w:t>u</w:t>
      </w:r>
      <w:r w:rsidRPr="00BB11AF">
        <w:t>vement des femmes, qui ont amené bien des femmes à limiter le no</w:t>
      </w:r>
      <w:r w:rsidRPr="00BB11AF">
        <w:t>m</w:t>
      </w:r>
      <w:r w:rsidRPr="00BB11AF">
        <w:t>bre de leurs enfants. On note d'ailleurs une r</w:t>
      </w:r>
      <w:r w:rsidRPr="00BB11AF">
        <w:t>e</w:t>
      </w:r>
      <w:r w:rsidRPr="00BB11AF">
        <w:t>montée récente des taux de fécondité dans les pays les plus riches, là où le travail des femmes est très élevé et où différentes politiques ont été mises en place en r</w:t>
      </w:r>
      <w:r w:rsidRPr="00BB11AF">
        <w:t>é</w:t>
      </w:r>
      <w:r w:rsidRPr="00BB11AF">
        <w:t>ponse à ces revendications (Luci et Thévenon 2011).</w:t>
      </w:r>
    </w:p>
    <w:p w:rsidR="003A3061" w:rsidRPr="00BB11AF" w:rsidRDefault="003A3061" w:rsidP="003A3061">
      <w:pPr>
        <w:spacing w:before="120" w:after="120"/>
        <w:jc w:val="both"/>
      </w:pPr>
      <w:r w:rsidRPr="00BB11AF">
        <w:t>Revenons un moment à la problématique du suicide, considéré ici comme un indicateur dramatique des ruptures sociales. On peut mai</w:t>
      </w:r>
      <w:r w:rsidRPr="00BB11AF">
        <w:t>n</w:t>
      </w:r>
      <w:r w:rsidRPr="00BB11AF">
        <w:t>tenant répondre à la double question de la montée du suicide des hommes et des jeunes. Les transformations rapides de la structure d'emploi et des rapports de sexe qui en découlent rendent plus difficile de se projeter dans l'avenir. La situation des hommes en a été radic</w:t>
      </w:r>
      <w:r w:rsidRPr="00BB11AF">
        <w:t>a</w:t>
      </w:r>
      <w:r w:rsidRPr="00BB11AF">
        <w:t>lement modifiée. Ils ont perdu la place qu'ils occupaient au sein de l'appareil productif et de la famille, aussi bien que la sociabilité ma</w:t>
      </w:r>
      <w:r w:rsidRPr="00BB11AF">
        <w:t>s</w:t>
      </w:r>
      <w:r w:rsidRPr="00BB11AF">
        <w:t>culine au travail en a été profondément modifiée sans solution de remplacement. Ils ont connu ce que Chandler et Lalonde (1998) ont appelé, dans le contexte du suicide des Amérindiens, une discontinuité culturelle radicale. La colonisation a rendu caduques les ressources culturelles des Amérindiens qui ne pouvaient plus référer à leur trad</w:t>
      </w:r>
      <w:r w:rsidRPr="00BB11AF">
        <w:t>i</w:t>
      </w:r>
      <w:r w:rsidRPr="00BB11AF">
        <w:t>tion pour guider leur comportement actuel. Une discontinuité d'autant plus déstabilisante que se modifient à la fois les rapports de produ</w:t>
      </w:r>
      <w:r w:rsidRPr="00BB11AF">
        <w:t>c</w:t>
      </w:r>
      <w:r w:rsidRPr="00BB11AF">
        <w:t>tion et les rapports de sexe. C'est pourquoi le suicide est particulièr</w:t>
      </w:r>
      <w:r w:rsidRPr="00BB11AF">
        <w:t>e</w:t>
      </w:r>
      <w:r w:rsidRPr="00BB11AF">
        <w:t>ment élevé là où le passage vers une économie de service se fait enc</w:t>
      </w:r>
      <w:r w:rsidRPr="00BB11AF">
        <w:t>o</w:t>
      </w:r>
      <w:r w:rsidRPr="00BB11AF">
        <w:t>re sentir révélant l'inadéquation des jeunes hommes restés attachés aux anciens modèles de travailleurs et d'hommes, comme mari, père ou fils</w:t>
      </w:r>
      <w:r>
        <w:t xml:space="preserve"> </w:t>
      </w:r>
      <w:r w:rsidRPr="00BB11AF">
        <w:t>[185]</w:t>
      </w:r>
      <w:r>
        <w:t xml:space="preserve"> </w:t>
      </w:r>
      <w:r w:rsidRPr="00BB11AF">
        <w:t>(Dagenais 2007). Sans modèles ni repères ou plus just</w:t>
      </w:r>
      <w:r w:rsidRPr="00BB11AF">
        <w:t>e</w:t>
      </w:r>
      <w:r w:rsidRPr="00BB11AF">
        <w:t>ment entre deux modèles, les jeunes hommes peuvent difficilement se projeter dans le futur tant au plan personnel que professionnel. Leur ra</w:t>
      </w:r>
      <w:r w:rsidRPr="00BB11AF">
        <w:t>p</w:t>
      </w:r>
      <w:r w:rsidRPr="00BB11AF">
        <w:t>port à l'avenir est strictement individuel et performatif. La situation est différente chez les femmes. Soit, elles ont subi le même chang</w:t>
      </w:r>
      <w:r w:rsidRPr="00BB11AF">
        <w:t>e</w:t>
      </w:r>
      <w:r w:rsidRPr="00BB11AF">
        <w:t>ment objectif que les hommes, même transformation accélérée de l'a</w:t>
      </w:r>
      <w:r w:rsidRPr="00BB11AF">
        <w:t>c</w:t>
      </w:r>
      <w:r w:rsidRPr="00BB11AF">
        <w:t>tivité et de la sociabilité. La discontinuité culturelle a cependant été présentée et perçue comme positive. Le féminisme a eu un effet pr</w:t>
      </w:r>
      <w:r w:rsidRPr="00BB11AF">
        <w:t>o</w:t>
      </w:r>
      <w:r w:rsidRPr="00BB11AF">
        <w:t>tecteur pour les jeunes femmes. Les changements vécus étaient perçus comme désir</w:t>
      </w:r>
      <w:r w:rsidRPr="00BB11AF">
        <w:t>a</w:t>
      </w:r>
      <w:r w:rsidRPr="00BB11AF">
        <w:t>bles, comme des étapes dans une libération culturelle plutôt que comme une simple rupture culturelle (Tremblay 2007).</w:t>
      </w:r>
    </w:p>
    <w:p w:rsidR="003A3061" w:rsidRPr="00BB11AF" w:rsidRDefault="003A3061" w:rsidP="003A3061">
      <w:pPr>
        <w:spacing w:before="120" w:after="120"/>
        <w:jc w:val="both"/>
      </w:pPr>
      <w:r w:rsidRPr="00BB11AF">
        <w:t>Au total, que l'on considère les objectifs et les actions des groupes v</w:t>
      </w:r>
      <w:r w:rsidRPr="00BB11AF">
        <w:t>i</w:t>
      </w:r>
      <w:r w:rsidRPr="00BB11AF">
        <w:t>sant à rompre avec une tradition oppressive ou les transformations objectives et largement indépendantes des mouvements idéologiques concomitants, nous sommes devant le même constat d'abolition du passé comme référent culturel valable. Pour les mouvements portés par les idées féministes et socialistes que l'on appelait les progressi</w:t>
      </w:r>
      <w:r w:rsidRPr="00BB11AF">
        <w:t>s</w:t>
      </w:r>
      <w:r w:rsidRPr="00BB11AF">
        <w:t>tes, cette rupture était une étape nécessaire pour la réalisation d'une société nouvelle plus satisfaisante. Examinons maintenant jusqu'à quel point ces promesses de progrès social se sont concrétisées.</w:t>
      </w:r>
    </w:p>
    <w:p w:rsidR="003A3061" w:rsidRPr="00BB11AF" w:rsidRDefault="003A3061" w:rsidP="003A3061">
      <w:pPr>
        <w:spacing w:before="120" w:after="120"/>
        <w:jc w:val="both"/>
      </w:pPr>
    </w:p>
    <w:p w:rsidR="003A3061" w:rsidRPr="00BB11AF" w:rsidRDefault="003A3061" w:rsidP="003A3061">
      <w:pPr>
        <w:pStyle w:val="planche"/>
      </w:pPr>
      <w:r w:rsidRPr="00BB11AF">
        <w:t>Les promesses du progrès social</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Les mouvements issus des années 1960 se sont définis comme « pr</w:t>
      </w:r>
      <w:r w:rsidRPr="00BB11AF">
        <w:t>o</w:t>
      </w:r>
      <w:r w:rsidRPr="00BB11AF">
        <w:t>gressistes », « des forces du changement », tout entier tournés vers la promesse d'un avenir meilleur. Le projet de société qu'ils pr</w:t>
      </w:r>
      <w:r w:rsidRPr="00BB11AF">
        <w:t>o</w:t>
      </w:r>
      <w:r w:rsidRPr="00BB11AF">
        <w:t>posaient reposait largement sur une vision du socialisme inspirée du marxisme et sur une remise en question des rapports de sexe. Au Québec, la question nationale était centrale. La domination, qu'elle soit ethnolinguistique, classiste ou sexiste était une des cibles princ</w:t>
      </w:r>
      <w:r w:rsidRPr="00BB11AF">
        <w:t>i</w:t>
      </w:r>
      <w:r w:rsidRPr="00BB11AF">
        <w:t>pales de ces mouvements. L'exploitation, son corollaire, était égal</w:t>
      </w:r>
      <w:r w:rsidRPr="00BB11AF">
        <w:t>e</w:t>
      </w:r>
      <w:r w:rsidRPr="00BB11AF">
        <w:t>ment dans la mire. L'opposition était claire entre les forces de cha</w:t>
      </w:r>
      <w:r w:rsidRPr="00BB11AF">
        <w:t>n</w:t>
      </w:r>
      <w:r w:rsidRPr="00BB11AF">
        <w:t>gements et les forces conservatrices. Les premières visaient l'égalité. Les secondes reproduisaient l'inégalité. On voulait réduire à néant tout ce qui réduisait les chances que chacun se développe selon ses aspir</w:t>
      </w:r>
      <w:r w:rsidRPr="00BB11AF">
        <w:t>a</w:t>
      </w:r>
      <w:r w:rsidRPr="00BB11AF">
        <w:t>tions et ses possibilités. On voyait d'ailleurs ces dernières comme fo</w:t>
      </w:r>
      <w:r w:rsidRPr="00BB11AF">
        <w:t>n</w:t>
      </w:r>
      <w:r w:rsidRPr="00BB11AF">
        <w:t>damental</w:t>
      </w:r>
      <w:r w:rsidRPr="00BB11AF">
        <w:t>e</w:t>
      </w:r>
      <w:r w:rsidRPr="00BB11AF">
        <w:t>ment égales une fois que l'on aurait éliminé les facteurs de reproduction des classes. En sociologie et pas qu'au Québec, on di</w:t>
      </w:r>
      <w:r w:rsidRPr="00BB11AF">
        <w:t>s</w:t>
      </w:r>
      <w:r w:rsidRPr="00BB11AF">
        <w:t>tinguait les écoles de pensée selon qu'elles préconisaient le chang</w:t>
      </w:r>
      <w:r w:rsidRPr="00BB11AF">
        <w:t>e</w:t>
      </w:r>
      <w:r w:rsidRPr="00BB11AF">
        <w:t>ment ou voyaient la société comme un jeu d'équilibre, vantant sa st</w:t>
      </w:r>
      <w:r w:rsidRPr="00BB11AF">
        <w:t>a</w:t>
      </w:r>
      <w:r w:rsidRPr="00BB11AF">
        <w:t>bilité. Pour simplifier, il y avait les auteurs marxistes et souvent stru</w:t>
      </w:r>
      <w:r w:rsidRPr="00BB11AF">
        <w:t>c</w:t>
      </w:r>
      <w:r w:rsidRPr="00BB11AF">
        <w:t>turo-marxistes d'un côté et les auteurs fonctionnalistes ou structuro-fonctionnalistes de l'autre.</w:t>
      </w:r>
    </w:p>
    <w:p w:rsidR="003A3061" w:rsidRPr="00BB11AF" w:rsidRDefault="003A3061" w:rsidP="003A3061">
      <w:pPr>
        <w:spacing w:before="120" w:after="120"/>
        <w:jc w:val="both"/>
      </w:pPr>
      <w:r w:rsidRPr="00BB11AF">
        <w:t>Une bonne partie de ces débats et de ces classifications n'ont plus cours aujourd'hui. Divers facteurs ont joué dans cet effacement. La chute du communisme a mis fin à un idéal. La confirmation de la</w:t>
      </w:r>
      <w:r>
        <w:t xml:space="preserve"> </w:t>
      </w:r>
      <w:r w:rsidRPr="00BB11AF">
        <w:t>[186]</w:t>
      </w:r>
      <w:r>
        <w:t xml:space="preserve"> </w:t>
      </w:r>
      <w:r w:rsidRPr="00BB11AF">
        <w:t>cruauté et de l'arbitraire du régime soviétique et sa corruption généralisée que le mur de Berlin ne cachait plus a écœuré ses plus a</w:t>
      </w:r>
      <w:r w:rsidRPr="00BB11AF">
        <w:t>r</w:t>
      </w:r>
      <w:r w:rsidRPr="00BB11AF">
        <w:t>dents défenseurs, ou presque. Le succès de vente (700 000 exempla</w:t>
      </w:r>
      <w:r w:rsidRPr="00BB11AF">
        <w:t>i</w:t>
      </w:r>
      <w:r w:rsidRPr="00BB11AF">
        <w:t>res, 23 langues) du livre de Stéphane Courtois, Le livre noir du co</w:t>
      </w:r>
      <w:r w:rsidRPr="00BB11AF">
        <w:t>m</w:t>
      </w:r>
      <w:r w:rsidRPr="00BB11AF">
        <w:t>munisme, autant que le débat qu'il a soulevé, indiquent bien comment accepter ce que le livre révélait était difficile pour certains. À l'Ouest, l'épreuve du pouvoir réel a forcé les partis progressistes à se conduire en parti de gouvernement. Mitterrand II a renié Mitterrand I et Jospin, à l'e</w:t>
      </w:r>
      <w:r w:rsidRPr="00BB11AF">
        <w:t>x</w:t>
      </w:r>
      <w:r w:rsidRPr="00BB11AF">
        <w:t>ception de certaines politiques familiales progressistes, ne fut qu'un gestionnaire. Le Parti communiste français obtînt moins de 2% du v</w:t>
      </w:r>
      <w:r w:rsidRPr="00BB11AF">
        <w:t>o</w:t>
      </w:r>
      <w:r w:rsidRPr="00BB11AF">
        <w:t>te la dernière fois qu'il se présenta de manière indépendante en 2007. Le « New Labour » britannique a d'abord été perçu comme une bou</w:t>
      </w:r>
      <w:r w:rsidRPr="00BB11AF">
        <w:t>f</w:t>
      </w:r>
      <w:r w:rsidRPr="00BB11AF">
        <w:t>fée d'air frais après des années de « Thatchérisme », mais le règne de Blair s'est terminé sous un déluge de critiques. Au Québec, le Parti Québécois (PQ) a été au pouvoir à plusieurs reprises sans parvenir à réaliser l'indépendance du Québec. Le PQ idéaliste de 1976 est dev</w:t>
      </w:r>
      <w:r w:rsidRPr="00BB11AF">
        <w:t>e</w:t>
      </w:r>
      <w:r w:rsidRPr="00BB11AF">
        <w:t>nu « un bon gouvernement », puis un gouvernement tout court, sous la gouverne de Lucien Bouchard qui entreprit des coupes massives en santé notamment. L'indépendance ne rallie plus les foules. C'est même un répulsif électoral certain. Les « forces progre</w:t>
      </w:r>
      <w:r w:rsidRPr="00BB11AF">
        <w:t>s</w:t>
      </w:r>
      <w:r w:rsidRPr="00BB11AF">
        <w:t>sistes » sont entrées dans un long sommeil. Elles sont peu à peu remplacées par le mo</w:t>
      </w:r>
      <w:r w:rsidRPr="00BB11AF">
        <w:t>u</w:t>
      </w:r>
      <w:r w:rsidRPr="00BB11AF">
        <w:t>vement altermondialiste, pour qui le credo enviro</w:t>
      </w:r>
      <w:r w:rsidRPr="00BB11AF">
        <w:t>n</w:t>
      </w:r>
      <w:r w:rsidRPr="00BB11AF">
        <w:t>nementaliste rend suspect la notion même de progrès, mais on est encore très loin de pouvoir gagner une élection sur l'idée de décroissance (voir Abraham dans cet ouvrage). Le parti politique Québec Solidaire est un exemple de ce nouveau type de mouvement « progressiste ». Voici comment il présente sa raison d'être :</w:t>
      </w:r>
    </w:p>
    <w:p w:rsidR="003A3061" w:rsidRDefault="003A3061" w:rsidP="003A3061">
      <w:pPr>
        <w:pStyle w:val="Grillecouleur-Accent1"/>
      </w:pPr>
    </w:p>
    <w:p w:rsidR="003A3061" w:rsidRDefault="003A3061" w:rsidP="003A3061">
      <w:pPr>
        <w:pStyle w:val="Grillecouleur-Accent1"/>
      </w:pPr>
      <w:r w:rsidRPr="00BB11AF">
        <w:t>Avant la création de Québec solidaire, aucun parti n'offrait de pr</w:t>
      </w:r>
      <w:r w:rsidRPr="00BB11AF">
        <w:t>o</w:t>
      </w:r>
      <w:r w:rsidRPr="00BB11AF">
        <w:t>jet écologiste. Les valeurs d'égalité et de justice sociale perdaient du terrain au profit de l'individualisme. Le féminisme était conspué ou simplement relégué aux oubliettes alors qu'il a tant apporté au Qu</w:t>
      </w:r>
      <w:r w:rsidRPr="00BB11AF">
        <w:t>é</w:t>
      </w:r>
      <w:r w:rsidRPr="00BB11AF">
        <w:t>bec. Plus encore, à l'Assemblée nati</w:t>
      </w:r>
      <w:r w:rsidRPr="00BB11AF">
        <w:t>o</w:t>
      </w:r>
      <w:r w:rsidRPr="00BB11AF">
        <w:t xml:space="preserve">nale, tous s'entendaient pour dire qu'il fallait obéir aux sacrosaintes lois d'une économie dérégulée sans jamais les remettre en question (Québec Solidaire </w:t>
      </w:r>
      <w:r w:rsidRPr="0037521C">
        <w:rPr>
          <w:bCs/>
        </w:rPr>
        <w:t>2012</w:t>
      </w:r>
      <w:r w:rsidRPr="00BB11AF">
        <w:t>).</w:t>
      </w:r>
    </w:p>
    <w:p w:rsidR="003A3061" w:rsidRPr="00BB11AF" w:rsidRDefault="003A3061" w:rsidP="003A3061">
      <w:pPr>
        <w:pStyle w:val="Grillecouleur-Accent1"/>
      </w:pPr>
    </w:p>
    <w:p w:rsidR="003A3061" w:rsidRPr="00BB11AF" w:rsidRDefault="003A3061" w:rsidP="003A3061">
      <w:pPr>
        <w:spacing w:before="120" w:after="120"/>
        <w:jc w:val="both"/>
      </w:pPr>
      <w:r w:rsidRPr="00BB11AF">
        <w:t>Les syndicats ouvriers, souvent le fer de lance des mouvements progressistes, ont perdu pied en même temps que les industries dans lesquelles ils s'étaient enracinés. Souvent résumés à quelques indu</w:t>
      </w:r>
      <w:r w:rsidRPr="00BB11AF">
        <w:t>s</w:t>
      </w:r>
      <w:r w:rsidRPr="00BB11AF">
        <w:t>tries et plus particulièrement dans le monde anglo-saxon, ils ont été vus comme un simple corporatisme dévoué à la défense de ses me</w:t>
      </w:r>
      <w:r w:rsidRPr="00BB11AF">
        <w:t>m</w:t>
      </w:r>
      <w:r w:rsidRPr="00BB11AF">
        <w:t>bres au détriment de la population. Et si au Québec ils ont réussi à s'implanter dans le secteur public, ce qui ne les rendit pas plus pop</w:t>
      </w:r>
      <w:r w:rsidRPr="00BB11AF">
        <w:t>u</w:t>
      </w:r>
      <w:r w:rsidRPr="00BB11AF">
        <w:t>laires, leur crédibilité à défendre l'intérêt général n'a pas survécu à la dimin</w:t>
      </w:r>
      <w:r w:rsidRPr="00BB11AF">
        <w:t>u</w:t>
      </w:r>
      <w:r w:rsidRPr="00BB11AF">
        <w:t>tion de leurs effectifs dans le secteur privé. Lorsqu'on dénigre le « modèle québécois », c'est souvent à leur influence que l'on pense en premier.</w:t>
      </w:r>
    </w:p>
    <w:p w:rsidR="003A3061" w:rsidRPr="00BB11AF" w:rsidRDefault="003A3061" w:rsidP="003A3061">
      <w:pPr>
        <w:spacing w:before="120" w:after="120"/>
        <w:jc w:val="both"/>
      </w:pPr>
      <w:r w:rsidRPr="00BB11AF">
        <w:t>C'est à dessein que nous avons diminué ici l'impact des gouvern</w:t>
      </w:r>
      <w:r w:rsidRPr="00BB11AF">
        <w:t>e</w:t>
      </w:r>
      <w:r w:rsidRPr="00BB11AF">
        <w:t>ments de gauche. C'est lorsqu'on a un vrai gouvernement de droite, pensons à Harper, Cameron ou Sarkozy, qu'on se met à apprécier la</w:t>
      </w:r>
      <w:r>
        <w:t xml:space="preserve"> </w:t>
      </w:r>
      <w:r w:rsidRPr="00BB11AF">
        <w:t>[187]</w:t>
      </w:r>
      <w:r>
        <w:t xml:space="preserve"> </w:t>
      </w:r>
      <w:r w:rsidRPr="00BB11AF">
        <w:t>différence. Néanmoins, certaines des mesures les plus dures e</w:t>
      </w:r>
      <w:r w:rsidRPr="00BB11AF">
        <w:t>n</w:t>
      </w:r>
      <w:r w:rsidRPr="00BB11AF">
        <w:t>vers le mouvement syndical furent mises en œuvre par des gouvern</w:t>
      </w:r>
      <w:r w:rsidRPr="00BB11AF">
        <w:t>e</w:t>
      </w:r>
      <w:r w:rsidRPr="00BB11AF">
        <w:t>ments de gauche. Ce que nous voulons surtout souligner c'est la d</w:t>
      </w:r>
      <w:r w:rsidRPr="00BB11AF">
        <w:t>é</w:t>
      </w:r>
      <w:r w:rsidRPr="00BB11AF">
        <w:t>ception envers les promesses des gouvernements « progressistes ». Le dése</w:t>
      </w:r>
      <w:r w:rsidRPr="00BB11AF">
        <w:t>n</w:t>
      </w:r>
      <w:r w:rsidRPr="00BB11AF">
        <w:t>chantement envers le discours de gauche est partout palpable. Le dernier en lice est sans doute celui envers Barack Obama dont la r</w:t>
      </w:r>
      <w:r w:rsidRPr="00BB11AF">
        <w:t>é</w:t>
      </w:r>
      <w:r w:rsidRPr="00BB11AF">
        <w:t>élection devant un pire que lui ne change pas le sentiment de déce</w:t>
      </w:r>
      <w:r w:rsidRPr="00BB11AF">
        <w:t>p</w:t>
      </w:r>
      <w:r w:rsidRPr="00BB11AF">
        <w:t>tion (lire John R. MacArthur dans l'un ou l'autre de ses articles dans Le Devoir ou Harper's). Pour beaucoup d'électeurs, tous les partis se v</w:t>
      </w:r>
      <w:r w:rsidRPr="00BB11AF">
        <w:t>a</w:t>
      </w:r>
      <w:r w:rsidRPr="00BB11AF">
        <w:t>lent et on est prêt à essayer les solutions les plus farfelues puisqu'on ne peut se fier au discours de ceux qu'on aimait. Les Le Pen (FN), Dumont (ADQ) ou Legault (CAQ), voire la vague orange lors des élections fédérales canadiennes de 2010 qui a donné au Nouveau parti démocratique (NPD) la majorité des sièges au Québec alors que ce parti de gauche, mais fédéraliste n'avait jamais pu faire élire plus qu'un ou deux débutés dans cette province, ne sont que des exemples interchangeables de la recherche d'un électorat désemparé.</w:t>
      </w:r>
    </w:p>
    <w:p w:rsidR="003A3061" w:rsidRPr="00BB11AF" w:rsidRDefault="003A3061" w:rsidP="003A3061">
      <w:pPr>
        <w:spacing w:before="120" w:after="120"/>
        <w:jc w:val="both"/>
      </w:pPr>
      <w:r w:rsidRPr="00BB11AF">
        <w:t>Même si le féminisme a joué un rôle fondamental au plan micros</w:t>
      </w:r>
      <w:r w:rsidRPr="00BB11AF">
        <w:t>o</w:t>
      </w:r>
      <w:r w:rsidRPr="00BB11AF">
        <w:t>cial, il est difficile de considérer son apport sur le plan des politiques gl</w:t>
      </w:r>
      <w:r w:rsidRPr="00BB11AF">
        <w:t>o</w:t>
      </w:r>
      <w:r w:rsidRPr="00BB11AF">
        <w:t>bales. S'il y a eu des féministes dans des postes de responsabilité et des mesures sociales s'en inspirant, aucun parti proprement féministe n'a exercé le pouvoir. Un des grands indicateurs de progrès des fe</w:t>
      </w:r>
      <w:r w:rsidRPr="00BB11AF">
        <w:t>m</w:t>
      </w:r>
      <w:r w:rsidRPr="00BB11AF">
        <w:t>mes est l'éducation supérieure où elles devancent maintenant les hommes. Mais leur progrès au sein de l'enseignement supérieur ne se traduit pas par des gains équivalents dans le monde du travail, même dans les universités, où les meilleurs postes et salaires reviennent g</w:t>
      </w:r>
      <w:r w:rsidRPr="00BB11AF">
        <w:t>é</w:t>
      </w:r>
      <w:r w:rsidRPr="00BB11AF">
        <w:t>néralement encore aux hommes. Et si le mouvement féministe a perdu de son influence et de son pouvoir d'attraction auprès des générations qui ont suivi celles des années 1970, les jeunes femmes occidentales sont de plus en plus nombreuses à se projeter dans un univers à la fois professionnel et familial, même devant les difficultés pratiques de concilier les deux. La crise de 2008 a fait des femmes le groupe le plus nombreux sur le marché du travail américain. Les pertes de plus de 5 millions d'emplois manufacturiers en sont la principale cause (Rosin 2012). Cela dit, la notion d'égalité des sexes a sans doute d</w:t>
      </w:r>
      <w:r w:rsidRPr="00BB11AF">
        <w:t>a</w:t>
      </w:r>
      <w:r w:rsidRPr="00BB11AF">
        <w:t>vantage progressé que celle d'égalité des conditions qui, elle, a régre</w:t>
      </w:r>
      <w:r w:rsidRPr="00BB11AF">
        <w:t>s</w:t>
      </w:r>
      <w:r w:rsidRPr="00BB11AF">
        <w:t>sé.</w:t>
      </w:r>
    </w:p>
    <w:p w:rsidR="003A3061" w:rsidRPr="00BB11AF" w:rsidRDefault="003A3061" w:rsidP="003A3061">
      <w:pPr>
        <w:spacing w:before="120" w:after="120"/>
        <w:jc w:val="both"/>
      </w:pPr>
      <w:r w:rsidRPr="00BB11AF">
        <w:t>[188]</w:t>
      </w:r>
    </w:p>
    <w:p w:rsidR="003A3061" w:rsidRPr="00BB11AF" w:rsidRDefault="003A3061" w:rsidP="003A3061">
      <w:pPr>
        <w:spacing w:before="120" w:after="120"/>
        <w:jc w:val="both"/>
      </w:pPr>
    </w:p>
    <w:p w:rsidR="003A3061" w:rsidRPr="00BB11AF" w:rsidRDefault="003A3061" w:rsidP="003A3061">
      <w:pPr>
        <w:spacing w:before="120" w:after="120"/>
        <w:ind w:firstLine="0"/>
        <w:jc w:val="center"/>
        <w:rPr>
          <w:b/>
          <w:bCs/>
          <w:sz w:val="24"/>
          <w:szCs w:val="24"/>
        </w:rPr>
      </w:pPr>
      <w:r w:rsidRPr="00BB11AF">
        <w:rPr>
          <w:b/>
          <w:bCs/>
          <w:sz w:val="24"/>
          <w:szCs w:val="24"/>
        </w:rPr>
        <w:t>Figure 10.</w:t>
      </w:r>
      <w:r w:rsidRPr="00BB11AF">
        <w:rPr>
          <w:b/>
          <w:bCs/>
          <w:sz w:val="24"/>
          <w:szCs w:val="24"/>
        </w:rPr>
        <w:br/>
        <w:t>Proportion du revenu accaparé</w:t>
      </w:r>
      <w:r w:rsidRPr="00BB11AF">
        <w:rPr>
          <w:b/>
          <w:bCs/>
          <w:sz w:val="24"/>
          <w:szCs w:val="24"/>
        </w:rPr>
        <w:br/>
        <w:t xml:space="preserve">par le </w:t>
      </w:r>
      <w:r w:rsidRPr="00BB11AF">
        <w:rPr>
          <w:rStyle w:val="Lgendedelimage25ptItalique"/>
          <w:rFonts w:ascii="Times New Roman" w:hAnsi="Times New Roman"/>
          <w:b w:val="0"/>
          <w:bCs w:val="0"/>
          <w:i w:val="0"/>
          <w:sz w:val="24"/>
          <w:szCs w:val="24"/>
          <w:lang w:val="fr-CA"/>
        </w:rPr>
        <w:t>1</w:t>
      </w:r>
      <w:r w:rsidRPr="00BB11AF">
        <w:rPr>
          <w:rStyle w:val="Lgendedelimage27ptItalique"/>
          <w:rFonts w:ascii="Times New Roman" w:hAnsi="Times New Roman"/>
          <w:b/>
          <w:bCs/>
          <w:i w:val="0"/>
          <w:sz w:val="24"/>
          <w:szCs w:val="24"/>
          <w:lang w:val="fr-CA"/>
        </w:rPr>
        <w:t>%</w:t>
      </w:r>
      <w:r w:rsidRPr="00BB11AF">
        <w:rPr>
          <w:b/>
          <w:bCs/>
          <w:i/>
          <w:sz w:val="24"/>
          <w:szCs w:val="24"/>
        </w:rPr>
        <w:t xml:space="preserve"> </w:t>
      </w:r>
      <w:r w:rsidRPr="00BB11AF">
        <w:rPr>
          <w:b/>
          <w:bCs/>
          <w:sz w:val="24"/>
          <w:szCs w:val="24"/>
        </w:rPr>
        <w:t>supérieur de la distribution du revenu,</w:t>
      </w:r>
      <w:r w:rsidRPr="00BB11AF">
        <w:rPr>
          <w:b/>
          <w:bCs/>
          <w:sz w:val="24"/>
          <w:szCs w:val="24"/>
        </w:rPr>
        <w:br/>
        <w:t>1913-2012, Canada, France, États-Unis</w:t>
      </w:r>
    </w:p>
    <w:p w:rsidR="003A3061" w:rsidRPr="00BB11AF" w:rsidRDefault="00356B29" w:rsidP="003A3061">
      <w:pPr>
        <w:pStyle w:val="fig"/>
      </w:pPr>
      <w:r>
        <w:rPr>
          <w:noProof/>
        </w:rPr>
        <w:drawing>
          <wp:inline distT="0" distB="0" distL="0" distR="0">
            <wp:extent cx="5016500" cy="2997200"/>
            <wp:effectExtent l="0" t="0" r="0" b="0"/>
            <wp:docPr id="14" name="Image 14" descr="fig_p_188_st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fig_p_188_st_low"/>
                    <pic:cNvPicPr>
                      <a:picLocks/>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016500" cy="2997200"/>
                    </a:xfrm>
                    <a:prstGeom prst="rect">
                      <a:avLst/>
                    </a:prstGeom>
                    <a:noFill/>
                    <a:ln>
                      <a:noFill/>
                    </a:ln>
                  </pic:spPr>
                </pic:pic>
              </a:graphicData>
            </a:graphic>
          </wp:inline>
        </w:drawing>
      </w:r>
    </w:p>
    <w:p w:rsidR="003A3061" w:rsidRPr="00BB11AF" w:rsidRDefault="003A3061" w:rsidP="003A3061">
      <w:pPr>
        <w:spacing w:before="120" w:after="120"/>
        <w:jc w:val="both"/>
        <w:rPr>
          <w:sz w:val="24"/>
        </w:rPr>
      </w:pPr>
      <w:r w:rsidRPr="00BB11AF">
        <w:rPr>
          <w:sz w:val="24"/>
        </w:rPr>
        <w:t>Source : Alvaredo et al (2014) ; Notes méthodologiques : 1) les e</w:t>
      </w:r>
      <w:r w:rsidRPr="00BB11AF">
        <w:rPr>
          <w:sz w:val="24"/>
        </w:rPr>
        <w:t>s</w:t>
      </w:r>
      <w:r w:rsidRPr="00BB11AF">
        <w:rPr>
          <w:sz w:val="24"/>
        </w:rPr>
        <w:t>timations du revenu excluent les gains de capital ; 2) les données sur le Canada viennent de deux sources différentes. Les données ident</w:t>
      </w:r>
      <w:r w:rsidRPr="00BB11AF">
        <w:rPr>
          <w:sz w:val="24"/>
        </w:rPr>
        <w:t>i</w:t>
      </w:r>
      <w:r w:rsidRPr="00BB11AF">
        <w:rPr>
          <w:sz w:val="24"/>
        </w:rPr>
        <w:t>fiées Canada 1 viennent de « Saez and Veall (2007), are based on tab</w:t>
      </w:r>
      <w:r w:rsidRPr="00BB11AF">
        <w:rPr>
          <w:sz w:val="24"/>
        </w:rPr>
        <w:t>u</w:t>
      </w:r>
      <w:r w:rsidRPr="00BB11AF">
        <w:rPr>
          <w:sz w:val="24"/>
        </w:rPr>
        <w:t>lated tax data, and relate to adults aged 20+ » et elles s'arrêtent en 2000 ; les données identifiées Canada 2 partent de 1982 et proviennent de « Veall (2010), are based on the LAD-Longitudinal Administrat</w:t>
      </w:r>
      <w:r w:rsidRPr="00BB11AF">
        <w:rPr>
          <w:sz w:val="24"/>
        </w:rPr>
        <w:t>i</w:t>
      </w:r>
      <w:r w:rsidRPr="00BB11AF">
        <w:rPr>
          <w:sz w:val="24"/>
        </w:rPr>
        <w:t>ve Database, and relate to taxfilers ».</w:t>
      </w:r>
    </w:p>
    <w:p w:rsidR="003A3061" w:rsidRPr="00BB11AF" w:rsidRDefault="003A3061" w:rsidP="003A3061">
      <w:pPr>
        <w:spacing w:before="120" w:after="120"/>
        <w:jc w:val="both"/>
        <w:rPr>
          <w:szCs w:val="2"/>
        </w:rPr>
      </w:pPr>
    </w:p>
    <w:p w:rsidR="003A3061" w:rsidRPr="00BB11AF" w:rsidRDefault="003A3061" w:rsidP="003A3061">
      <w:pPr>
        <w:spacing w:before="120" w:after="120"/>
        <w:jc w:val="both"/>
        <w:rPr>
          <w:szCs w:val="2"/>
        </w:rPr>
      </w:pPr>
    </w:p>
    <w:p w:rsidR="003A3061" w:rsidRPr="00BB11AF" w:rsidRDefault="003A3061" w:rsidP="003A3061">
      <w:pPr>
        <w:spacing w:before="120" w:after="120"/>
        <w:jc w:val="both"/>
      </w:pPr>
      <w:r w:rsidRPr="00BB11AF">
        <w:t>Ainsi, un rapport récent de l'OCDE montrait un accroissement des différences entre les riches et les pauvres entre 1985 et 2009 dans 17 pays de l'OCDE. Trois pays se maintiennent au même niveau alors que seulement deux, la Turquie et la Grèce, avaient connu une rédu</w:t>
      </w:r>
      <w:r w:rsidRPr="00BB11AF">
        <w:t>c</w:t>
      </w:r>
      <w:r w:rsidRPr="00BB11AF">
        <w:t>tion des inégalités (OCDE 2012a). Une amélioration que la crise grecque a depuis effacée. L'économiste Nicolas Frémeaux constate même qu'à l'exception notable de la France, c'est dès les années 1970 que se met en marche l'accroissement des inégalités dans les pays d</w:t>
      </w:r>
      <w:r w:rsidRPr="00BB11AF">
        <w:t>é</w:t>
      </w:r>
      <w:r w:rsidRPr="00BB11AF">
        <w:t xml:space="preserve">veloppés. Nous nous servons de la même base de données que lui dans la Figure 10, base développée sous l'égide de l'École d'Économie de Paris, dont le membre le plus proéminent est Thomas Piketty. Ces données, entre autres, permettent d'illustrer la part du revenu accaparé par le 1% supérieur de l'échelle des revenus que le mouvement </w:t>
      </w:r>
      <w:r w:rsidRPr="002666FA">
        <w:rPr>
          <w:i/>
        </w:rPr>
        <w:t>O</w:t>
      </w:r>
      <w:r w:rsidRPr="002666FA">
        <w:rPr>
          <w:i/>
        </w:rPr>
        <w:t>c</w:t>
      </w:r>
      <w:r w:rsidRPr="002666FA">
        <w:rPr>
          <w:i/>
        </w:rPr>
        <w:t>cupy Wall Street</w:t>
      </w:r>
      <w:r w:rsidRPr="00BB11AF">
        <w:t xml:space="preserve"> a rendu célèbre à la même époque où les Carrés ro</w:t>
      </w:r>
      <w:r w:rsidRPr="00BB11AF">
        <w:t>u</w:t>
      </w:r>
      <w:r w:rsidRPr="00BB11AF">
        <w:t>ges battaient la rue.</w:t>
      </w:r>
    </w:p>
    <w:p w:rsidR="003A3061" w:rsidRPr="00BB11AF" w:rsidRDefault="003A3061" w:rsidP="003A3061">
      <w:pPr>
        <w:spacing w:before="120" w:after="120"/>
        <w:jc w:val="both"/>
      </w:pPr>
      <w:r w:rsidRPr="00BB11AF">
        <w:t>On constate une baisse des inégalités rapide entre 1913 et la fin de la Seconde Guerre mondiale, suivie d'une baisse légère pendant les Tre</w:t>
      </w:r>
      <w:r w:rsidRPr="00BB11AF">
        <w:t>n</w:t>
      </w:r>
      <w:r w:rsidRPr="00BB11AF">
        <w:t>te Glorieuses. À la fin des années 1970, le mouvement s'inverse</w:t>
      </w:r>
      <w:r>
        <w:t xml:space="preserve"> </w:t>
      </w:r>
      <w:r w:rsidRPr="00BB11AF">
        <w:t>[189]</w:t>
      </w:r>
      <w:r>
        <w:t xml:space="preserve"> </w:t>
      </w:r>
      <w:r w:rsidRPr="00BB11AF">
        <w:t>aux États-Unis, puis au Canada. En France, la hausse est nett</w:t>
      </w:r>
      <w:r w:rsidRPr="00BB11AF">
        <w:t>e</w:t>
      </w:r>
      <w:r w:rsidRPr="00BB11AF">
        <w:t>ment moins prononcée et retarde d'une décennie. Malheureusement, seules les données américaines s'étendent jusqu'en 2012, ce qui ne permet pas voir si le Canada (2010) et la France (2009) suivront la même d</w:t>
      </w:r>
      <w:r w:rsidRPr="00BB11AF">
        <w:t>i</w:t>
      </w:r>
      <w:r w:rsidRPr="00BB11AF">
        <w:t>rection que les États-Unis vers une reprise des écarts suite à la crise économique de 2008-2009.</w:t>
      </w:r>
    </w:p>
    <w:p w:rsidR="003A3061" w:rsidRPr="00BB11AF" w:rsidRDefault="003A3061" w:rsidP="003A3061">
      <w:pPr>
        <w:spacing w:before="120" w:after="120"/>
        <w:jc w:val="both"/>
      </w:pPr>
    </w:p>
    <w:p w:rsidR="003A3061" w:rsidRPr="00BB11AF" w:rsidRDefault="003A3061" w:rsidP="003A3061">
      <w:pPr>
        <w:pStyle w:val="planche"/>
      </w:pPr>
      <w:r w:rsidRPr="00BB11AF">
        <w:t>Un legs ni prévu ni voulu</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Si l'on regarde la situation actuelle comme la suite du projet rév</w:t>
      </w:r>
      <w:r w:rsidRPr="00BB11AF">
        <w:t>o</w:t>
      </w:r>
      <w:r w:rsidRPr="00BB11AF">
        <w:t>lutionnaire des années 1960, on est obligé d'admettre que le sociali</w:t>
      </w:r>
      <w:r w:rsidRPr="00BB11AF">
        <w:t>s</w:t>
      </w:r>
      <w:r w:rsidRPr="00BB11AF">
        <w:t>me réel n'a guère progressé et pas plus que l'idée d'indépendance. Au contraire, le néo-libéralisme et des inégalités croissantes en sont l'hér</w:t>
      </w:r>
      <w:r w:rsidRPr="00BB11AF">
        <w:t>i</w:t>
      </w:r>
      <w:r w:rsidRPr="00BB11AF">
        <w:t>tage concret, un legs ni prévu ni voulu. Ce n'est manifestement pas le pr</w:t>
      </w:r>
      <w:r w:rsidRPr="00BB11AF">
        <w:t>o</w:t>
      </w:r>
      <w:r w:rsidRPr="00BB11AF">
        <w:t>jet social que l'on espérait dans les années 1960. Est-ce l'échec d'une génération ? Il eut fallu que ce soit le projet de toute une génér</w:t>
      </w:r>
      <w:r w:rsidRPr="00BB11AF">
        <w:t>a</w:t>
      </w:r>
      <w:r w:rsidRPr="00BB11AF">
        <w:t>tion. Ce qui ne fut jamais le cas. En fait, ce sont précisément les membres de cette génération, celle qui est devenue adulte au tournant des années 1970 et leurs successeurs immédiats qui ont détenu les r</w:t>
      </w:r>
      <w:r w:rsidRPr="00BB11AF">
        <w:t>ê</w:t>
      </w:r>
      <w:r w:rsidRPr="00BB11AF">
        <w:t>nes du pouvoir au gouvernement et dans les grandes organisations, et ce, pendant plusieurs décennies</w:t>
      </w:r>
      <w:r>
        <w:t> </w:t>
      </w:r>
      <w:r>
        <w:rPr>
          <w:rStyle w:val="Appelnotedebasdep"/>
        </w:rPr>
        <w:footnoteReference w:id="99"/>
      </w:r>
      <w:r w:rsidRPr="00BB11AF">
        <w:t>. L'analyse générationnelle est ple</w:t>
      </w:r>
      <w:r w:rsidRPr="00BB11AF">
        <w:t>i</w:t>
      </w:r>
      <w:r w:rsidRPr="00BB11AF">
        <w:t>ne d'embûches.</w:t>
      </w:r>
    </w:p>
    <w:p w:rsidR="003A3061" w:rsidRPr="00BB11AF" w:rsidRDefault="003A3061" w:rsidP="003A3061">
      <w:pPr>
        <w:spacing w:before="120" w:after="120"/>
        <w:jc w:val="both"/>
      </w:pPr>
      <w:r w:rsidRPr="00BB11AF">
        <w:t>Le système fondé sur des rapports statutaires fixes et reproduits tant par le système d'éducation que la structure industrielle n'a pas été remplacé par une société égalitaire. Ce qu'on a vu s'ériger fut, d'une part, une société bureaucratique construite sur la notion d'efficacité technique et, d'autre part, quoique largement imbriqué dans le pr</w:t>
      </w:r>
      <w:r w:rsidRPr="00BB11AF">
        <w:t>e</w:t>
      </w:r>
      <w:r w:rsidRPr="00BB11AF">
        <w:t>mier, un monde marchand centré sur l'idée de profit. Dans un troisi</w:t>
      </w:r>
      <w:r w:rsidRPr="00BB11AF">
        <w:t>è</w:t>
      </w:r>
      <w:r w:rsidRPr="00BB11AF">
        <w:t>me temps, montrent Boltanski et Chiapello (1999), un nouvel esprit du capitalisme s'est peu à peu installé. Un esprit qui inclut tant les él</w:t>
      </w:r>
      <w:r w:rsidRPr="00BB11AF">
        <w:t>é</w:t>
      </w:r>
      <w:r w:rsidRPr="00BB11AF">
        <w:t>ments d'efficacité et de productivité de l'industrialisme bureaucrat</w:t>
      </w:r>
      <w:r w:rsidRPr="00BB11AF">
        <w:t>i</w:t>
      </w:r>
      <w:r w:rsidRPr="00BB11AF">
        <w:t>que, le souci pour la rentabilité de l'univers marchand et la créativité ou plutôt l'esprit d'innovation qu'on voyait comme étant le propre du mouvement de remise en question à l'œuvre en 1968. Ce que Boltan</w:t>
      </w:r>
      <w:r w:rsidRPr="00BB11AF">
        <w:t>s</w:t>
      </w:r>
      <w:r w:rsidRPr="00BB11AF">
        <w:t>ki et Chiapello nomment la critique artiste. L'accomplissement pe</w:t>
      </w:r>
      <w:r w:rsidRPr="00BB11AF">
        <w:t>r</w:t>
      </w:r>
      <w:r w:rsidRPr="00BB11AF">
        <w:t>sonnel d'individus montrant une capacité d'adaptation et une flexibilité intellectuelle et personnelle dans un monde constamment redéfini dans des réseaux à géométrie variable est au cœur de son système m</w:t>
      </w:r>
      <w:r w:rsidRPr="00BB11AF">
        <w:t>o</w:t>
      </w:r>
      <w:r w:rsidRPr="00BB11AF">
        <w:t>tivationnel. Branché, efficace, mobile, opportuniste, sans attache, en santé, le sujet par excellence du nouveau capitalisme est diplômé d'une université reconnue, dans une discipline utile.</w:t>
      </w:r>
    </w:p>
    <w:p w:rsidR="003A3061" w:rsidRPr="00BB11AF" w:rsidRDefault="003A3061" w:rsidP="003A3061">
      <w:pPr>
        <w:spacing w:before="120" w:after="120"/>
        <w:jc w:val="both"/>
      </w:pPr>
      <w:r w:rsidRPr="00BB11AF">
        <w:t>Le mouvement « progressiste » a perdu son monopole sur le pr</w:t>
      </w:r>
      <w:r w:rsidRPr="00BB11AF">
        <w:t>o</w:t>
      </w:r>
      <w:r w:rsidRPr="00BB11AF">
        <w:t>grès. En fait, le néo-libéralisme carbure au progrès. L'innovation est dev</w:t>
      </w:r>
      <w:r w:rsidRPr="00BB11AF">
        <w:t>e</w:t>
      </w:r>
      <w:r w:rsidRPr="00BB11AF">
        <w:t>nue le maître-mot. Force en effet est de constater que « l'avenir », le « progrès » et « le changement » sont devenus une constante non pas du discours de la gauche, mais de celui de la droite. Les nouvelles technologies, l'innovation, un futur à la sauce globalisante sont tous devenus des antiennes du discours gestionnaire. Cela d'autant plus f</w:t>
      </w:r>
      <w:r w:rsidRPr="00BB11AF">
        <w:t>a</w:t>
      </w:r>
      <w:r w:rsidRPr="00BB11AF">
        <w:t>cilement</w:t>
      </w:r>
      <w:r>
        <w:t xml:space="preserve"> </w:t>
      </w:r>
      <w:r w:rsidRPr="00BB11AF">
        <w:t>[190]</w:t>
      </w:r>
      <w:r>
        <w:t xml:space="preserve"> </w:t>
      </w:r>
      <w:r w:rsidRPr="00BB11AF">
        <w:t>que la génération de 1968 a rompu allègrement avec le passé, les traditions, pour proposer un monde nouveau, rénové. Que l'on parle d'i</w:t>
      </w:r>
      <w:r w:rsidRPr="00BB11AF">
        <w:t>n</w:t>
      </w:r>
      <w:r w:rsidRPr="00BB11AF">
        <w:t>novation organisationnelle ou technique, quiconque s'oppose au « progrès » est vu comme un « arriéré » qui veut perdre notre position de leader dans la marche forcée vers la transformation socioculturelle et économique qui nous permettra d'être la société de la connaissance par excellence-quel beau mot.</w:t>
      </w:r>
    </w:p>
    <w:p w:rsidR="003A3061" w:rsidRPr="00BB11AF" w:rsidRDefault="003A3061" w:rsidP="003A3061">
      <w:pPr>
        <w:spacing w:before="120" w:after="120"/>
        <w:jc w:val="both"/>
      </w:pPr>
      <w:r w:rsidRPr="00BB11AF">
        <w:t>Luc Boltanski (2009) montre bien comment l'esprit du capitalisme contemporain a su inverser le rapport entre les groupes dominants et le changement. En fait, pour Boltanski, on en est venu à « dominer par le changement ». Partant de la prémisse que tout change ou changera éventuellement et rompant avec les positions conservatrices traditio</w:t>
      </w:r>
      <w:r w:rsidRPr="00BB11AF">
        <w:t>n</w:t>
      </w:r>
      <w:r w:rsidRPr="00BB11AF">
        <w:t>nelles des élites dominantes, le nouvel esprit encourage le changement « avant qu'il n'arrive ». Cela facilite des interventions tous azimuts tantôt sur ce qui devrait être désirable, tantôt sur les moyens d'attei</w:t>
      </w:r>
      <w:r w:rsidRPr="00BB11AF">
        <w:t>n</w:t>
      </w:r>
      <w:r w:rsidRPr="00BB11AF">
        <w:t>dre ces nouveaux buts. Des interventions qui « (...) se trouvent inco</w:t>
      </w:r>
      <w:r w:rsidRPr="00BB11AF">
        <w:t>r</w:t>
      </w:r>
      <w:r w:rsidRPr="00BB11AF">
        <w:t>porées à un processus d'accompagnement d'un changement perm</w:t>
      </w:r>
      <w:r w:rsidRPr="00BB11AF">
        <w:t>a</w:t>
      </w:r>
      <w:r w:rsidRPr="00BB11AF">
        <w:t>nent, présenté à la fois comme inéluctable et comme souhaitable. » (Boltanski 2009 :194) Pour Boltanski, ces interventions sont avant tout gestionnaires et leur archétype le plus fondamental est le be</w:t>
      </w:r>
      <w:r w:rsidRPr="00BB11AF">
        <w:t>n</w:t>
      </w:r>
      <w:r w:rsidRPr="00BB11AF">
        <w:t>chma</w:t>
      </w:r>
      <w:r w:rsidRPr="00BB11AF">
        <w:t>r</w:t>
      </w:r>
      <w:r w:rsidRPr="00BB11AF">
        <w:t>king dont les classements universitaires sont une des variétés. Ils ér</w:t>
      </w:r>
      <w:r w:rsidRPr="00BB11AF">
        <w:t>i</w:t>
      </w:r>
      <w:r w:rsidRPr="00BB11AF">
        <w:t>gent le changement en une obligation objective de se conformer. Or, le rang dans les classements internationaux des universités québ</w:t>
      </w:r>
      <w:r w:rsidRPr="00BB11AF">
        <w:t>é</w:t>
      </w:r>
      <w:r w:rsidRPr="00BB11AF">
        <w:t>coises était une des motivations de la hausse des frais de scolarité.</w:t>
      </w:r>
    </w:p>
    <w:p w:rsidR="003A3061" w:rsidRPr="00BB11AF" w:rsidRDefault="003A3061" w:rsidP="003A3061">
      <w:pPr>
        <w:spacing w:before="120" w:after="120"/>
        <w:jc w:val="both"/>
      </w:pPr>
      <w:r w:rsidRPr="00BB11AF">
        <w:t>La Nouvelle économie a été pensée en rupture des modèles anciens du travail, ce qui permettait de répondre à l'objectif de dépasser les traditions et les institutions de l'ancien régime. Désormais, les travai</w:t>
      </w:r>
      <w:r w:rsidRPr="00BB11AF">
        <w:t>l</w:t>
      </w:r>
      <w:r w:rsidRPr="00BB11AF">
        <w:t>leurs exprimeraient leur personnalité et leurs désirs dans une créativité débridée sans avoir besoin d'institutions reposant sur l'ancienneté et l'a</w:t>
      </w:r>
      <w:r w:rsidRPr="00BB11AF">
        <w:t>p</w:t>
      </w:r>
      <w:r w:rsidRPr="00BB11AF">
        <w:t>partenance à un collectif, les syndicats par exemple (Castells 1996). Le déploiement de l'industrie de la publicité, que ses acteurs désignent comme une forme d'art, est exemplaire de cette prime a</w:t>
      </w:r>
      <w:r w:rsidRPr="00BB11AF">
        <w:t>c</w:t>
      </w:r>
      <w:r w:rsidRPr="00BB11AF">
        <w:t>cordée à la créativité et à l'imagination. Mais il n'y a qu'à consulter la liste des plans de recherche stratégique mis en œuvre dans les unive</w:t>
      </w:r>
      <w:r w:rsidRPr="00BB11AF">
        <w:t>r</w:t>
      </w:r>
      <w:r w:rsidRPr="00BB11AF">
        <w:t>sités c</w:t>
      </w:r>
      <w:r w:rsidRPr="00BB11AF">
        <w:t>a</w:t>
      </w:r>
      <w:r w:rsidRPr="00BB11AF">
        <w:t>nadiennes dans le cadre du programme des chaires du Canada pourvoir l'extension de l'impératif de l'innovation dans tous les d</w:t>
      </w:r>
      <w:r w:rsidRPr="00BB11AF">
        <w:t>o</w:t>
      </w:r>
      <w:r w:rsidRPr="00BB11AF">
        <w:t>maines d'activité (Chaires du Canada 2012). Cette Nouvelle économie ne fut ni le lieu d'une remise en question des rapports de domination ni la fin de l'exploitation. Deux termes chers aux mouvements qui se réclament des années 1970.</w:t>
      </w:r>
    </w:p>
    <w:p w:rsidR="003A3061" w:rsidRPr="00BB11AF" w:rsidRDefault="003A3061" w:rsidP="003A3061">
      <w:pPr>
        <w:spacing w:before="120" w:after="120"/>
        <w:jc w:val="both"/>
      </w:pPr>
      <w:r w:rsidRPr="00BB11AF">
        <w:t>Marx avait pressenti cette transformation constante des rapports sociaux induits par le capitalisme, mais c'est devenu aujourd'hui l'idéologie dominante, avec l'approbation d'une « </w:t>
      </w:r>
      <w:r w:rsidRPr="002666FA">
        <w:rPr>
          <w:bCs/>
          <w:i/>
          <w:iCs/>
        </w:rPr>
        <w:t>creative</w:t>
      </w:r>
      <w:r w:rsidRPr="002666FA">
        <w:rPr>
          <w:bCs/>
          <w:iCs/>
        </w:rPr>
        <w:t xml:space="preserve"> </w:t>
      </w:r>
      <w:r w:rsidRPr="002666FA">
        <w:rPr>
          <w:i/>
        </w:rPr>
        <w:t>class </w:t>
      </w:r>
      <w:r w:rsidRPr="00BB11AF">
        <w:t>», pour reprendre la terminologie de Florida (2004), toute consacrée à la réal</w:t>
      </w:r>
      <w:r w:rsidRPr="00BB11AF">
        <w:t>i</w:t>
      </w:r>
      <w:r w:rsidRPr="00BB11AF">
        <w:t>sation de soi et à l'authenticité d'individus productifs branchés en r</w:t>
      </w:r>
      <w:r w:rsidRPr="00BB11AF">
        <w:t>é</w:t>
      </w:r>
      <w:r w:rsidRPr="00BB11AF">
        <w:t>seau. Un futur fait de compétitivité et d'innovations radicales.</w:t>
      </w:r>
    </w:p>
    <w:p w:rsidR="003A3061" w:rsidRPr="00BB11AF" w:rsidRDefault="003A3061" w:rsidP="003A3061">
      <w:pPr>
        <w:spacing w:before="120" w:after="120"/>
        <w:jc w:val="both"/>
      </w:pPr>
      <w:r>
        <w:t>[191]</w:t>
      </w:r>
    </w:p>
    <w:p w:rsidR="003A3061" w:rsidRPr="00BB11AF" w:rsidRDefault="003A3061" w:rsidP="003A3061">
      <w:pPr>
        <w:spacing w:before="120" w:after="120"/>
        <w:jc w:val="both"/>
      </w:pPr>
    </w:p>
    <w:p w:rsidR="003A3061" w:rsidRPr="00BB11AF" w:rsidRDefault="003A3061" w:rsidP="003A3061">
      <w:pPr>
        <w:pStyle w:val="planche"/>
      </w:pPr>
      <w:r w:rsidRPr="00BB11AF">
        <w:t>Que faire ?</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Les effets les plus démobilisateurs et les plus délétères de la rupt</w:t>
      </w:r>
      <w:r w:rsidRPr="00BB11AF">
        <w:t>u</w:t>
      </w:r>
      <w:r w:rsidRPr="00BB11AF">
        <w:t>re avec le passé semblent derrière nous. Les hauts taux de suicide des jeunes de la transition n'ont plus cours, même s'ils restent plus élevés que ceux de leurs aînés dans de nombreux pays. Au Québec, le groupe qui se suicide le plus appartient aux catégories d'âge interm</w:t>
      </w:r>
      <w:r w:rsidRPr="00BB11AF">
        <w:t>é</w:t>
      </w:r>
      <w:r w:rsidRPr="00BB11AF">
        <w:t>diaires. Les jeunes des années 1980 ont amené avec eux le désarroi de la tra</w:t>
      </w:r>
      <w:r w:rsidRPr="00BB11AF">
        <w:t>n</w:t>
      </w:r>
      <w:r w:rsidRPr="00BB11AF">
        <w:t>sition qu'ils ont subie. Le nouveau mode d'emploi de la main-d'œuvre s'est stabilisé. Les relations de genre ont pris une tournure toute diff</w:t>
      </w:r>
      <w:r w:rsidRPr="00BB11AF">
        <w:t>é</w:t>
      </w:r>
      <w:r w:rsidRPr="00BB11AF">
        <w:t>rente de celles de la période industrielle. Que faire quand on naît au monde politique dans ce contexte ? Reprendre les vieilles promesses socialistes et indépendantistes</w:t>
      </w:r>
      <w:r>
        <w:t> </w:t>
      </w:r>
      <w:r w:rsidRPr="00BB11AF">
        <w:t>? Construire des partis politiques po</w:t>
      </w:r>
      <w:r w:rsidRPr="00BB11AF">
        <w:t>r</w:t>
      </w:r>
      <w:r w:rsidRPr="00BB11AF">
        <w:t>teurs d'un projet ? Mais la première tâche n'est pas face au passé. Il faut d'abord rompre avec le futur, ce futur complètement c</w:t>
      </w:r>
      <w:r w:rsidRPr="00BB11AF">
        <w:t>o</w:t>
      </w:r>
      <w:r w:rsidRPr="00BB11AF">
        <w:t>lonisé par le néolibéralisme. Un futur qui comprend l'obsolescence programmée de chacun d'entre nous. Se réinscrire dans des traditions de lutte et s'interroger sur ce qui mérite d'être conservé. Il est d'ailleurs assez symptomatique d'avoir vu le mouvement étudiant québécois se référer à la vision classique de l'université comme modèle d'opposition à l'université du futur ; ou encore d'entendre l'ancien co-porte-parole de l'association étudiante la plus radicale, la Coalition large des Associ</w:t>
      </w:r>
      <w:r w:rsidRPr="00BB11AF">
        <w:t>a</w:t>
      </w:r>
      <w:r w:rsidRPr="00BB11AF">
        <w:t>tion pour une solidarité syndicale étudiante (CLASSE), Gabriel N</w:t>
      </w:r>
      <w:r w:rsidRPr="00BB11AF">
        <w:t>a</w:t>
      </w:r>
      <w:r w:rsidRPr="00BB11AF">
        <w:t>deau-Dubois, référer à la tradition du syndicalisme de combat comme un modèle de leur action lors de la table ronde tenue pendant ce coll</w:t>
      </w:r>
      <w:r w:rsidRPr="00BB11AF">
        <w:t>o</w:t>
      </w:r>
      <w:r w:rsidRPr="00BB11AF">
        <w:t>que.</w:t>
      </w:r>
    </w:p>
    <w:p w:rsidR="003A3061" w:rsidRPr="00BB11AF" w:rsidRDefault="003A3061" w:rsidP="003A3061">
      <w:pPr>
        <w:spacing w:before="120" w:after="120"/>
        <w:jc w:val="both"/>
      </w:pPr>
      <w:r w:rsidRPr="00BB11AF">
        <w:t>Un autre renversement de perspective, que nous illustrerons encore avec le suicide, est nécessaire pour comprendre le mouvement engagé par les jeunesses québécoises, voire espagnoles. Dans tous les sch</w:t>
      </w:r>
      <w:r w:rsidRPr="00BB11AF">
        <w:t>é</w:t>
      </w:r>
      <w:r w:rsidRPr="00BB11AF">
        <w:t>mas explicatifs du suicide, le meurtre du soi, la société, son évolution normative et matérielle, impose à l'individu ses règles, son impératif changement. Au point où ceux qui ne suivent pas le rythme où se s</w:t>
      </w:r>
      <w:r w:rsidRPr="00BB11AF">
        <w:t>i</w:t>
      </w:r>
      <w:r w:rsidRPr="00BB11AF">
        <w:t>tuent dans un monde suranné sont enclins à s'éliminer eux-mêmes. L'action politique renverse cette relation. Le rapport entre la société et l'individu n'est plus un rapport individuel, il se publicise en devenant collectif (Céfaï 2007). C'est un constat similaire que faisaient Cha</w:t>
      </w:r>
      <w:r w:rsidRPr="00BB11AF">
        <w:t>n</w:t>
      </w:r>
      <w:r w:rsidRPr="00BB11AF">
        <w:t>dler et Lalonde (1998) chez les bandes amérindiennes de la côte ouest du Canada, la présence de groupes portant des revendications polit</w:t>
      </w:r>
      <w:r w:rsidRPr="00BB11AF">
        <w:t>i</w:t>
      </w:r>
      <w:r w:rsidRPr="00BB11AF">
        <w:t>ques réduit à néant les taux de suicide. La question n'est plus celle de l'inadaptation de l'individu, mais celle de la désadaptation de la soci</w:t>
      </w:r>
      <w:r w:rsidRPr="00BB11AF">
        <w:t>é</w:t>
      </w:r>
      <w:r w:rsidRPr="00BB11AF">
        <w:t>té. Chaque personne n'est plus responsable, coupable en fait de ne pas comprendre la société, les modes d'entrée dans la vie adulte ou la nouvelle donne des rapports interindividuels. C'est plutôt la société qui ne donne plus les moyens, les clefs interprétatives qui la font h</w:t>
      </w:r>
      <w:r w:rsidRPr="00BB11AF">
        <w:t>u</w:t>
      </w:r>
      <w:r w:rsidRPr="00BB11AF">
        <w:t>maine. La tâche n'est plus, tel que la suicidologie nous invite à le faire, de convaincre la personne que son appréciation des choses est err</w:t>
      </w:r>
      <w:r w:rsidRPr="00BB11AF">
        <w:t>o</w:t>
      </w:r>
      <w:r w:rsidRPr="00BB11AF">
        <w:t>née, mais plutôt de corriger une société qui n'apprécie plus la personne dans des dimensions autres que performatives.</w:t>
      </w:r>
    </w:p>
    <w:p w:rsidR="003A3061" w:rsidRPr="00BB11AF" w:rsidRDefault="003A3061" w:rsidP="003A3061">
      <w:pPr>
        <w:spacing w:before="120" w:after="120"/>
        <w:jc w:val="both"/>
      </w:pPr>
      <w:r w:rsidRPr="00BB11AF">
        <w:t>[192]</w:t>
      </w:r>
    </w:p>
    <w:p w:rsidR="003A3061" w:rsidRPr="00BB11AF" w:rsidRDefault="003A3061" w:rsidP="003A3061">
      <w:pPr>
        <w:spacing w:before="120" w:after="120"/>
        <w:jc w:val="both"/>
      </w:pPr>
    </w:p>
    <w:p w:rsidR="003A3061" w:rsidRPr="00BB11AF" w:rsidRDefault="003A3061" w:rsidP="003A3061">
      <w:pPr>
        <w:pStyle w:val="planche"/>
      </w:pPr>
      <w:r w:rsidRPr="00BB11AF">
        <w:t>Les revendications des Carrés rouges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Regardons d'un peu plus près les revendications des étudiants</w:t>
      </w:r>
      <w:r>
        <w:t> </w:t>
      </w:r>
      <w:r>
        <w:rPr>
          <w:rStyle w:val="Appelnotedebasdep"/>
        </w:rPr>
        <w:footnoteReference w:id="100"/>
      </w:r>
      <w:r w:rsidRPr="00BB11AF">
        <w:t>. Nous les avons résumées dans le Tableau 1 en distinguant ce qui nous semblait le projet auquel ils adhéraient et ce qu'ils rejetaient. Les Ca</w:t>
      </w:r>
      <w:r w:rsidRPr="00BB11AF">
        <w:t>r</w:t>
      </w:r>
      <w:r w:rsidRPr="00BB11AF">
        <w:t>rés rouges réclamaient le « retour » vers une université détachée des e</w:t>
      </w:r>
      <w:r w:rsidRPr="00BB11AF">
        <w:t>n</w:t>
      </w:r>
      <w:r w:rsidRPr="00BB11AF">
        <w:t>jeux économiques immédiats, une université libérée des contraintes du néolibéralisme qui semblent la conduire vers sa perte. Une unive</w:t>
      </w:r>
      <w:r w:rsidRPr="00BB11AF">
        <w:t>r</w:t>
      </w:r>
      <w:r w:rsidRPr="00BB11AF">
        <w:t>sité consacrée à l'enseignement et au développement d'une pensée l</w:t>
      </w:r>
      <w:r w:rsidRPr="00BB11AF">
        <w:t>i</w:t>
      </w:r>
      <w:r w:rsidRPr="00BB11AF">
        <w:t>bre et à laquelle tous pourrait avoir accès. Selon eux, une vision dev</w:t>
      </w:r>
      <w:r w:rsidRPr="00BB11AF">
        <w:t>e</w:t>
      </w:r>
      <w:r w:rsidRPr="00BB11AF">
        <w:t>nue classique, instituée, de l'université.</w:t>
      </w:r>
      <w:r>
        <w:t> </w:t>
      </w:r>
      <w:r>
        <w:rPr>
          <w:rStyle w:val="Appelnotedebasdep"/>
        </w:rPr>
        <w:footnoteReference w:id="101"/>
      </w:r>
      <w:r w:rsidRPr="00BB11AF">
        <w:t xml:space="preserve"> Une conception qui s'opp</w:t>
      </w:r>
      <w:r w:rsidRPr="00BB11AF">
        <w:t>o</w:t>
      </w:r>
      <w:r w:rsidRPr="00BB11AF">
        <w:t>se de plein fouet à celle qui la place au cœur d'une économie et lui fixe comme horizon de produire les connaissances nécessaires à la conse</w:t>
      </w:r>
      <w:r w:rsidRPr="00BB11AF">
        <w:t>r</w:t>
      </w:r>
      <w:r w:rsidRPr="00BB11AF">
        <w:t>vation de notre avantage économique au sein du monde ; de développer des produits et des procédures hautement sophistiqués n</w:t>
      </w:r>
      <w:r w:rsidRPr="00BB11AF">
        <w:t>é</w:t>
      </w:r>
      <w:r w:rsidRPr="00BB11AF">
        <w:t>cessaires à la compétition radicale de l'hypermodernité globalisée. Une vision cohérente soutenue tant par les gouvernements que par une fraction importante de l'université, leurs administrations, mais aussi de nombreux professeurs et étudiants, les médias et la plupart des org</w:t>
      </w:r>
      <w:r w:rsidRPr="00BB11AF">
        <w:t>a</w:t>
      </w:r>
      <w:r w:rsidRPr="00BB11AF">
        <w:t>nismes à caractère économique. Une vision où l'éducation est un i</w:t>
      </w:r>
      <w:r w:rsidRPr="00BB11AF">
        <w:t>n</w:t>
      </w:r>
      <w:r w:rsidRPr="00BB11AF">
        <w:t>vestiss</w:t>
      </w:r>
      <w:r w:rsidRPr="00BB11AF">
        <w:t>e</w:t>
      </w:r>
      <w:r w:rsidRPr="00BB11AF">
        <w:t>ment individuel permettant de garantir sa position future dans une société compétitive, elle-même conçue comme une simple juxt</w:t>
      </w:r>
      <w:r w:rsidRPr="00BB11AF">
        <w:t>a</w:t>
      </w:r>
      <w:r w:rsidRPr="00BB11AF">
        <w:t>position d'individus sans affiliation spécifique ; l'éducation univers</w:t>
      </w:r>
      <w:r w:rsidRPr="00BB11AF">
        <w:t>i</w:t>
      </w:r>
      <w:r w:rsidRPr="00BB11AF">
        <w:t>taire assurant à ses détenteurs une mobilité tant sociale que géogr</w:t>
      </w:r>
      <w:r w:rsidRPr="00BB11AF">
        <w:t>a</w:t>
      </w:r>
      <w:r w:rsidRPr="00BB11AF">
        <w:t>phique. Une analyse, programme par programme, nous donnerait par ailleurs une vision plus juste des antagonismes au sein de l'université. On sait que la grève a été portée par les étudiants des sciences sociales et humaines et de philosophie, mais qu'elle a été beaucoup moins p</w:t>
      </w:r>
      <w:r w:rsidRPr="00BB11AF">
        <w:t>o</w:t>
      </w:r>
      <w:r w:rsidRPr="00BB11AF">
        <w:t>pulaire en sciences et génie ou en médecine et, bien entendu, en ge</w:t>
      </w:r>
      <w:r w:rsidRPr="00BB11AF">
        <w:t>s</w:t>
      </w:r>
      <w:r w:rsidRPr="00BB11AF">
        <w:t>tion. Malgré la volonté d'inclusion des Carrés rouges, le conflit ét</w:t>
      </w:r>
      <w:r w:rsidRPr="00BB11AF">
        <w:t>u</w:t>
      </w:r>
      <w:r w:rsidRPr="00BB11AF">
        <w:t>diant nous a laissés devant un Québec et une université profondément divisés.</w:t>
      </w:r>
    </w:p>
    <w:p w:rsidR="003A3061" w:rsidRPr="00BB11AF" w:rsidRDefault="003A3061" w:rsidP="003A3061">
      <w:pPr>
        <w:spacing w:before="120" w:after="120"/>
        <w:jc w:val="both"/>
      </w:pPr>
      <w:r w:rsidRPr="00BB11AF">
        <w:t>Ce retour à une vision classique de l'université ne se conjugue pas à un conservatisme social ou organisationnel. Les étudiants ne sont pas des néo-luddites. Ils embrassent en effet les nouvelles technol</w:t>
      </w:r>
      <w:r w:rsidRPr="00BB11AF">
        <w:t>o</w:t>
      </w:r>
      <w:r w:rsidRPr="00BB11AF">
        <w:t>gies et s'en servent abondamment pour soutenir leur mobilisation. Leur org</w:t>
      </w:r>
      <w:r w:rsidRPr="00BB11AF">
        <w:t>a</w:t>
      </w:r>
      <w:r w:rsidRPr="00BB11AF">
        <w:t>nisation est très typiquement réticulaire, ce qui correspond aux modèles les plus actuels. Leurs connaissances sur le plan du ma</w:t>
      </w:r>
      <w:r w:rsidRPr="00BB11AF">
        <w:t>r</w:t>
      </w:r>
      <w:r w:rsidRPr="00BB11AF">
        <w:t>keting et de la communication leur permirent de développer leurs r</w:t>
      </w:r>
      <w:r w:rsidRPr="00BB11AF">
        <w:t>e</w:t>
      </w:r>
      <w:r w:rsidRPr="00BB11AF">
        <w:t>vendic</w:t>
      </w:r>
      <w:r w:rsidRPr="00BB11AF">
        <w:t>a</w:t>
      </w:r>
      <w:r w:rsidRPr="00BB11AF">
        <w:t>tions et leurs rapports aux médias.</w:t>
      </w:r>
      <w:r>
        <w:t> </w:t>
      </w:r>
      <w:r>
        <w:rPr>
          <w:rStyle w:val="Appelnotedebasdep"/>
        </w:rPr>
        <w:footnoteReference w:id="102"/>
      </w:r>
      <w:r w:rsidRPr="00BB11AF">
        <w:t xml:space="preserve"> La « marche dénudée » et de nombreux événements artistiques tenus par les contestataires démontrent clair</w:t>
      </w:r>
      <w:r w:rsidRPr="00BB11AF">
        <w:t>e</w:t>
      </w:r>
      <w:r w:rsidRPr="00BB11AF">
        <w:t>ment qu'ils ne proposent pas non plus un retour aux valeurs traditionnelles sur la famille, le genre ou le corps qui appa</w:t>
      </w:r>
      <w:r w:rsidRPr="00BB11AF">
        <w:t>r</w:t>
      </w:r>
      <w:r w:rsidRPr="00BB11AF">
        <w:t>tiennent au même passé que leur vision de l'université. Au contraire, ils adhèrent au f</w:t>
      </w:r>
      <w:r w:rsidRPr="00BB11AF">
        <w:t>é</w:t>
      </w:r>
      <w:r w:rsidRPr="00BB11AF">
        <w:t>minisme et à l'écologisme. Leur opposition au plan Nord des Libéraux</w:t>
      </w:r>
      <w:r>
        <w:t> </w:t>
      </w:r>
      <w:r>
        <w:rPr>
          <w:rStyle w:val="Appelnotedebasdep"/>
        </w:rPr>
        <w:footnoteReference w:id="103"/>
      </w:r>
      <w:r w:rsidRPr="00BB11AF">
        <w:t xml:space="preserve"> ou leur défense de l'accès des femmes aux ét</w:t>
      </w:r>
      <w:r w:rsidRPr="00BB11AF">
        <w:t>u</w:t>
      </w:r>
      <w:r w:rsidRPr="00BB11AF">
        <w:t>des en, sont les marqueurs les plus évidents. Encore que ces prises de pos</w:t>
      </w:r>
      <w:r w:rsidRPr="00BB11AF">
        <w:t>i</w:t>
      </w:r>
      <w:r w:rsidRPr="00BB11AF">
        <w:t>tion ne sont apparues qu'au fur et à mesure du déroulement de la grève. En effet, débuté par une revendication qu'on peut voir co</w:t>
      </w:r>
      <w:r w:rsidRPr="00BB11AF">
        <w:t>m</w:t>
      </w:r>
      <w:r w:rsidRPr="00BB11AF">
        <w:t>me essentiellement corporatiste -</w:t>
      </w:r>
      <w:r>
        <w:t xml:space="preserve"> </w:t>
      </w:r>
      <w:r w:rsidRPr="00BB11AF">
        <w:t>[193]</w:t>
      </w:r>
      <w:r>
        <w:t xml:space="preserve"> </w:t>
      </w:r>
      <w:r w:rsidRPr="00BB11AF">
        <w:t>encore que pour la CLASSE l'i</w:t>
      </w:r>
      <w:r w:rsidRPr="00BB11AF">
        <w:t>n</w:t>
      </w:r>
      <w:r w:rsidRPr="00BB11AF">
        <w:t>fluence du néolibéralisme et le passage à l'économie de la connaissa</w:t>
      </w:r>
      <w:r w:rsidRPr="00BB11AF">
        <w:t>n</w:t>
      </w:r>
      <w:r w:rsidRPr="00BB11AF">
        <w:t>ce aient dès le début fait l'objet d'une critique et d'un rejet massif</w:t>
      </w:r>
      <w:r>
        <w:t>  </w:t>
      </w:r>
      <w:r>
        <w:rPr>
          <w:rStyle w:val="Appelnotedebasdep"/>
        </w:rPr>
        <w:footnoteReference w:id="104"/>
      </w:r>
      <w:r w:rsidRPr="00BB11AF">
        <w:t>-, le mouvement s'est peu à peu défini comme porteur de revendic</w:t>
      </w:r>
      <w:r w:rsidRPr="00BB11AF">
        <w:t>a</w:t>
      </w:r>
      <w:r w:rsidRPr="00BB11AF">
        <w:t>tions plus larges et plus inclusives. C'est ainsi qu'on a pu dire qu'il s'est transformé en mouvement social. Une résolution rapide du conflit sur les droits de scolarité n'aurait pas donné lieu aux mêmes prises de p</w:t>
      </w:r>
      <w:r w:rsidRPr="00BB11AF">
        <w:t>o</w:t>
      </w:r>
      <w:r w:rsidRPr="00BB11AF">
        <w:t>sition. Ce qui ne veut pas dire que plusieurs des acteurs du mouv</w:t>
      </w:r>
      <w:r w:rsidRPr="00BB11AF">
        <w:t>e</w:t>
      </w:r>
      <w:r w:rsidRPr="00BB11AF">
        <w:t>ment n'aient été dès le début convai</w:t>
      </w:r>
      <w:r w:rsidRPr="00BB11AF">
        <w:t>n</w:t>
      </w:r>
      <w:r w:rsidRPr="00BB11AF">
        <w:t>cus de la justesse du féminisme ou de l'écologisme.</w:t>
      </w:r>
      <w:r>
        <w:t> </w:t>
      </w:r>
      <w:r>
        <w:rPr>
          <w:rStyle w:val="Appelnotedebasdep"/>
        </w:rPr>
        <w:footnoteReference w:id="105"/>
      </w:r>
      <w:r w:rsidRPr="00BB11AF">
        <w:t xml:space="preserve"> Rien ne démontre toutefois que les 170</w:t>
      </w:r>
      <w:r>
        <w:t> </w:t>
      </w:r>
      <w:r w:rsidRPr="00BB11AF">
        <w:t>000 étudiants qui ont été en grève</w:t>
      </w:r>
      <w:r>
        <w:t> </w:t>
      </w:r>
      <w:r>
        <w:rPr>
          <w:rStyle w:val="Appelnotedebasdep"/>
        </w:rPr>
        <w:footnoteReference w:id="106"/>
      </w:r>
      <w:r w:rsidRPr="00BB11AF">
        <w:t xml:space="preserve"> étaient tous d'accord avec l'ense</w:t>
      </w:r>
      <w:r w:rsidRPr="00BB11AF">
        <w:t>m</w:t>
      </w:r>
      <w:r w:rsidRPr="00BB11AF">
        <w:t>ble du cahier des revendications qui s'est d</w:t>
      </w:r>
      <w:r w:rsidRPr="00BB11AF">
        <w:t>é</w:t>
      </w:r>
      <w:r w:rsidRPr="00BB11AF">
        <w:t>ployés.</w:t>
      </w:r>
    </w:p>
    <w:p w:rsidR="003A3061" w:rsidRPr="00BB11AF" w:rsidRDefault="003A3061" w:rsidP="003A3061">
      <w:pPr>
        <w:spacing w:before="120" w:after="120"/>
        <w:jc w:val="both"/>
      </w:pPr>
      <w:r>
        <w:br w:type="page"/>
      </w:r>
    </w:p>
    <w:p w:rsidR="003A3061" w:rsidRPr="00BB11AF" w:rsidRDefault="003A3061" w:rsidP="003A3061">
      <w:pPr>
        <w:spacing w:before="120" w:after="120"/>
        <w:ind w:firstLine="0"/>
        <w:jc w:val="center"/>
        <w:rPr>
          <w:b/>
          <w:bCs/>
          <w:sz w:val="24"/>
          <w:szCs w:val="24"/>
        </w:rPr>
      </w:pPr>
      <w:r w:rsidRPr="00BB11AF">
        <w:rPr>
          <w:b/>
          <w:bCs/>
          <w:sz w:val="24"/>
          <w:szCs w:val="24"/>
        </w:rPr>
        <w:t>Tableau 1.</w:t>
      </w:r>
      <w:r w:rsidRPr="00BB11AF">
        <w:rPr>
          <w:b/>
          <w:bCs/>
          <w:sz w:val="24"/>
          <w:szCs w:val="24"/>
        </w:rPr>
        <w:br/>
        <w:t>Orientations du mouvement étudiant québécois de 2012</w:t>
      </w:r>
    </w:p>
    <w:tbl>
      <w:tblPr>
        <w:tblW w:w="0" w:type="auto"/>
        <w:tblLook w:val="00BF" w:firstRow="1" w:lastRow="0" w:firstColumn="1" w:lastColumn="0" w:noHBand="0" w:noVBand="0"/>
      </w:tblPr>
      <w:tblGrid>
        <w:gridCol w:w="4030"/>
        <w:gridCol w:w="4030"/>
      </w:tblGrid>
      <w:tr w:rsidR="003A3061" w:rsidRPr="00BB11AF">
        <w:tc>
          <w:tcPr>
            <w:tcW w:w="4030" w:type="dxa"/>
            <w:tcBorders>
              <w:top w:val="single" w:sz="12" w:space="0" w:color="auto"/>
              <w:left w:val="single" w:sz="12" w:space="0" w:color="auto"/>
              <w:bottom w:val="single" w:sz="12" w:space="0" w:color="auto"/>
              <w:right w:val="single" w:sz="12" w:space="0" w:color="auto"/>
            </w:tcBorders>
            <w:shd w:val="clear" w:color="auto" w:fill="EAF1DD"/>
          </w:tcPr>
          <w:p w:rsidR="003A3061" w:rsidRPr="00BB11AF" w:rsidRDefault="003A3061" w:rsidP="003A3061">
            <w:pPr>
              <w:spacing w:before="120" w:after="120"/>
              <w:ind w:firstLine="0"/>
              <w:jc w:val="center"/>
              <w:rPr>
                <w:sz w:val="24"/>
              </w:rPr>
            </w:pPr>
            <w:r w:rsidRPr="00BB11AF">
              <w:rPr>
                <w:sz w:val="24"/>
              </w:rPr>
              <w:t>Projet</w:t>
            </w:r>
          </w:p>
        </w:tc>
        <w:tc>
          <w:tcPr>
            <w:tcW w:w="4030" w:type="dxa"/>
            <w:tcBorders>
              <w:top w:val="single" w:sz="12" w:space="0" w:color="auto"/>
              <w:left w:val="single" w:sz="12" w:space="0" w:color="auto"/>
              <w:bottom w:val="single" w:sz="12" w:space="0" w:color="auto"/>
              <w:right w:val="single" w:sz="12" w:space="0" w:color="auto"/>
            </w:tcBorders>
            <w:shd w:val="clear" w:color="auto" w:fill="EAF1DD"/>
          </w:tcPr>
          <w:p w:rsidR="003A3061" w:rsidRPr="00BB11AF" w:rsidRDefault="003A3061" w:rsidP="003A3061">
            <w:pPr>
              <w:spacing w:before="120" w:after="120"/>
              <w:ind w:firstLine="0"/>
              <w:jc w:val="center"/>
              <w:rPr>
                <w:sz w:val="24"/>
              </w:rPr>
            </w:pPr>
            <w:r w:rsidRPr="00BB11AF">
              <w:rPr>
                <w:sz w:val="24"/>
              </w:rPr>
              <w:t>Rejet</w:t>
            </w:r>
          </w:p>
        </w:tc>
      </w:tr>
      <w:tr w:rsidR="003A3061" w:rsidRPr="00BB11AF">
        <w:tc>
          <w:tcPr>
            <w:tcW w:w="4030" w:type="dxa"/>
            <w:tcBorders>
              <w:top w:val="single" w:sz="12" w:space="0" w:color="auto"/>
              <w:left w:val="single" w:sz="12" w:space="0" w:color="auto"/>
              <w:right w:val="single" w:sz="12" w:space="0" w:color="auto"/>
            </w:tcBorders>
          </w:tcPr>
          <w:p w:rsidR="003A3061" w:rsidRPr="00BB11AF" w:rsidRDefault="003A3061" w:rsidP="003A3061">
            <w:pPr>
              <w:spacing w:before="120" w:after="120"/>
              <w:ind w:firstLine="0"/>
              <w:rPr>
                <w:sz w:val="24"/>
              </w:rPr>
            </w:pPr>
            <w:r w:rsidRPr="00BB11AF">
              <w:rPr>
                <w:sz w:val="24"/>
              </w:rPr>
              <w:t>Accès à l’éducation supérieure</w:t>
            </w:r>
          </w:p>
        </w:tc>
        <w:tc>
          <w:tcPr>
            <w:tcW w:w="4030" w:type="dxa"/>
            <w:tcBorders>
              <w:top w:val="single" w:sz="12" w:space="0" w:color="auto"/>
              <w:left w:val="single" w:sz="12" w:space="0" w:color="auto"/>
              <w:right w:val="single" w:sz="12" w:space="0" w:color="auto"/>
            </w:tcBorders>
          </w:tcPr>
          <w:p w:rsidR="003A3061" w:rsidRPr="00BB11AF" w:rsidRDefault="003A3061" w:rsidP="003A3061">
            <w:pPr>
              <w:spacing w:before="120" w:after="120"/>
              <w:ind w:firstLine="0"/>
              <w:rPr>
                <w:sz w:val="24"/>
              </w:rPr>
            </w:pPr>
            <w:r w:rsidRPr="00BB11AF">
              <w:rPr>
                <w:sz w:val="24"/>
              </w:rPr>
              <w:t>Hausse des frais de scolarité</w:t>
            </w:r>
          </w:p>
        </w:tc>
      </w:tr>
      <w:tr w:rsidR="003A3061" w:rsidRPr="00BB11AF">
        <w:tc>
          <w:tcPr>
            <w:tcW w:w="4030" w:type="dxa"/>
            <w:tcBorders>
              <w:left w:val="single" w:sz="12" w:space="0" w:color="auto"/>
              <w:right w:val="single" w:sz="12" w:space="0" w:color="auto"/>
            </w:tcBorders>
          </w:tcPr>
          <w:p w:rsidR="003A3061" w:rsidRPr="00BB11AF" w:rsidRDefault="003A3061" w:rsidP="003A3061">
            <w:pPr>
              <w:spacing w:before="120" w:after="120"/>
              <w:ind w:firstLine="0"/>
              <w:rPr>
                <w:sz w:val="24"/>
              </w:rPr>
            </w:pPr>
            <w:r w:rsidRPr="00BB11AF">
              <w:rPr>
                <w:sz w:val="24"/>
              </w:rPr>
              <w:t>Rénover l’université classique</w:t>
            </w:r>
          </w:p>
        </w:tc>
        <w:tc>
          <w:tcPr>
            <w:tcW w:w="4030" w:type="dxa"/>
            <w:tcBorders>
              <w:left w:val="single" w:sz="12" w:space="0" w:color="auto"/>
              <w:right w:val="single" w:sz="12" w:space="0" w:color="auto"/>
            </w:tcBorders>
          </w:tcPr>
          <w:p w:rsidR="003A3061" w:rsidRPr="00BB11AF" w:rsidRDefault="003A3061" w:rsidP="003A3061">
            <w:pPr>
              <w:spacing w:before="120" w:after="120"/>
              <w:ind w:firstLine="0"/>
              <w:rPr>
                <w:sz w:val="24"/>
              </w:rPr>
            </w:pPr>
            <w:r w:rsidRPr="00BB11AF">
              <w:rPr>
                <w:sz w:val="24"/>
              </w:rPr>
              <w:t>L’économie de la connaissance</w:t>
            </w:r>
          </w:p>
        </w:tc>
      </w:tr>
      <w:tr w:rsidR="003A3061" w:rsidRPr="00BB11AF">
        <w:tc>
          <w:tcPr>
            <w:tcW w:w="4030" w:type="dxa"/>
            <w:tcBorders>
              <w:left w:val="single" w:sz="12" w:space="0" w:color="auto"/>
              <w:right w:val="single" w:sz="12" w:space="0" w:color="auto"/>
            </w:tcBorders>
          </w:tcPr>
          <w:p w:rsidR="003A3061" w:rsidRPr="00BB11AF" w:rsidRDefault="003A3061" w:rsidP="003A3061">
            <w:pPr>
              <w:spacing w:before="120" w:after="120"/>
              <w:ind w:firstLine="0"/>
              <w:rPr>
                <w:sz w:val="24"/>
              </w:rPr>
            </w:pPr>
            <w:r w:rsidRPr="00BB11AF">
              <w:rPr>
                <w:sz w:val="24"/>
              </w:rPr>
              <w:t>Utilisation des nouvelles technol</w:t>
            </w:r>
            <w:r w:rsidRPr="00BB11AF">
              <w:rPr>
                <w:sz w:val="24"/>
              </w:rPr>
              <w:t>o</w:t>
            </w:r>
            <w:r w:rsidRPr="00BB11AF">
              <w:rPr>
                <w:sz w:val="24"/>
              </w:rPr>
              <w:t>gies en réseau</w:t>
            </w:r>
          </w:p>
        </w:tc>
        <w:tc>
          <w:tcPr>
            <w:tcW w:w="4030" w:type="dxa"/>
            <w:tcBorders>
              <w:left w:val="single" w:sz="12" w:space="0" w:color="auto"/>
              <w:right w:val="single" w:sz="12" w:space="0" w:color="auto"/>
            </w:tcBorders>
          </w:tcPr>
          <w:p w:rsidR="003A3061" w:rsidRPr="00BB11AF" w:rsidRDefault="003A3061" w:rsidP="003A3061">
            <w:pPr>
              <w:spacing w:before="120" w:after="120"/>
              <w:ind w:firstLine="0"/>
              <w:rPr>
                <w:sz w:val="24"/>
              </w:rPr>
            </w:pPr>
            <w:r w:rsidRPr="00BB11AF">
              <w:rPr>
                <w:sz w:val="24"/>
              </w:rPr>
              <w:t>L’éduction comme investissement i</w:t>
            </w:r>
            <w:r w:rsidRPr="00BB11AF">
              <w:rPr>
                <w:sz w:val="24"/>
              </w:rPr>
              <w:t>n</w:t>
            </w:r>
            <w:r w:rsidRPr="00BB11AF">
              <w:rPr>
                <w:sz w:val="24"/>
              </w:rPr>
              <w:t>dividuel</w:t>
            </w:r>
          </w:p>
        </w:tc>
      </w:tr>
      <w:tr w:rsidR="003A3061" w:rsidRPr="00BB11AF">
        <w:tc>
          <w:tcPr>
            <w:tcW w:w="4030" w:type="dxa"/>
            <w:tcBorders>
              <w:left w:val="single" w:sz="12" w:space="0" w:color="auto"/>
              <w:right w:val="single" w:sz="12" w:space="0" w:color="auto"/>
            </w:tcBorders>
          </w:tcPr>
          <w:p w:rsidR="003A3061" w:rsidRPr="00BB11AF" w:rsidRDefault="003A3061" w:rsidP="003A3061">
            <w:pPr>
              <w:spacing w:before="120" w:after="120"/>
              <w:ind w:firstLine="0"/>
              <w:rPr>
                <w:sz w:val="24"/>
              </w:rPr>
            </w:pPr>
            <w:r w:rsidRPr="00BB11AF">
              <w:rPr>
                <w:sz w:val="24"/>
              </w:rPr>
              <w:t>Rapports de sexe égalitaires</w:t>
            </w:r>
          </w:p>
        </w:tc>
        <w:tc>
          <w:tcPr>
            <w:tcW w:w="4030" w:type="dxa"/>
            <w:tcBorders>
              <w:left w:val="single" w:sz="12" w:space="0" w:color="auto"/>
              <w:right w:val="single" w:sz="12" w:space="0" w:color="auto"/>
            </w:tcBorders>
          </w:tcPr>
          <w:p w:rsidR="003A3061" w:rsidRPr="00BB11AF" w:rsidRDefault="003A3061" w:rsidP="003A3061">
            <w:pPr>
              <w:spacing w:before="120" w:after="120"/>
              <w:ind w:firstLine="0"/>
              <w:rPr>
                <w:sz w:val="24"/>
              </w:rPr>
            </w:pPr>
            <w:r w:rsidRPr="00BB11AF">
              <w:rPr>
                <w:sz w:val="24"/>
              </w:rPr>
              <w:t>Structures hiérarchiques (CLASSE)</w:t>
            </w:r>
          </w:p>
        </w:tc>
      </w:tr>
      <w:tr w:rsidR="003A3061" w:rsidRPr="00BB11AF">
        <w:tc>
          <w:tcPr>
            <w:tcW w:w="4030" w:type="dxa"/>
            <w:tcBorders>
              <w:left w:val="single" w:sz="12" w:space="0" w:color="auto"/>
              <w:right w:val="single" w:sz="12" w:space="0" w:color="auto"/>
            </w:tcBorders>
          </w:tcPr>
          <w:p w:rsidR="003A3061" w:rsidRPr="00BB11AF" w:rsidRDefault="003A3061" w:rsidP="003A3061">
            <w:pPr>
              <w:spacing w:before="120" w:after="120"/>
              <w:ind w:firstLine="0"/>
              <w:rPr>
                <w:sz w:val="24"/>
              </w:rPr>
            </w:pPr>
            <w:r w:rsidRPr="00BB11AF">
              <w:rPr>
                <w:sz w:val="24"/>
              </w:rPr>
              <w:t>Affiliation collective</w:t>
            </w:r>
          </w:p>
        </w:tc>
        <w:tc>
          <w:tcPr>
            <w:tcW w:w="4030" w:type="dxa"/>
            <w:tcBorders>
              <w:left w:val="single" w:sz="12" w:space="0" w:color="auto"/>
              <w:right w:val="single" w:sz="12" w:space="0" w:color="auto"/>
            </w:tcBorders>
          </w:tcPr>
          <w:p w:rsidR="003A3061" w:rsidRPr="00BB11AF" w:rsidRDefault="003A3061" w:rsidP="003A3061">
            <w:pPr>
              <w:spacing w:before="120" w:after="120"/>
              <w:ind w:firstLine="0"/>
              <w:rPr>
                <w:sz w:val="24"/>
              </w:rPr>
            </w:pPr>
            <w:r w:rsidRPr="00BB11AF">
              <w:rPr>
                <w:sz w:val="24"/>
              </w:rPr>
              <w:t>Individualisme/chacun pour soi</w:t>
            </w:r>
          </w:p>
        </w:tc>
      </w:tr>
      <w:tr w:rsidR="003A3061" w:rsidRPr="00BB11AF">
        <w:tc>
          <w:tcPr>
            <w:tcW w:w="4030" w:type="dxa"/>
            <w:tcBorders>
              <w:left w:val="single" w:sz="12" w:space="0" w:color="auto"/>
              <w:bottom w:val="single" w:sz="12" w:space="0" w:color="auto"/>
              <w:right w:val="single" w:sz="12" w:space="0" w:color="auto"/>
            </w:tcBorders>
          </w:tcPr>
          <w:p w:rsidR="003A3061" w:rsidRPr="00BB11AF" w:rsidRDefault="003A3061" w:rsidP="003A3061">
            <w:pPr>
              <w:spacing w:before="120" w:after="120"/>
              <w:ind w:firstLine="0"/>
              <w:rPr>
                <w:sz w:val="24"/>
              </w:rPr>
            </w:pPr>
            <w:r w:rsidRPr="00BB11AF">
              <w:rPr>
                <w:sz w:val="24"/>
              </w:rPr>
              <w:t>Émancipation personnelle et colle</w:t>
            </w:r>
            <w:r w:rsidRPr="00BB11AF">
              <w:rPr>
                <w:sz w:val="24"/>
              </w:rPr>
              <w:t>c</w:t>
            </w:r>
            <w:r w:rsidRPr="00BB11AF">
              <w:rPr>
                <w:sz w:val="24"/>
              </w:rPr>
              <w:t>tive</w:t>
            </w:r>
          </w:p>
        </w:tc>
        <w:tc>
          <w:tcPr>
            <w:tcW w:w="4030" w:type="dxa"/>
            <w:tcBorders>
              <w:left w:val="single" w:sz="12" w:space="0" w:color="auto"/>
              <w:bottom w:val="single" w:sz="12" w:space="0" w:color="auto"/>
              <w:right w:val="single" w:sz="12" w:space="0" w:color="auto"/>
            </w:tcBorders>
          </w:tcPr>
          <w:p w:rsidR="003A3061" w:rsidRPr="00BB11AF" w:rsidRDefault="003A3061" w:rsidP="003A3061">
            <w:pPr>
              <w:spacing w:before="120" w:after="120"/>
              <w:ind w:firstLine="0"/>
              <w:rPr>
                <w:sz w:val="24"/>
              </w:rPr>
            </w:pPr>
            <w:r w:rsidRPr="00BB11AF">
              <w:rPr>
                <w:sz w:val="24"/>
              </w:rPr>
              <w:t>Système de motivation de la no</w:t>
            </w:r>
            <w:r w:rsidRPr="00BB11AF">
              <w:rPr>
                <w:sz w:val="24"/>
              </w:rPr>
              <w:t>u</w:t>
            </w:r>
            <w:r w:rsidRPr="00BB11AF">
              <w:rPr>
                <w:sz w:val="24"/>
              </w:rPr>
              <w:t>velle bourgeoisie.</w:t>
            </w:r>
          </w:p>
        </w:tc>
      </w:tr>
    </w:tbl>
    <w:p w:rsidR="003A3061" w:rsidRPr="00BB11AF" w:rsidRDefault="003A3061" w:rsidP="003A3061">
      <w:pPr>
        <w:spacing w:before="120" w:after="120"/>
        <w:jc w:val="both"/>
        <w:rPr>
          <w:sz w:val="24"/>
        </w:rPr>
      </w:pPr>
    </w:p>
    <w:p w:rsidR="003A3061" w:rsidRPr="00BB11AF" w:rsidRDefault="003A3061" w:rsidP="003A3061">
      <w:pPr>
        <w:spacing w:before="120" w:after="120"/>
        <w:jc w:val="both"/>
      </w:pPr>
      <w:r w:rsidRPr="00BB11AF">
        <w:t>Là où le mouvement se distingue tant des partis traditionnels que des organisations privées, c'est dans son rejet de la démocratie repr</w:t>
      </w:r>
      <w:r w:rsidRPr="00BB11AF">
        <w:t>é</w:t>
      </w:r>
      <w:r w:rsidRPr="00BB11AF">
        <w:t>sent</w:t>
      </w:r>
      <w:r w:rsidRPr="00BB11AF">
        <w:t>a</w:t>
      </w:r>
      <w:r w:rsidRPr="00BB11AF">
        <w:t>tive. Encore qu'il faille apporter ici une nuance de taille : deux des o</w:t>
      </w:r>
      <w:r w:rsidRPr="00BB11AF">
        <w:t>r</w:t>
      </w:r>
      <w:r w:rsidRPr="00BB11AF">
        <w:t>ganisations étudiantes, la Fédération étudiante collégiale du Québec (FECQ) et la Fédération étudiante universitaire du Québec (FEUQ) adhéraient au credo représentativiste. En effet, si toutes les associ</w:t>
      </w:r>
      <w:r w:rsidRPr="00BB11AF">
        <w:t>a</w:t>
      </w:r>
      <w:r w:rsidRPr="00BB11AF">
        <w:t>tions avaient des structures de consultation des membres et des a</w:t>
      </w:r>
      <w:r w:rsidRPr="00BB11AF">
        <w:t>s</w:t>
      </w:r>
      <w:r w:rsidRPr="00BB11AF">
        <w:t>semblées générales de ratification des ententes seule la CLASSE avait une structure où la démocratie directe jouait un rôle constant dans sa gouvernance. Leurs congrès ne réunissaient cependant que les repr</w:t>
      </w:r>
      <w:r w:rsidRPr="00BB11AF">
        <w:t>é</w:t>
      </w:r>
      <w:r w:rsidRPr="00BB11AF">
        <w:t>sentants des associations membres. Au-delà des mouvements et des structures, l'état actuel des communications et des compétences sociales ouvre la voie vers de nouvelles voies organisationnelles. Ai</w:t>
      </w:r>
      <w:r w:rsidRPr="00BB11AF">
        <w:t>n</w:t>
      </w:r>
      <w:r w:rsidRPr="00BB11AF">
        <w:t>si, le conflit fut le lieu de mouvements d'auto-organisation inédits et e</w:t>
      </w:r>
      <w:r w:rsidRPr="00BB11AF">
        <w:t>n</w:t>
      </w:r>
      <w:r w:rsidRPr="00BB11AF">
        <w:t>core à étudier. En preuve, ce texte provenant de la CLASSE publié le 4 mai 2012 :</w:t>
      </w:r>
    </w:p>
    <w:p w:rsidR="003A3061" w:rsidRDefault="003A3061" w:rsidP="003A3061">
      <w:pPr>
        <w:pStyle w:val="Grillecouleur-Accent1"/>
      </w:pPr>
    </w:p>
    <w:p w:rsidR="003A3061" w:rsidRPr="00BB11AF" w:rsidRDefault="003A3061" w:rsidP="003A3061">
      <w:pPr>
        <w:pStyle w:val="Grillecouleur-Accent1"/>
      </w:pPr>
      <w:r w:rsidRPr="00BB11AF">
        <w:t>[...] que nous avons actuellement de la difficulté à faire de notre plan d'action l'élément structurant de la présente grève, comme il en était le cas plus tôt en mars et en février.</w:t>
      </w:r>
    </w:p>
    <w:p w:rsidR="003A3061" w:rsidRPr="00BB11AF" w:rsidRDefault="003A3061" w:rsidP="003A3061">
      <w:pPr>
        <w:pStyle w:val="Grillecouleur-Accent1"/>
      </w:pPr>
      <w:r w:rsidRPr="00BB11AF">
        <w:t>[...] il y a de plus en plus d'actions et de manifestations spontanées qui se tiennent un peu partout au Québec. Nous n'avons qu'à penser aux man</w:t>
      </w:r>
      <w:r w:rsidRPr="00BB11AF">
        <w:t>i</w:t>
      </w:r>
      <w:r w:rsidRPr="00BB11AF">
        <w:t>festations nocturnes qui se multiplient et se répètent à Mo</w:t>
      </w:r>
      <w:r w:rsidRPr="00BB11AF">
        <w:t>n</w:t>
      </w:r>
      <w:r w:rsidRPr="00BB11AF">
        <w:t xml:space="preserve">tréal. Alors que la CLASSE organisait une manifestation nationale le </w:t>
      </w:r>
      <w:r w:rsidRPr="00BB11AF">
        <w:rPr>
          <w:rStyle w:val="Corpsdutexte105ptNonGraschelle150"/>
          <w:rFonts w:ascii="Times New Roman" w:hAnsi="Times New Roman"/>
          <w:b w:val="0"/>
          <w:w w:val="100"/>
          <w:lang w:val="fr-CA"/>
        </w:rPr>
        <w:t>25</w:t>
      </w:r>
      <w:r w:rsidRPr="00BB11AF">
        <w:t xml:space="preserve"> avril </w:t>
      </w:r>
      <w:r w:rsidRPr="003D25F1">
        <w:rPr>
          <w:bCs/>
        </w:rPr>
        <w:t>2012</w:t>
      </w:r>
      <w:r w:rsidRPr="00BB11AF">
        <w:t>, la man</w:t>
      </w:r>
      <w:r w:rsidRPr="00BB11AF">
        <w:t>i</w:t>
      </w:r>
      <w:r w:rsidRPr="00BB11AF">
        <w:t xml:space="preserve">festation spontanée du soir même a été en mesure d'aller mobiliser plus de </w:t>
      </w:r>
      <w:r w:rsidRPr="003D25F1">
        <w:rPr>
          <w:bCs/>
        </w:rPr>
        <w:t>4</w:t>
      </w:r>
      <w:r w:rsidRPr="00BB11AF">
        <w:t xml:space="preserve"> fois plus de manifestantes et manife</w:t>
      </w:r>
      <w:r w:rsidRPr="00BB11AF">
        <w:t>s</w:t>
      </w:r>
      <w:r w:rsidRPr="00BB11AF">
        <w:t xml:space="preserve">tants (CLASSE </w:t>
      </w:r>
      <w:r w:rsidRPr="003D25F1">
        <w:rPr>
          <w:bCs/>
        </w:rPr>
        <w:t>2012</w:t>
      </w:r>
      <w:r w:rsidRPr="00BB11AF">
        <w:t> :</w:t>
      </w:r>
      <w:r w:rsidRPr="003D25F1">
        <w:rPr>
          <w:bCs/>
        </w:rPr>
        <w:t>6</w:t>
      </w:r>
      <w:r w:rsidRPr="00BB11AF">
        <w:t>).</w:t>
      </w:r>
    </w:p>
    <w:p w:rsidR="003A3061" w:rsidRDefault="003A3061" w:rsidP="003A3061">
      <w:pPr>
        <w:spacing w:before="120" w:after="120"/>
        <w:jc w:val="both"/>
      </w:pPr>
    </w:p>
    <w:p w:rsidR="003A3061" w:rsidRPr="00BB11AF" w:rsidRDefault="003A3061" w:rsidP="003A3061">
      <w:pPr>
        <w:spacing w:before="120" w:after="120"/>
        <w:jc w:val="both"/>
      </w:pPr>
      <w:r w:rsidRPr="00BB11AF">
        <w:t>[194]</w:t>
      </w:r>
    </w:p>
    <w:p w:rsidR="003A3061" w:rsidRPr="00BB11AF" w:rsidRDefault="003A3061" w:rsidP="003A3061">
      <w:pPr>
        <w:spacing w:before="120" w:after="120"/>
        <w:jc w:val="both"/>
      </w:pPr>
      <w:r w:rsidRPr="00BB11AF">
        <w:t>En somme, les étudiants du Carré rouge ne remettent pas en que</w:t>
      </w:r>
      <w:r w:rsidRPr="00BB11AF">
        <w:t>s</w:t>
      </w:r>
      <w:r w:rsidRPr="00BB11AF">
        <w:t>tion les transformations sociales héritées de la Révolution tranquille et des années 1970. La présence des femmes au sein du mouvement, à ses niveaux les plus élevés, ainsi que le soin de la CLASSE à conse</w:t>
      </w:r>
      <w:r w:rsidRPr="00BB11AF">
        <w:t>r</w:t>
      </w:r>
      <w:r w:rsidRPr="00BB11AF">
        <w:t>ver un leadership bicéphale et bisexuel le montrent bien. La famille et les rapports de sexe semblent pour eux transformés à tout jamais. Ils se distinguent ici nettement des mouvements conservateurs canadiens ou américains qui veulent restaurer les rôles et rapports de sexe trad</w:t>
      </w:r>
      <w:r w:rsidRPr="00BB11AF">
        <w:t>i</w:t>
      </w:r>
      <w:r w:rsidRPr="00BB11AF">
        <w:t>tionnels. Ils font toutefois preuve de « conservatisme » face à l'instit</w:t>
      </w:r>
      <w:r w:rsidRPr="00BB11AF">
        <w:t>u</w:t>
      </w:r>
      <w:r w:rsidRPr="00BB11AF">
        <w:t>tion universitaire et à l'environnement. Leur action s'inscrit aussi en faux face au mouvement de désaffiliation qu'on remarque dans nos soci</w:t>
      </w:r>
      <w:r w:rsidRPr="00BB11AF">
        <w:t>é</w:t>
      </w:r>
      <w:r w:rsidRPr="00BB11AF">
        <w:t>tés. Leurs assemblées générales comme leurs marches et autres man</w:t>
      </w:r>
      <w:r w:rsidRPr="00BB11AF">
        <w:t>i</w:t>
      </w:r>
      <w:r w:rsidRPr="00BB11AF">
        <w:t>festations sont en elles-mêmes une démarche d'affiliation, mieux une incorporation. Ils opposent le « collectif » aux injonctions ent</w:t>
      </w:r>
      <w:r w:rsidRPr="00BB11AF">
        <w:t>a</w:t>
      </w:r>
      <w:r w:rsidRPr="00BB11AF">
        <w:t>mées par des individus « qui ont perdu leur vote en assemblée génér</w:t>
      </w:r>
      <w:r w:rsidRPr="00BB11AF">
        <w:t>a</w:t>
      </w:r>
      <w:r w:rsidRPr="00BB11AF">
        <w:t>le » (déclaration de Gabriel Nadeau-Dubois). Mais la question de la dém</w:t>
      </w:r>
      <w:r w:rsidRPr="00BB11AF">
        <w:t>o</w:t>
      </w:r>
      <w:r w:rsidRPr="00BB11AF">
        <w:t>cratie participative versus la démocratie indirecte mérite d'être appr</w:t>
      </w:r>
      <w:r w:rsidRPr="00BB11AF">
        <w:t>o</w:t>
      </w:r>
      <w:r w:rsidRPr="00BB11AF">
        <w:t>fondie au-delà de la simple opposition entre deux régimes de gouve</w:t>
      </w:r>
      <w:r w:rsidRPr="00BB11AF">
        <w:t>r</w:t>
      </w:r>
      <w:r w:rsidRPr="00BB11AF">
        <w:t>nance.</w:t>
      </w:r>
    </w:p>
    <w:p w:rsidR="003A3061" w:rsidRPr="00BB11AF" w:rsidRDefault="003A3061" w:rsidP="003A3061">
      <w:pPr>
        <w:spacing w:before="120" w:after="120"/>
        <w:jc w:val="both"/>
      </w:pPr>
      <w:r w:rsidRPr="00BB11AF">
        <w:t>Quelques mots sur le rapport à la nation du mouvement des Carrés rouges avant de conclure. La question de l'indépendance du Québec n'a pas ou prou été discutée au cours des sept mois de grève. Si ce n'est pour souligner sa quasi-absence. On pourrait s'en étonner au moment où les revendications se sont établies hors du strict contexte éducatif. Il est à noter immédiatement que l'éducation supérieure est une compétence provinciale. Néanmoins, le rôle du gouvernement fédéral n'a pas même été mentionné lorsqu'on a critiqué l'importance démesurée de la recherche qui est pourtant un champ où le fédéral joue un rôle prédominant (les organismes subventionnaires les plus importants relèvent du Ministère de l'industrie et du commerce féd</w:t>
      </w:r>
      <w:r w:rsidRPr="00BB11AF">
        <w:t>é</w:t>
      </w:r>
      <w:r w:rsidRPr="00BB11AF">
        <w:t>ral). On a préféré souligner le rôle de l'entreprise que celui de l'État fédéral - une logique classiste plutôt que nationaliste. On note bien ici ou là une mention sur la langue</w:t>
      </w:r>
      <w:r>
        <w:t> </w:t>
      </w:r>
      <w:r>
        <w:rPr>
          <w:rStyle w:val="Appelnotedebasdep"/>
        </w:rPr>
        <w:footnoteReference w:id="107"/>
      </w:r>
      <w:r w:rsidRPr="00BB11AF">
        <w:t xml:space="preserve"> que la marchandisation pourrait menacer, mais on n'en situe pas la solution comme la sortie du cadre f</w:t>
      </w:r>
      <w:r w:rsidRPr="00BB11AF">
        <w:t>é</w:t>
      </w:r>
      <w:r w:rsidRPr="00BB11AF">
        <w:t>déral. Au plan visuel, le paysage formé par les manifestants dément cette absence de la nation. Presque tous les drapeaux qu'on brandissait étaient des fleurdelisés ou même le drapeau des patriotes. Si on ne peut rejeter l'hypothèse d'un certain opportunisme de la part d'org</w:t>
      </w:r>
      <w:r w:rsidRPr="00BB11AF">
        <w:t>a</w:t>
      </w:r>
      <w:r w:rsidRPr="00BB11AF">
        <w:t>nismes indépendantistes qui voyaient là la possibilité de s'opposer aux troupes fédéralistes du Parti libéral du Québec, on ne peut non plus nier l'exclusivité de la présence du drapeau québécois et, par-là, de l'idée d'indépendance. Mais était-ce bien d'indépendance dont il était question, mais plutôt d'un vif sentiment d'appartenance ?</w:t>
      </w:r>
    </w:p>
    <w:p w:rsidR="003A3061" w:rsidRPr="00BB11AF" w:rsidRDefault="003A3061" w:rsidP="003A3061">
      <w:pPr>
        <w:spacing w:before="120" w:after="120"/>
        <w:jc w:val="both"/>
      </w:pPr>
    </w:p>
    <w:p w:rsidR="003A3061" w:rsidRPr="00BB11AF" w:rsidRDefault="003A3061" w:rsidP="003A3061">
      <w:pPr>
        <w:pStyle w:val="c"/>
        <w:keepLines w:val="0"/>
        <w:ind w:firstLine="360"/>
      </w:pPr>
      <w:r w:rsidRPr="00BB11AF">
        <w:t>* * *</w:t>
      </w:r>
    </w:p>
    <w:p w:rsidR="003A3061" w:rsidRPr="00BB11AF" w:rsidRDefault="003A3061" w:rsidP="003A3061">
      <w:pPr>
        <w:spacing w:before="120" w:after="120"/>
        <w:jc w:val="both"/>
      </w:pPr>
      <w:r w:rsidRPr="00BB11AF">
        <w:t>[195]</w:t>
      </w:r>
    </w:p>
    <w:p w:rsidR="003A3061" w:rsidRPr="00BB11AF" w:rsidRDefault="003A3061" w:rsidP="003A3061">
      <w:pPr>
        <w:spacing w:before="120" w:after="120"/>
        <w:jc w:val="both"/>
      </w:pPr>
      <w:r w:rsidRPr="00BB11AF">
        <w:t>Que nous montre cette triste histoire de l'échec des rêves de 1968. Qu'il ne faut plus rêver ? Qu'il n'est pas possible de compter sur des organisations telles les partis politiques ou tout autre mouvement hi</w:t>
      </w:r>
      <w:r w:rsidRPr="00BB11AF">
        <w:t>é</w:t>
      </w:r>
      <w:r w:rsidRPr="00BB11AF">
        <w:t>rarchique ? Peut-on penser qu'un tel refus des formes organisationne</w:t>
      </w:r>
      <w:r w:rsidRPr="00BB11AF">
        <w:t>l</w:t>
      </w:r>
      <w:r w:rsidRPr="00BB11AF">
        <w:t>les définies par leur efficacité puisse s'appliquer à toute une soci</w:t>
      </w:r>
      <w:r w:rsidRPr="00BB11AF">
        <w:t>é</w:t>
      </w:r>
      <w:r w:rsidRPr="00BB11AF">
        <w:t>té ? Peut-on penser à des principes, des règles et des normes qu'on pourrait appliquer à une grande variété d'enjeux sociaux ? Des pri</w:t>
      </w:r>
      <w:r w:rsidRPr="00BB11AF">
        <w:t>n</w:t>
      </w:r>
      <w:r w:rsidRPr="00BB11AF">
        <w:t>cipes qui échappent à une logique de marché et à son organisation immanente ? Les travaux d'un Michel Freitag peuvent nous amener à réfléchir à certaines solutions. Freitag rejette des institutions qui me</w:t>
      </w:r>
      <w:r w:rsidRPr="00BB11AF">
        <w:t>t</w:t>
      </w:r>
      <w:r w:rsidRPr="00BB11AF">
        <w:t>traient enjeu les grands critères de justice et d'égalité. Cependant, co</w:t>
      </w:r>
      <w:r w:rsidRPr="00BB11AF">
        <w:t>n</w:t>
      </w:r>
      <w:r w:rsidRPr="00BB11AF">
        <w:t>trairement à une bonne partie de la gauche soixante-huitarde, il ne r</w:t>
      </w:r>
      <w:r w:rsidRPr="00BB11AF">
        <w:t>e</w:t>
      </w:r>
      <w:r w:rsidRPr="00BB11AF">
        <w:t>jette pas l'idée d'institution en soi. Il en fait un projet d'élaboration plutôt qu'un donné immuable. Ce faisant, il confie aux intellectuels et au processus de délibération une tâche immense. Il accepte aussi de conférer une nat</w:t>
      </w:r>
      <w:r w:rsidRPr="00BB11AF">
        <w:t>u</w:t>
      </w:r>
      <w:r w:rsidRPr="00BB11AF">
        <w:t>re essentielle, indépassable à certains processus ou à certaines valeurs.</w:t>
      </w:r>
    </w:p>
    <w:p w:rsidR="003A3061" w:rsidRDefault="003A3061" w:rsidP="003A3061">
      <w:pPr>
        <w:pStyle w:val="Grillecouleur-Accent1"/>
      </w:pPr>
    </w:p>
    <w:p w:rsidR="003A3061" w:rsidRDefault="003A3061" w:rsidP="003A3061">
      <w:pPr>
        <w:pStyle w:val="Grillecouleur-Accent1"/>
      </w:pPr>
      <w:r w:rsidRPr="00BB11AF">
        <w:t>« L'avantage de cette critique, contrairement à bien d'autres di</w:t>
      </w:r>
      <w:r w:rsidRPr="00BB11AF">
        <w:t>s</w:t>
      </w:r>
      <w:r w:rsidRPr="00BB11AF">
        <w:t>cours de gauche, est de ne pas limiter la compréhension de l'université à une in</w:t>
      </w:r>
      <w:r w:rsidRPr="00BB11AF">
        <w:t>s</w:t>
      </w:r>
      <w:r w:rsidRPr="00BB11AF">
        <w:t>titution qui, prise dans l'ensemble du système scolaire, n'a pour fonction que la reproduction des différentes classes. Ainsi, cette approche permet de penser l'université autrement en s'inspirant de son histoire pour en r</w:t>
      </w:r>
      <w:r w:rsidRPr="00BB11AF">
        <w:t>e</w:t>
      </w:r>
      <w:r w:rsidRPr="00BB11AF">
        <w:t xml:space="preserve">vendiquer les meilleurs aspects » (Chiasson-LeBel et al. </w:t>
      </w:r>
      <w:r w:rsidRPr="002666FA">
        <w:rPr>
          <w:bCs/>
          <w:color w:val="auto"/>
          <w:sz w:val="28"/>
        </w:rPr>
        <w:t>2012 : 7</w:t>
      </w:r>
      <w:r w:rsidRPr="00BB11AF">
        <w:t>).</w:t>
      </w:r>
    </w:p>
    <w:p w:rsidR="003A3061" w:rsidRPr="00BB11AF" w:rsidRDefault="003A3061" w:rsidP="003A3061">
      <w:pPr>
        <w:pStyle w:val="Grillecouleur-Accent1"/>
      </w:pPr>
    </w:p>
    <w:p w:rsidR="003A3061" w:rsidRPr="00BB11AF" w:rsidRDefault="003A3061" w:rsidP="003A3061">
      <w:pPr>
        <w:spacing w:before="120" w:after="120"/>
        <w:jc w:val="both"/>
      </w:pPr>
      <w:r w:rsidRPr="00BB11AF">
        <w:t>Cette reconnexion avec l'histoire est sans doute souhaitable, mais le terrain est déjà occupé par l'extrême-droite et le populisme nationali</w:t>
      </w:r>
      <w:r w:rsidRPr="00BB11AF">
        <w:t>s</w:t>
      </w:r>
      <w:r w:rsidRPr="00BB11AF">
        <w:t>te et on manque de modèles. Heureusement, le conservatisme social qui prône le retour aux valeurs familiales et à la stricte division sexuelle du travail trouve peu de défenseurs au Québec en général et parmi les étudiants en particulier. Un néo-traditionalisme « progre</w:t>
      </w:r>
      <w:r w:rsidRPr="00BB11AF">
        <w:t>s</w:t>
      </w:r>
      <w:r w:rsidRPr="00BB11AF">
        <w:t>siste » qui pourrait être la base d'une définition du futur en rupture avec le néolibéralisme reste cependant à développer. Tout</w:t>
      </w:r>
      <w:r w:rsidRPr="00BB11AF">
        <w:t>e</w:t>
      </w:r>
      <w:r w:rsidRPr="00BB11AF">
        <w:t>fois, le modèle du « bourgeois éclairé » proposé par certains freit</w:t>
      </w:r>
      <w:r w:rsidRPr="00BB11AF">
        <w:t>a</w:t>
      </w:r>
      <w:r w:rsidRPr="00BB11AF">
        <w:t>giens, Éric Martin et Maxime Ouellet notamment, qu'ils puisent d'un passé rév</w:t>
      </w:r>
      <w:r w:rsidRPr="00BB11AF">
        <w:t>o</w:t>
      </w:r>
      <w:r w:rsidRPr="00BB11AF">
        <w:t>lu, a déjà montré ses défaillances. Le « bourgeois éclairé » est un trop proche cousin du « bourgeois exploiteur ». Le dosage co</w:t>
      </w:r>
      <w:r w:rsidRPr="00BB11AF">
        <w:t>r</w:t>
      </w:r>
      <w:r w:rsidRPr="00BB11AF">
        <w:t>rect entre la démocratie directe et la démocratie représentative reste à identifier et il risque de varier selon les problématiques et les acteurs en scène. Une des grandes questions qu'il faudra résoudre est le ra</w:t>
      </w:r>
      <w:r w:rsidRPr="00BB11AF">
        <w:t>p</w:t>
      </w:r>
      <w:r w:rsidRPr="00BB11AF">
        <w:t>port entre gouvernance locale et gouvernance globale. Cela ne se fera pas du jour au lendemain.</w:t>
      </w:r>
    </w:p>
    <w:p w:rsidR="003A3061" w:rsidRPr="00BB11AF" w:rsidRDefault="003A3061" w:rsidP="003A3061">
      <w:pPr>
        <w:spacing w:before="120" w:after="120"/>
        <w:jc w:val="both"/>
      </w:pPr>
      <w:r w:rsidRPr="00BB11AF">
        <w:t>[196]</w:t>
      </w:r>
    </w:p>
    <w:p w:rsidR="003A3061" w:rsidRPr="00BB11AF" w:rsidRDefault="003A3061" w:rsidP="003A3061">
      <w:pPr>
        <w:spacing w:before="120" w:after="120"/>
        <w:jc w:val="both"/>
      </w:pPr>
    </w:p>
    <w:p w:rsidR="003A3061" w:rsidRPr="00BB11AF" w:rsidRDefault="003A3061" w:rsidP="003A3061">
      <w:pPr>
        <w:pStyle w:val="planche"/>
      </w:pPr>
      <w:r w:rsidRPr="00BB11AF">
        <w:t>Références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 xml:space="preserve">Alvaredo, F., A. B. Atkinson, T. Piketty and E. Saez. 2014. « The World Top Incomes Database ». Document électronique : </w:t>
      </w:r>
      <w:hyperlink r:id="rId53" w:history="1">
        <w:r>
          <w:rPr>
            <w:rStyle w:val="Lienhypertexte"/>
            <w:lang w:bidi="en-US"/>
          </w:rPr>
          <w:t>http</w:t>
        </w:r>
        <w:r w:rsidRPr="00BB11AF">
          <w:rPr>
            <w:rStyle w:val="Lienhypertexte"/>
            <w:lang w:bidi="en-US"/>
          </w:rPr>
          <w:t>://topincomes.g-mond.parisschoolofeconomics.eu</w:t>
        </w:r>
      </w:hyperlink>
      <w:r w:rsidRPr="00BB11AF">
        <w:rPr>
          <w:lang w:bidi="en-US"/>
        </w:rPr>
        <w:t xml:space="preserve">, </w:t>
      </w:r>
      <w:r w:rsidRPr="00BB11AF">
        <w:t>consulté le 21 janvier 2014.</w:t>
      </w:r>
    </w:p>
    <w:p w:rsidR="003A3061" w:rsidRPr="00BB11AF" w:rsidRDefault="003A3061" w:rsidP="003A3061">
      <w:pPr>
        <w:spacing w:before="120" w:after="120"/>
        <w:jc w:val="both"/>
      </w:pPr>
      <w:r w:rsidRPr="00BB11AF">
        <w:t xml:space="preserve">Arendt, H. 1972. </w:t>
      </w:r>
      <w:r w:rsidRPr="00BB11AF">
        <w:rPr>
          <w:i/>
        </w:rPr>
        <w:t>La crise de la culture</w:t>
      </w:r>
      <w:r w:rsidRPr="00BB11AF">
        <w:t>. Paris : Gallimard.</w:t>
      </w:r>
    </w:p>
    <w:p w:rsidR="003A3061" w:rsidRPr="00BB11AF" w:rsidRDefault="003A3061" w:rsidP="003A3061">
      <w:pPr>
        <w:spacing w:before="120" w:after="120"/>
        <w:jc w:val="both"/>
      </w:pPr>
      <w:r w:rsidRPr="00BB11AF">
        <w:t xml:space="preserve">Baudelot C. et R. Establet. 2006. </w:t>
      </w:r>
      <w:r w:rsidRPr="00BB11AF">
        <w:rPr>
          <w:i/>
        </w:rPr>
        <w:t>Suicide. L'envers de notre mo</w:t>
      </w:r>
      <w:r w:rsidRPr="00BB11AF">
        <w:rPr>
          <w:i/>
        </w:rPr>
        <w:t>n</w:t>
      </w:r>
      <w:r w:rsidRPr="00BB11AF">
        <w:rPr>
          <w:i/>
        </w:rPr>
        <w:t>de</w:t>
      </w:r>
      <w:r w:rsidRPr="00BB11AF">
        <w:t>. Paris : Seuil.</w:t>
      </w:r>
    </w:p>
    <w:p w:rsidR="003A3061" w:rsidRPr="00BB11AF" w:rsidRDefault="003A3061" w:rsidP="003A3061">
      <w:pPr>
        <w:spacing w:before="120" w:after="120"/>
        <w:jc w:val="both"/>
      </w:pPr>
      <w:r w:rsidRPr="00BB11AF">
        <w:t xml:space="preserve">Boltanski, L. 2009. </w:t>
      </w:r>
      <w:r w:rsidRPr="00BB11AF">
        <w:rPr>
          <w:i/>
        </w:rPr>
        <w:t>De la critique : précis de sociologie de l'éma</w:t>
      </w:r>
      <w:r w:rsidRPr="00BB11AF">
        <w:rPr>
          <w:i/>
        </w:rPr>
        <w:t>n</w:t>
      </w:r>
      <w:r w:rsidRPr="00BB11AF">
        <w:rPr>
          <w:i/>
        </w:rPr>
        <w:t>cipation</w:t>
      </w:r>
      <w:r w:rsidRPr="00BB11AF">
        <w:t>. Paris : Gallimard.</w:t>
      </w:r>
    </w:p>
    <w:p w:rsidR="003A3061" w:rsidRPr="00BB11AF" w:rsidRDefault="003A3061" w:rsidP="003A3061">
      <w:pPr>
        <w:spacing w:before="120" w:after="120"/>
        <w:jc w:val="both"/>
      </w:pPr>
      <w:r w:rsidRPr="00BB11AF">
        <w:t xml:space="preserve">Boltanski, L. et E. Chiapello. 1999. </w:t>
      </w:r>
      <w:r w:rsidRPr="00BB11AF">
        <w:rPr>
          <w:i/>
        </w:rPr>
        <w:t>Le nouvel esprit du capitali</w:t>
      </w:r>
      <w:r w:rsidRPr="00BB11AF">
        <w:rPr>
          <w:i/>
        </w:rPr>
        <w:t>s</w:t>
      </w:r>
      <w:r w:rsidRPr="00BB11AF">
        <w:rPr>
          <w:i/>
        </w:rPr>
        <w:t>me</w:t>
      </w:r>
      <w:r w:rsidRPr="00BB11AF">
        <w:t>. Paris : Gallimard NRF.</w:t>
      </w:r>
    </w:p>
    <w:p w:rsidR="003A3061" w:rsidRPr="00BB11AF" w:rsidRDefault="003A3061" w:rsidP="003A3061">
      <w:pPr>
        <w:spacing w:before="120" w:after="120"/>
        <w:jc w:val="both"/>
      </w:pPr>
      <w:r w:rsidRPr="00BB11AF">
        <w:t xml:space="preserve">Boltanski, L. et L. Thévenot. 1990. </w:t>
      </w:r>
      <w:r w:rsidRPr="00BB11AF">
        <w:rPr>
          <w:i/>
        </w:rPr>
        <w:t>De la justification</w:t>
      </w:r>
      <w:r w:rsidRPr="00BB11AF">
        <w:t>. Paris : Ga</w:t>
      </w:r>
      <w:r w:rsidRPr="00BB11AF">
        <w:t>l</w:t>
      </w:r>
      <w:r w:rsidRPr="00BB11AF">
        <w:t>limard NRF.</w:t>
      </w:r>
    </w:p>
    <w:p w:rsidR="003A3061" w:rsidRPr="00BB11AF" w:rsidRDefault="003A3061" w:rsidP="003A3061">
      <w:pPr>
        <w:spacing w:before="120" w:after="120"/>
        <w:jc w:val="both"/>
      </w:pPr>
      <w:r w:rsidRPr="00BB11AF">
        <w:t xml:space="preserve">Bourdieu, P. et J.-C. Passeron. 1964. </w:t>
      </w:r>
      <w:r w:rsidRPr="00BB11AF">
        <w:rPr>
          <w:i/>
        </w:rPr>
        <w:t>Les héritiers : les étudiants et la culture</w:t>
      </w:r>
      <w:r w:rsidRPr="00BB11AF">
        <w:t>. Paris : Éditions de Minuit.</w:t>
      </w:r>
    </w:p>
    <w:p w:rsidR="003A3061" w:rsidRPr="00BB11AF" w:rsidRDefault="003A3061" w:rsidP="003A3061">
      <w:pPr>
        <w:spacing w:before="120" w:after="120"/>
        <w:jc w:val="both"/>
      </w:pPr>
      <w:r w:rsidRPr="00BB11AF">
        <w:t xml:space="preserve">Castells, M. 1996. </w:t>
      </w:r>
      <w:r w:rsidRPr="00BB11AF">
        <w:rPr>
          <w:i/>
        </w:rPr>
        <w:t>The Rise of the Network Society</w:t>
      </w:r>
      <w:r w:rsidRPr="00BB11AF">
        <w:t>. Oxford : Blackwell.</w:t>
      </w:r>
    </w:p>
    <w:p w:rsidR="003A3061" w:rsidRPr="00BB11AF" w:rsidRDefault="003A3061" w:rsidP="003A3061">
      <w:pPr>
        <w:spacing w:before="120" w:after="120"/>
        <w:jc w:val="both"/>
      </w:pPr>
      <w:r w:rsidRPr="00BB11AF">
        <w:t xml:space="preserve">Cefaï, D. 2007. </w:t>
      </w:r>
      <w:r w:rsidRPr="00BB11AF">
        <w:rPr>
          <w:i/>
        </w:rPr>
        <w:t>Pourquoi se mobilise-t-on ? Théories de l'action collective</w:t>
      </w:r>
      <w:r w:rsidRPr="00BB11AF">
        <w:t>. Paris : La Découverte</w:t>
      </w:r>
    </w:p>
    <w:p w:rsidR="003A3061" w:rsidRPr="00BB11AF" w:rsidRDefault="003A3061" w:rsidP="003A3061">
      <w:pPr>
        <w:spacing w:before="120" w:after="120"/>
        <w:jc w:val="both"/>
      </w:pPr>
      <w:r w:rsidRPr="00BB11AF">
        <w:t>Chaires de Recherche du Canada. 2012. « Plan de recherche strat</w:t>
      </w:r>
      <w:r w:rsidRPr="00BB11AF">
        <w:t>é</w:t>
      </w:r>
      <w:r w:rsidRPr="00BB11AF">
        <w:t xml:space="preserve">gique ». Document électronique : </w:t>
      </w:r>
      <w:hyperlink r:id="rId54" w:history="1">
        <w:r w:rsidRPr="00BB11AF">
          <w:rPr>
            <w:rStyle w:val="Lienhypertexte"/>
            <w:lang w:bidi="en-US"/>
          </w:rPr>
          <w:t>http://www.chairs-chaires.gc.ca/program-pro</w:t>
        </w:r>
        <w:r>
          <w:rPr>
            <w:rStyle w:val="Lienhypertexte"/>
            <w:lang w:bidi="en-US"/>
          </w:rPr>
          <w:t>gramme/strategic_research_plan-</w:t>
        </w:r>
        <w:r w:rsidRPr="00BB11AF">
          <w:rPr>
            <w:rStyle w:val="Lienhypertexte"/>
          </w:rPr>
          <w:t>plan_recherche_strategique-fra.aspx</w:t>
        </w:r>
      </w:hyperlink>
      <w:r w:rsidRPr="00BB11AF">
        <w:t>, consulté le 30 novembre 2012.</w:t>
      </w:r>
    </w:p>
    <w:p w:rsidR="003A3061" w:rsidRPr="00BB11AF" w:rsidRDefault="003A3061" w:rsidP="003A3061">
      <w:pPr>
        <w:spacing w:before="120" w:after="120"/>
        <w:jc w:val="both"/>
      </w:pPr>
      <w:r w:rsidRPr="00BB11AF">
        <w:t xml:space="preserve">Chandler, M. J., et C. E. Lalonde. 1998. « Cultural Continuity as a Hedge Against Suicide in Canada's First Nations », </w:t>
      </w:r>
      <w:r w:rsidRPr="00BB11AF">
        <w:rPr>
          <w:i/>
        </w:rPr>
        <w:t>Transcultural Psychiatry,</w:t>
      </w:r>
      <w:r w:rsidRPr="00BB11AF">
        <w:t xml:space="preserve"> 35(2) : 191-219.</w:t>
      </w:r>
    </w:p>
    <w:p w:rsidR="003A3061" w:rsidRPr="00BB11AF" w:rsidRDefault="003A3061" w:rsidP="003A3061">
      <w:pPr>
        <w:spacing w:before="120" w:after="120"/>
        <w:jc w:val="both"/>
      </w:pPr>
      <w:r w:rsidRPr="00BB11AF">
        <w:t xml:space="preserve">Chiasson-LeBel, T., avec la collaboration de Flavie Achard, Karine L'Écuyer et Philippe Hurteau. 2012. « Introduction. Grèves et tensions dans les universités et les cégeps », </w:t>
      </w:r>
      <w:r w:rsidRPr="00BB11AF">
        <w:rPr>
          <w:i/>
        </w:rPr>
        <w:t>Les Nouveaux cahiers du soci</w:t>
      </w:r>
      <w:r w:rsidRPr="00BB11AF">
        <w:rPr>
          <w:i/>
        </w:rPr>
        <w:t>a</w:t>
      </w:r>
      <w:r w:rsidRPr="00BB11AF">
        <w:rPr>
          <w:i/>
        </w:rPr>
        <w:t>lisme</w:t>
      </w:r>
      <w:r w:rsidRPr="00BB11AF">
        <w:t>, No 8, Automne 2012, pages 6-17.</w:t>
      </w:r>
    </w:p>
    <w:p w:rsidR="003A3061" w:rsidRPr="00BB11AF" w:rsidRDefault="003A3061" w:rsidP="003A3061">
      <w:pPr>
        <w:spacing w:before="120" w:after="120"/>
        <w:jc w:val="both"/>
      </w:pPr>
      <w:r w:rsidRPr="00BB11AF">
        <w:t xml:space="preserve">CLASSE. 2012. « Cahier de préparation des délégations ». Version finale du vendredi 4 mai 2012. Document électronique : </w:t>
      </w:r>
      <w:hyperlink r:id="rId55" w:history="1">
        <w:r w:rsidRPr="00BB11AF">
          <w:rPr>
            <w:rStyle w:val="Lienhypertexte"/>
            <w:lang w:bidi="en-US"/>
          </w:rPr>
          <w:t>http://www.asse-solidarite.qc.ca/documents/fr/instances/CLASSE/Cahiers/</w:t>
        </w:r>
      </w:hyperlink>
      <w:r w:rsidRPr="00BB11AF">
        <w:rPr>
          <w:lang w:bidi="en-US"/>
        </w:rPr>
        <w:t xml:space="preserve"> Cahie</w:t>
      </w:r>
      <w:r w:rsidRPr="00BB11AF">
        <w:rPr>
          <w:lang w:bidi="en-US"/>
        </w:rPr>
        <w:t>r</w:t>
      </w:r>
      <w:r w:rsidRPr="00BB11AF">
        <w:rPr>
          <w:lang w:bidi="en-US"/>
        </w:rPr>
        <w:t xml:space="preserve">de Congresdu20mai2012.pdf, </w:t>
      </w:r>
      <w:r w:rsidRPr="00BB11AF">
        <w:t>consulté le 6 décembre 2012</w:t>
      </w:r>
    </w:p>
    <w:p w:rsidR="003A3061" w:rsidRPr="00BB11AF" w:rsidRDefault="003A3061" w:rsidP="003A3061">
      <w:pPr>
        <w:spacing w:before="120" w:after="120"/>
        <w:jc w:val="both"/>
      </w:pPr>
      <w:r w:rsidRPr="00BB11AF">
        <w:t xml:space="preserve">Courtois, S. 1997. </w:t>
      </w:r>
      <w:r w:rsidRPr="00BB11AF">
        <w:rPr>
          <w:i/>
        </w:rPr>
        <w:t>Le livre noir du communisme</w:t>
      </w:r>
      <w:r w:rsidRPr="00BB11AF">
        <w:t>. Paris : Robert Laffont.</w:t>
      </w:r>
    </w:p>
    <w:p w:rsidR="003A3061" w:rsidRPr="00BB11AF" w:rsidRDefault="003A3061" w:rsidP="003A3061">
      <w:pPr>
        <w:spacing w:before="120" w:after="120"/>
        <w:jc w:val="both"/>
      </w:pPr>
      <w:r w:rsidRPr="00BB11AF">
        <w:t>Cutler, D., E.L. Glaeser et K.E norberg. 2001. « Explaining the R</w:t>
      </w:r>
      <w:r w:rsidRPr="00BB11AF">
        <w:t>i</w:t>
      </w:r>
      <w:r w:rsidRPr="00BB11AF">
        <w:t xml:space="preserve">se in Youth Suicide », In </w:t>
      </w:r>
      <w:r w:rsidRPr="002666FA">
        <w:rPr>
          <w:i/>
        </w:rPr>
        <w:t>Risky Behavior Among Youths : An Econ</w:t>
      </w:r>
      <w:r w:rsidRPr="002666FA">
        <w:rPr>
          <w:i/>
        </w:rPr>
        <w:t>o</w:t>
      </w:r>
      <w:r w:rsidRPr="002666FA">
        <w:rPr>
          <w:i/>
        </w:rPr>
        <w:t>mic Analysis</w:t>
      </w:r>
      <w:r w:rsidRPr="00BB11AF">
        <w:t>. Jonathan Gruber, ed. Pp. 219-269. Chicago : Unive</w:t>
      </w:r>
      <w:r w:rsidRPr="00BB11AF">
        <w:t>r</w:t>
      </w:r>
      <w:r w:rsidRPr="00BB11AF">
        <w:t>sity of Chicago Press.</w:t>
      </w:r>
    </w:p>
    <w:p w:rsidR="003A3061" w:rsidRPr="00BB11AF" w:rsidRDefault="003A3061" w:rsidP="003A3061">
      <w:pPr>
        <w:spacing w:before="120" w:after="120"/>
        <w:jc w:val="both"/>
      </w:pPr>
      <w:r w:rsidRPr="00BB11AF">
        <w:t xml:space="preserve">Dagenais, D. 2007. « Le suicide comme meurtre d'une identité », </w:t>
      </w:r>
      <w:r w:rsidRPr="00BB11AF">
        <w:rPr>
          <w:i/>
        </w:rPr>
        <w:t>Recherches sociographiques,</w:t>
      </w:r>
      <w:r w:rsidRPr="00BB11AF">
        <w:t xml:space="preserve"> 48(3) :139-160.</w:t>
      </w:r>
    </w:p>
    <w:p w:rsidR="003A3061" w:rsidRPr="00BB11AF" w:rsidRDefault="003A3061" w:rsidP="003A3061">
      <w:pPr>
        <w:spacing w:before="120" w:after="120"/>
        <w:jc w:val="both"/>
      </w:pPr>
      <w:r w:rsidRPr="00BB11AF">
        <w:t>Dagenais-Guertin, A. 2010. « Le féminisme dans l'ASSÉ », D</w:t>
      </w:r>
      <w:r w:rsidRPr="00BB11AF">
        <w:t>o</w:t>
      </w:r>
      <w:r w:rsidRPr="00BB11AF">
        <w:t>cument électronique :</w:t>
      </w:r>
      <w:r>
        <w:br/>
      </w:r>
      <w:hyperlink r:id="rId56" w:history="1">
        <w:r w:rsidRPr="00BB11AF">
          <w:rPr>
            <w:rStyle w:val="Lienhypertexte"/>
          </w:rPr>
          <w:t>www.ass</w:t>
        </w:r>
        <w:r>
          <w:rPr>
            <w:rStyle w:val="Lienhypertexte"/>
          </w:rPr>
          <w:t>e-</w:t>
        </w:r>
        <w:r w:rsidRPr="00BB11AF">
          <w:rPr>
            <w:rStyle w:val="Lienhypertexte"/>
          </w:rPr>
          <w:t>s</w:t>
        </w:r>
        <w:r w:rsidRPr="00BB11AF">
          <w:rPr>
            <w:rStyle w:val="Lienhypertexte"/>
          </w:rPr>
          <w:t>o</w:t>
        </w:r>
        <w:r w:rsidRPr="00BB11AF">
          <w:rPr>
            <w:rStyle w:val="Lienhypertexte"/>
          </w:rPr>
          <w:t>lidarite.qc.ca/documents/fr/femmes</w:t>
        </w:r>
      </w:hyperlink>
      <w:r w:rsidRPr="00BB11AF">
        <w:t>, consulté en déce</w:t>
      </w:r>
      <w:r w:rsidRPr="00BB11AF">
        <w:t>m</w:t>
      </w:r>
      <w:r w:rsidRPr="00BB11AF">
        <w:t>bre 2012.</w:t>
      </w:r>
    </w:p>
    <w:p w:rsidR="003A3061" w:rsidRPr="00BB11AF" w:rsidRDefault="003A3061" w:rsidP="003A3061">
      <w:pPr>
        <w:spacing w:before="120" w:after="120"/>
        <w:jc w:val="both"/>
      </w:pPr>
      <w:r w:rsidRPr="00BB11AF">
        <w:t xml:space="preserve">Florida, R. 2004. </w:t>
      </w:r>
      <w:r w:rsidRPr="002666FA">
        <w:rPr>
          <w:i/>
        </w:rPr>
        <w:t>The Rise of the Creative Class : And How it’s Transforming Work, Leisure, Community and Everyday Life</w:t>
      </w:r>
      <w:r w:rsidRPr="00BB11AF">
        <w:t>. New York : Basic Books.</w:t>
      </w:r>
    </w:p>
    <w:p w:rsidR="003A3061" w:rsidRPr="00BB11AF" w:rsidRDefault="003A3061" w:rsidP="003A3061">
      <w:pPr>
        <w:spacing w:before="120" w:after="120"/>
        <w:jc w:val="both"/>
      </w:pPr>
      <w:r w:rsidRPr="00BB11AF">
        <w:t>Freïha, C. 2007. « Islam : un imam suggère que les femmes qui travaillent puissent allaiter leurs collègues de bureau », MediAr</w:t>
      </w:r>
      <w:r w:rsidRPr="00BB11AF">
        <w:t>a</w:t>
      </w:r>
      <w:r w:rsidRPr="00BB11AF">
        <w:t xml:space="preserve">be.info du vendredi 18 mai 2007. Document électronique : </w:t>
      </w:r>
      <w:hyperlink r:id="rId57" w:history="1">
        <w:r w:rsidRPr="00BB11AF">
          <w:rPr>
            <w:rStyle w:val="Lienhypertexte"/>
            <w:lang w:bidi="en-US"/>
          </w:rPr>
          <w:t>http://www.mediarabe.info/spip.php7article741</w:t>
        </w:r>
      </w:hyperlink>
      <w:r w:rsidRPr="00BB11AF">
        <w:rPr>
          <w:lang w:bidi="en-US"/>
        </w:rPr>
        <w:t xml:space="preserve">, </w:t>
      </w:r>
      <w:r w:rsidRPr="00BB11AF">
        <w:t>consulté en janvier 2014.</w:t>
      </w:r>
    </w:p>
    <w:p w:rsidR="003A3061" w:rsidRPr="00BB11AF" w:rsidRDefault="003A3061" w:rsidP="003A3061">
      <w:pPr>
        <w:spacing w:before="120" w:after="120"/>
        <w:jc w:val="both"/>
      </w:pPr>
      <w:r w:rsidRPr="00BB11AF">
        <w:t>[197]</w:t>
      </w:r>
    </w:p>
    <w:p w:rsidR="003A3061" w:rsidRPr="00BB11AF" w:rsidRDefault="003A3061" w:rsidP="003A3061">
      <w:pPr>
        <w:spacing w:before="120" w:after="120"/>
        <w:jc w:val="both"/>
      </w:pPr>
      <w:r w:rsidRPr="00BB11AF">
        <w:t xml:space="preserve">Frémeaux, N. 2014. « Inégalités : une crise pour rien ? », </w:t>
      </w:r>
      <w:r w:rsidRPr="00BB11AF">
        <w:rPr>
          <w:i/>
        </w:rPr>
        <w:t>La Vie des idées</w:t>
      </w:r>
      <w:r w:rsidRPr="00BB11AF">
        <w:t>. Document électronique :</w:t>
      </w:r>
      <w:r>
        <w:br/>
      </w:r>
      <w:hyperlink r:id="rId58" w:history="1">
        <w:r w:rsidRPr="00BB11AF">
          <w:rPr>
            <w:rStyle w:val="Lienhypertexte"/>
            <w:lang w:bidi="en-US"/>
          </w:rPr>
          <w:t>http://www.laviedesidees.fr/lnegalites-une-crise-pour-rien.html</w:t>
        </w:r>
      </w:hyperlink>
      <w:r w:rsidRPr="00BB11AF">
        <w:rPr>
          <w:lang w:bidi="en-US"/>
        </w:rPr>
        <w:t xml:space="preserve">, </w:t>
      </w:r>
      <w:r w:rsidRPr="00BB11AF">
        <w:t>co</w:t>
      </w:r>
      <w:r w:rsidRPr="00BB11AF">
        <w:t>n</w:t>
      </w:r>
      <w:r w:rsidRPr="00BB11AF">
        <w:t>sulté le 14 janvier 2014.</w:t>
      </w:r>
    </w:p>
    <w:p w:rsidR="003A3061" w:rsidRPr="00BB11AF" w:rsidRDefault="003A3061" w:rsidP="003A3061">
      <w:pPr>
        <w:spacing w:before="120" w:after="120"/>
        <w:jc w:val="both"/>
      </w:pPr>
      <w:r w:rsidRPr="00BB11AF">
        <w:t xml:space="preserve">Gauthier, M. 2007. « La montée des jeunes, Cap-aux-Diamants », </w:t>
      </w:r>
      <w:r w:rsidRPr="002666FA">
        <w:rPr>
          <w:i/>
        </w:rPr>
        <w:t>La revue d'histoire du Québec</w:t>
      </w:r>
      <w:r w:rsidRPr="00BB11AF">
        <w:t xml:space="preserve"> 89 : 29-</w:t>
      </w:r>
      <w:r w:rsidRPr="002666FA">
        <w:rPr>
          <w:bCs/>
        </w:rPr>
        <w:t>32</w:t>
      </w:r>
      <w:r w:rsidRPr="00BB11AF">
        <w:t>.</w:t>
      </w:r>
    </w:p>
    <w:p w:rsidR="003A3061" w:rsidRPr="00BB11AF" w:rsidRDefault="003A3061" w:rsidP="003A3061">
      <w:pPr>
        <w:spacing w:before="120" w:after="120"/>
        <w:jc w:val="both"/>
      </w:pPr>
      <w:r w:rsidRPr="00BB11AF">
        <w:t xml:space="preserve">Koselleck, R. and M. W. Richter. 2006. « Crisis », </w:t>
      </w:r>
      <w:r w:rsidRPr="002666FA">
        <w:rPr>
          <w:i/>
        </w:rPr>
        <w:t>Journal of the History of ldeas</w:t>
      </w:r>
      <w:r w:rsidRPr="00BB11AF">
        <w:t xml:space="preserve"> 67(2) : 357-400.</w:t>
      </w:r>
    </w:p>
    <w:p w:rsidR="003A3061" w:rsidRPr="00BB11AF" w:rsidRDefault="003A3061" w:rsidP="003A3061">
      <w:pPr>
        <w:spacing w:before="120" w:after="120"/>
        <w:jc w:val="both"/>
      </w:pPr>
      <w:r w:rsidRPr="00BB11AF">
        <w:t xml:space="preserve">Légaré, G., M. Gagné, D. St-Laurent et P.-A. Perron. 2013. </w:t>
      </w:r>
      <w:r w:rsidRPr="00BB11AF">
        <w:rPr>
          <w:i/>
        </w:rPr>
        <w:t>La mortalité par suicide au Québec : 1981 à 2010 ?</w:t>
      </w:r>
      <w:r w:rsidRPr="00BB11AF">
        <w:t xml:space="preserve"> Mise à jour 2013. Rapport. Document électronique : </w:t>
      </w:r>
      <w:hyperlink r:id="rId59" w:history="1">
        <w:r w:rsidRPr="00BB11AF">
          <w:rPr>
            <w:rStyle w:val="Lienhypertexte"/>
            <w:lang w:bidi="en-US"/>
          </w:rPr>
          <w:t>http://www.inspq.qc.ca/pdf/publicati0ns/1603_M0rtaliteSuicideQc_1981A2010_MAJ201</w:t>
        </w:r>
      </w:hyperlink>
      <w:r w:rsidRPr="00BB11AF">
        <w:rPr>
          <w:lang w:bidi="en-US"/>
        </w:rPr>
        <w:t xml:space="preserve"> </w:t>
      </w:r>
      <w:r w:rsidRPr="00BB11AF">
        <w:t>3.pdf, consulté le 6 avril 2013</w:t>
      </w:r>
    </w:p>
    <w:p w:rsidR="003A3061" w:rsidRPr="00BB11AF" w:rsidRDefault="003A3061" w:rsidP="003A3061">
      <w:pPr>
        <w:spacing w:before="120" w:after="120"/>
        <w:jc w:val="both"/>
      </w:pPr>
      <w:r w:rsidRPr="00BB11AF">
        <w:t xml:space="preserve">Luci, A. et O. Thévenon. 2011. « La fécondité remonte dans les pays de l'OCDE : est-ce dû au progrès économique ? » </w:t>
      </w:r>
      <w:r w:rsidRPr="00BB11AF">
        <w:rPr>
          <w:i/>
        </w:rPr>
        <w:t>Population et Société</w:t>
      </w:r>
      <w:r w:rsidRPr="00BB11AF">
        <w:t>, No 481, 4 pages.</w:t>
      </w:r>
    </w:p>
    <w:p w:rsidR="003A3061" w:rsidRPr="00BB11AF" w:rsidRDefault="003A3061" w:rsidP="003A3061">
      <w:pPr>
        <w:spacing w:before="120" w:after="120"/>
        <w:jc w:val="both"/>
      </w:pPr>
      <w:r w:rsidRPr="00BB11AF">
        <w:t>OCDE. 2009. « Society at a Glance 2009 : OECD Social Indic</w:t>
      </w:r>
      <w:r w:rsidRPr="00BB11AF">
        <w:t>a</w:t>
      </w:r>
      <w:r w:rsidRPr="00BB11AF">
        <w:t xml:space="preserve">tors », Document électronique : </w:t>
      </w:r>
      <w:hyperlink r:id="rId60" w:history="1">
        <w:r w:rsidRPr="00BB11AF">
          <w:rPr>
            <w:rStyle w:val="Lienhypertexte"/>
          </w:rPr>
          <w:t>http://masetto</w:t>
        </w:r>
      </w:hyperlink>
      <w:r w:rsidRPr="00BB11AF">
        <w:t>. sou</w:t>
      </w:r>
      <w:r w:rsidRPr="00BB11AF">
        <w:t>r</w:t>
      </w:r>
      <w:r w:rsidRPr="00BB11AF">
        <w:t>ceoecd.org/vl=28829509/cl=14/nw=1/rpsv/societyataglance2oo9 /08/04/index.htm, consulté le 8 décembre 2013.</w:t>
      </w:r>
    </w:p>
    <w:p w:rsidR="003A3061" w:rsidRPr="00BB11AF" w:rsidRDefault="003A3061" w:rsidP="003A3061">
      <w:pPr>
        <w:spacing w:before="120" w:after="120"/>
        <w:jc w:val="both"/>
      </w:pPr>
      <w:r w:rsidRPr="00BB11AF">
        <w:t xml:space="preserve">-2012a. « Tour d'horizon des inégalités croissantes de revenus dans les pays de l'OCDE », Document électronique : </w:t>
      </w:r>
      <w:hyperlink r:id="rId61" w:history="1">
        <w:r w:rsidRPr="00BB11AF">
          <w:rPr>
            <w:rStyle w:val="Lienhypertexte"/>
            <w:lang w:bidi="en-US"/>
          </w:rPr>
          <w:t>http://www.oecd.org/fr/els/politiquesetdonneessociales/49177707.pdf</w:t>
        </w:r>
      </w:hyperlink>
      <w:r w:rsidRPr="00BB11AF">
        <w:rPr>
          <w:lang w:bidi="en-US"/>
        </w:rPr>
        <w:t xml:space="preserve">, </w:t>
      </w:r>
      <w:r w:rsidRPr="00BB11AF">
        <w:t>consulté le 8 décembre 2013.</w:t>
      </w:r>
    </w:p>
    <w:p w:rsidR="003A3061" w:rsidRPr="00BB11AF" w:rsidRDefault="003A3061" w:rsidP="003A3061">
      <w:pPr>
        <w:spacing w:before="120" w:after="120"/>
        <w:jc w:val="both"/>
      </w:pPr>
      <w:r w:rsidRPr="00BB11AF">
        <w:t xml:space="preserve">-2012b. « Toujours plus d'inégalité : Pourquoi les écarts de revenus se creusent ? », Document électronique : </w:t>
      </w:r>
      <w:hyperlink r:id="rId62" w:history="1">
        <w:r w:rsidRPr="00BB11AF">
          <w:rPr>
            <w:rStyle w:val="Lienhypertexte"/>
            <w:lang w:bidi="en-US"/>
          </w:rPr>
          <w:t>http://dx.doi.org/10.1787/9789264119550-fr</w:t>
        </w:r>
      </w:hyperlink>
      <w:r w:rsidRPr="00BB11AF">
        <w:rPr>
          <w:lang w:bidi="en-US"/>
        </w:rPr>
        <w:t xml:space="preserve">, </w:t>
      </w:r>
      <w:r w:rsidRPr="00BB11AF">
        <w:t>consulté le 8 décembre 2013.</w:t>
      </w:r>
    </w:p>
    <w:p w:rsidR="003A3061" w:rsidRPr="00BB11AF" w:rsidRDefault="003A3061" w:rsidP="003A3061">
      <w:pPr>
        <w:spacing w:before="120" w:after="120"/>
        <w:jc w:val="both"/>
      </w:pPr>
      <w:r w:rsidRPr="00BB11AF">
        <w:t xml:space="preserve"> -2012c. « Annual Labour Force Statistics (ALFS) Summary T</w:t>
      </w:r>
      <w:r w:rsidRPr="00BB11AF">
        <w:t>a</w:t>
      </w:r>
      <w:r w:rsidRPr="00BB11AF">
        <w:t xml:space="preserve">bles Dataset », Document électronique : </w:t>
      </w:r>
      <w:hyperlink r:id="rId63" w:history="1">
        <w:r w:rsidRPr="00BB11AF">
          <w:rPr>
            <w:rStyle w:val="Lienhypertexte"/>
            <w:lang w:bidi="en-US"/>
          </w:rPr>
          <w:t>http://stats.oecd.</w:t>
        </w:r>
        <w:r w:rsidRPr="00BB11AF">
          <w:rPr>
            <w:rStyle w:val="Lienhypertexte"/>
          </w:rPr>
          <w:t>org/lndex.aspx ?DatasetCode=ALFS_SUMTAB</w:t>
        </w:r>
      </w:hyperlink>
      <w:r w:rsidRPr="00BB11AF">
        <w:t>, co</w:t>
      </w:r>
      <w:r w:rsidRPr="00BB11AF">
        <w:t>n</w:t>
      </w:r>
      <w:r w:rsidRPr="00BB11AF">
        <w:t>sulté le 9 décembre 2013.</w:t>
      </w:r>
    </w:p>
    <w:p w:rsidR="003A3061" w:rsidRPr="00BB11AF" w:rsidRDefault="003A3061" w:rsidP="003A3061">
      <w:pPr>
        <w:spacing w:before="120" w:after="120"/>
        <w:jc w:val="both"/>
      </w:pPr>
      <w:r w:rsidRPr="00BB11AF">
        <w:t xml:space="preserve">-2012d. « Country Statistical Profiles », Document électronique : </w:t>
      </w:r>
      <w:hyperlink r:id="rId64" w:history="1">
        <w:r w:rsidRPr="00BB11AF">
          <w:rPr>
            <w:rStyle w:val="Lienhypertexte"/>
            <w:lang w:bidi="en-US"/>
          </w:rPr>
          <w:t>http://www.oecd- ilibrary.org/economics/country-statistical-profiles-key-tables-from-oecd_20752288</w:t>
        </w:r>
      </w:hyperlink>
      <w:r w:rsidRPr="00BB11AF">
        <w:rPr>
          <w:lang w:bidi="en-US"/>
        </w:rPr>
        <w:t xml:space="preserve">, </w:t>
      </w:r>
      <w:r w:rsidRPr="00BB11AF">
        <w:t>consulté le 9 décembre 2013.</w:t>
      </w:r>
    </w:p>
    <w:p w:rsidR="003A3061" w:rsidRPr="00BB11AF" w:rsidRDefault="003A3061" w:rsidP="003A3061">
      <w:pPr>
        <w:spacing w:before="120" w:after="120"/>
        <w:jc w:val="both"/>
      </w:pPr>
      <w:r w:rsidRPr="00BB11AF">
        <w:t>OMS. 2012. « Mortality Database », Document</w:t>
      </w:r>
    </w:p>
    <w:p w:rsidR="003A3061" w:rsidRPr="00BB11AF" w:rsidRDefault="003A3061" w:rsidP="003A3061">
      <w:pPr>
        <w:spacing w:before="120" w:after="120"/>
        <w:jc w:val="both"/>
      </w:pPr>
      <w:r w:rsidRPr="00BB11AF">
        <w:t xml:space="preserve">électronique : </w:t>
      </w:r>
      <w:hyperlink r:id="rId65" w:history="1">
        <w:r w:rsidRPr="00BB11AF">
          <w:rPr>
            <w:rStyle w:val="Lienhypertexte"/>
            <w:lang w:bidi="en-US"/>
          </w:rPr>
          <w:t>http://www.who.int/whosis/mort/download/en/index.html</w:t>
        </w:r>
      </w:hyperlink>
      <w:r w:rsidRPr="00BB11AF">
        <w:rPr>
          <w:lang w:bidi="en-US"/>
        </w:rPr>
        <w:t xml:space="preserve">, </w:t>
      </w:r>
      <w:r w:rsidRPr="00BB11AF">
        <w:t>consulté le 9 décembre 2013.</w:t>
      </w:r>
    </w:p>
    <w:p w:rsidR="003A3061" w:rsidRPr="00BB11AF" w:rsidRDefault="003A3061" w:rsidP="003A3061">
      <w:pPr>
        <w:spacing w:before="120" w:after="120"/>
        <w:jc w:val="both"/>
      </w:pPr>
      <w:r w:rsidRPr="00BB11AF">
        <w:t xml:space="preserve">Québec Solidaire. 2012. « À propos », Document électronique : </w:t>
      </w:r>
      <w:hyperlink r:id="rId66" w:history="1">
        <w:r w:rsidRPr="00BB11AF">
          <w:rPr>
            <w:rStyle w:val="Lienhypertexte"/>
            <w:lang w:bidi="en-US"/>
          </w:rPr>
          <w:t xml:space="preserve">http://www.quebecsolidaire.net/le- </w:t>
        </w:r>
        <w:r w:rsidRPr="00BB11AF">
          <w:rPr>
            <w:rStyle w:val="Lienhypertexte"/>
          </w:rPr>
          <w:t>parti/a-propos/</w:t>
        </w:r>
      </w:hyperlink>
      <w:r w:rsidRPr="00BB11AF">
        <w:t>, consulté le 30 n</w:t>
      </w:r>
      <w:r w:rsidRPr="00BB11AF">
        <w:t>o</w:t>
      </w:r>
      <w:r w:rsidRPr="00BB11AF">
        <w:t>vembre 2012.</w:t>
      </w:r>
    </w:p>
    <w:p w:rsidR="003A3061" w:rsidRPr="00BB11AF" w:rsidRDefault="003A3061" w:rsidP="003A3061">
      <w:pPr>
        <w:spacing w:before="120" w:after="120"/>
        <w:jc w:val="both"/>
      </w:pPr>
      <w:r w:rsidRPr="00BB11AF">
        <w:t xml:space="preserve">Robert, M., H. Bourgeois-Séguin, N. Lafrenière et J. Royal. 2011. « Quand le capital monte à la tête, L'éducation post-secondaire dans l'économie du savoir », Document électronique : </w:t>
      </w:r>
      <w:hyperlink r:id="rId67" w:history="1">
        <w:r w:rsidRPr="00BB11AF">
          <w:rPr>
            <w:rStyle w:val="Lienhypertexte"/>
            <w:lang w:bidi="en-US"/>
          </w:rPr>
          <w:t>http://www.asse- s</w:t>
        </w:r>
        <w:r w:rsidRPr="00BB11AF">
          <w:rPr>
            <w:rStyle w:val="Lienhypertexte"/>
            <w:lang w:bidi="en-US"/>
          </w:rPr>
          <w:t>o</w:t>
        </w:r>
        <w:r w:rsidRPr="00BB11AF">
          <w:rPr>
            <w:rStyle w:val="Lienhypertexte"/>
            <w:lang w:bidi="en-US"/>
          </w:rPr>
          <w:t>lidarite.qc.ca/documents/fr/recherches_analyses/</w:t>
        </w:r>
      </w:hyperlink>
      <w:r w:rsidRPr="00BB11AF">
        <w:rPr>
          <w:lang w:bidi="en-US"/>
        </w:rPr>
        <w:t xml:space="preserve">, </w:t>
      </w:r>
      <w:r w:rsidRPr="00BB11AF">
        <w:t>consulté le 12 d</w:t>
      </w:r>
      <w:r w:rsidRPr="00BB11AF">
        <w:t>é</w:t>
      </w:r>
      <w:r w:rsidRPr="00BB11AF">
        <w:t>cembre 2012.</w:t>
      </w:r>
    </w:p>
    <w:p w:rsidR="003A3061" w:rsidRPr="00BB11AF" w:rsidRDefault="003A3061" w:rsidP="003A3061">
      <w:pPr>
        <w:spacing w:before="120" w:after="120"/>
        <w:jc w:val="both"/>
      </w:pPr>
      <w:r w:rsidRPr="00BB11AF">
        <w:t xml:space="preserve">Rosin, H. 2012. </w:t>
      </w:r>
      <w:r w:rsidRPr="00BB11AF">
        <w:rPr>
          <w:i/>
        </w:rPr>
        <w:t>The End of Men : And the Rise of Women</w:t>
      </w:r>
      <w:r w:rsidRPr="00BB11AF">
        <w:t>. New York : Riverhead Books.</w:t>
      </w:r>
    </w:p>
    <w:p w:rsidR="003A3061" w:rsidRPr="00BB11AF" w:rsidRDefault="003A3061" w:rsidP="003A3061">
      <w:pPr>
        <w:spacing w:before="120" w:after="120"/>
        <w:jc w:val="both"/>
      </w:pPr>
      <w:r w:rsidRPr="00BB11AF">
        <w:t xml:space="preserve">Tahon, M.-B. 1995. </w:t>
      </w:r>
      <w:r w:rsidRPr="00BB11AF">
        <w:rPr>
          <w:i/>
        </w:rPr>
        <w:t>La famille désinstituée : introduction à la s</w:t>
      </w:r>
      <w:r w:rsidRPr="00BB11AF">
        <w:rPr>
          <w:i/>
        </w:rPr>
        <w:t>o</w:t>
      </w:r>
      <w:r w:rsidRPr="00BB11AF">
        <w:rPr>
          <w:i/>
        </w:rPr>
        <w:t>ciologie de la famille</w:t>
      </w:r>
      <w:r w:rsidRPr="00BB11AF">
        <w:t>. Ottawa : Presses de l'Université d'Ottawa.</w:t>
      </w:r>
    </w:p>
    <w:p w:rsidR="003A3061" w:rsidRPr="00BB11AF" w:rsidRDefault="003A3061" w:rsidP="003A3061">
      <w:pPr>
        <w:spacing w:before="120" w:after="120"/>
        <w:jc w:val="both"/>
      </w:pPr>
      <w:r w:rsidRPr="00BB11AF">
        <w:t xml:space="preserve">Todd, E. et Y. Courbage. 2007. </w:t>
      </w:r>
      <w:r w:rsidRPr="00BB11AF">
        <w:rPr>
          <w:i/>
        </w:rPr>
        <w:t>Le rendez-vous des civilisations</w:t>
      </w:r>
      <w:r w:rsidRPr="00BB11AF">
        <w:t>. Paris : Le Seuil.</w:t>
      </w:r>
    </w:p>
    <w:p w:rsidR="003A3061" w:rsidRPr="00BB11AF" w:rsidRDefault="003A3061" w:rsidP="003A3061">
      <w:pPr>
        <w:spacing w:before="120" w:after="120"/>
        <w:jc w:val="both"/>
      </w:pPr>
      <w:r w:rsidRPr="00BB11AF">
        <w:t>[198]</w:t>
      </w:r>
    </w:p>
    <w:p w:rsidR="003A3061" w:rsidRPr="00BB11AF" w:rsidRDefault="003A3061" w:rsidP="003A3061">
      <w:pPr>
        <w:spacing w:before="120" w:after="120"/>
        <w:jc w:val="both"/>
      </w:pPr>
      <w:r w:rsidRPr="00BB11AF">
        <w:t xml:space="preserve">Tremblay, A. 2007. « Suicide, migration et rapports sociaux de sexe », </w:t>
      </w:r>
      <w:r w:rsidRPr="00BB11AF">
        <w:rPr>
          <w:i/>
        </w:rPr>
        <w:t>Recherches sociographiques</w:t>
      </w:r>
      <w:r w:rsidRPr="00BB11AF">
        <w:t>, 48(3) : 177-180.</w:t>
      </w:r>
    </w:p>
    <w:p w:rsidR="003A3061" w:rsidRPr="00BB11AF" w:rsidRDefault="003A3061" w:rsidP="003A3061">
      <w:pPr>
        <w:spacing w:before="120" w:after="120"/>
        <w:jc w:val="both"/>
      </w:pPr>
      <w:r w:rsidRPr="00BB11AF">
        <w:t xml:space="preserve">Van de Walle, É. 2005. « Comment prévenait-on les naissances avant la contraception moderne ? » </w:t>
      </w:r>
      <w:r w:rsidRPr="00BB11AF">
        <w:rPr>
          <w:i/>
        </w:rPr>
        <w:t>Population et Société</w:t>
      </w:r>
      <w:r w:rsidRPr="00BB11AF">
        <w:t>, No 418, 4 pages.</w:t>
      </w:r>
    </w:p>
    <w:p w:rsidR="003A3061" w:rsidRPr="00BB11AF" w:rsidRDefault="003A3061" w:rsidP="003A3061">
      <w:pPr>
        <w:spacing w:before="120" w:after="120"/>
        <w:jc w:val="both"/>
      </w:pPr>
    </w:p>
    <w:p w:rsidR="003A3061" w:rsidRDefault="003A3061" w:rsidP="003A3061">
      <w:pPr>
        <w:jc w:val="both"/>
      </w:pPr>
      <w:r w:rsidRPr="003F76B5">
        <w:rPr>
          <w:b/>
          <w:color w:val="FF0000"/>
        </w:rPr>
        <w:t>NOTES</w:t>
      </w:r>
    </w:p>
    <w:p w:rsidR="003A3061" w:rsidRDefault="003A3061" w:rsidP="003A3061">
      <w:pPr>
        <w:jc w:val="both"/>
      </w:pPr>
    </w:p>
    <w:p w:rsidR="003A3061" w:rsidRPr="00E07116" w:rsidRDefault="003A3061" w:rsidP="003A3061">
      <w:pPr>
        <w:jc w:val="both"/>
      </w:pPr>
      <w:r>
        <w:t>Pour faciliter la consultation des notes en fin de textes, nous les avons toutes converties, dans cette édition numérique des Classiques des sciences sociales, en notes de bas de page. JMT.</w:t>
      </w:r>
    </w:p>
    <w:p w:rsidR="003A3061" w:rsidRPr="00BB11AF" w:rsidRDefault="003A3061" w:rsidP="003A3061">
      <w:pPr>
        <w:spacing w:before="120" w:after="120"/>
        <w:jc w:val="both"/>
      </w:pPr>
    </w:p>
    <w:p w:rsidR="003A3061" w:rsidRDefault="003A3061" w:rsidP="003A3061">
      <w:pPr>
        <w:spacing w:before="120" w:after="120"/>
        <w:jc w:val="both"/>
      </w:pPr>
      <w:r w:rsidRPr="00BB11AF">
        <w:t>[199]</w:t>
      </w:r>
    </w:p>
    <w:p w:rsidR="003A3061" w:rsidRPr="00BB11AF" w:rsidRDefault="003A3061" w:rsidP="003A3061">
      <w:pPr>
        <w:spacing w:before="120" w:after="120"/>
        <w:jc w:val="both"/>
      </w:pPr>
      <w:r w:rsidRPr="00BB11AF">
        <w:t>[200]</w:t>
      </w:r>
    </w:p>
    <w:p w:rsidR="003A3061" w:rsidRPr="00BB11AF" w:rsidRDefault="003A3061" w:rsidP="003A3061">
      <w:pPr>
        <w:pStyle w:val="p"/>
      </w:pPr>
      <w:r w:rsidRPr="00BB11AF">
        <w:br w:type="page"/>
        <w:t>[201]</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hanging="20"/>
        <w:jc w:val="center"/>
        <w:rPr>
          <w:b/>
          <w:sz w:val="24"/>
        </w:rPr>
      </w:pPr>
      <w:bookmarkStart w:id="15" w:name="Crise_et_mise_en_crise_texte_12"/>
      <w:r w:rsidRPr="00BB11AF">
        <w:rPr>
          <w:b/>
          <w:i/>
          <w:color w:val="FF0000"/>
          <w:sz w:val="24"/>
        </w:rPr>
        <w:t>Crise</w:t>
      </w:r>
      <w:r w:rsidRPr="00BB11AF">
        <w:rPr>
          <w:b/>
          <w:sz w:val="24"/>
        </w:rPr>
        <w:t xml:space="preserve"> et mise en </w:t>
      </w:r>
      <w:r w:rsidRPr="00BB11AF">
        <w:rPr>
          <w:b/>
          <w:i/>
          <w:color w:val="FF0000"/>
          <w:sz w:val="24"/>
        </w:rPr>
        <w:t>crise</w:t>
      </w:r>
      <w:r w:rsidRPr="00BB11AF">
        <w:rPr>
          <w:b/>
          <w:sz w:val="24"/>
        </w:rPr>
        <w:t>.</w:t>
      </w:r>
    </w:p>
    <w:p w:rsidR="003A3061" w:rsidRPr="00BB11AF" w:rsidRDefault="003A3061" w:rsidP="003A3061">
      <w:pPr>
        <w:spacing w:after="120"/>
        <w:jc w:val="center"/>
        <w:rPr>
          <w:sz w:val="24"/>
        </w:rPr>
      </w:pPr>
      <w:r w:rsidRPr="00BB11AF">
        <w:rPr>
          <w:sz w:val="24"/>
        </w:rPr>
        <w:t>Actes du colloque annuel de l’ACSALF 2012.</w:t>
      </w:r>
    </w:p>
    <w:p w:rsidR="003A3061" w:rsidRPr="00BB11AF" w:rsidRDefault="003A3061" w:rsidP="003A3061">
      <w:pPr>
        <w:pStyle w:val="Titreniveau1"/>
      </w:pPr>
      <w:r w:rsidRPr="00BB11AF">
        <w:t>12</w:t>
      </w:r>
    </w:p>
    <w:p w:rsidR="003A3061" w:rsidRPr="00BB11AF" w:rsidRDefault="003A3061" w:rsidP="003A3061">
      <w:pPr>
        <w:pStyle w:val="Titreniveau2"/>
      </w:pPr>
      <w:r w:rsidRPr="00BB11AF">
        <w:t>“La crise de</w:t>
      </w:r>
      <w:r w:rsidRPr="00BB11AF">
        <w:br/>
        <w:t>la croyance économique.”</w:t>
      </w:r>
    </w:p>
    <w:bookmarkEnd w:id="15"/>
    <w:p w:rsidR="003A3061" w:rsidRPr="00BB11AF" w:rsidRDefault="003A3061" w:rsidP="003A3061">
      <w:pPr>
        <w:jc w:val="both"/>
        <w:rPr>
          <w:szCs w:val="36"/>
        </w:rPr>
      </w:pPr>
    </w:p>
    <w:p w:rsidR="003A3061" w:rsidRPr="00BB11AF" w:rsidRDefault="003A3061" w:rsidP="003A3061">
      <w:pPr>
        <w:pStyle w:val="suite"/>
      </w:pPr>
      <w:r w:rsidRPr="00BB11AF">
        <w:t>Par Frédéric LEBARON</w:t>
      </w:r>
    </w:p>
    <w:p w:rsidR="003A3061" w:rsidRPr="00BB11AF" w:rsidRDefault="003A3061" w:rsidP="003A3061">
      <w:pPr>
        <w:pStyle w:val="auteurst"/>
      </w:pPr>
      <w:r w:rsidRPr="00BB11AF">
        <w:t>Sciences Po Saint-Germain-en-Laye</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right="90" w:firstLine="0"/>
        <w:jc w:val="both"/>
        <w:rPr>
          <w:sz w:val="20"/>
        </w:rPr>
      </w:pPr>
      <w:hyperlink w:anchor="tdm" w:history="1">
        <w:r w:rsidRPr="00BB11AF">
          <w:rPr>
            <w:rStyle w:val="Lienhypertexte"/>
            <w:sz w:val="20"/>
          </w:rPr>
          <w:t>Retour à la table des matières</w:t>
        </w:r>
      </w:hyperlink>
    </w:p>
    <w:p w:rsidR="003A3061" w:rsidRPr="00BB11AF" w:rsidRDefault="003A3061" w:rsidP="003A3061">
      <w:pPr>
        <w:spacing w:before="120" w:after="120"/>
        <w:jc w:val="both"/>
      </w:pPr>
      <w:r w:rsidRPr="00BB11AF">
        <w:t>Le congrès de l'ACSALF a été l'occasion pour moi de revisiter et d'a</w:t>
      </w:r>
      <w:r w:rsidRPr="00BB11AF">
        <w:t>c</w:t>
      </w:r>
      <w:r w:rsidRPr="00BB11AF">
        <w:t>tualiser un ouvrage que j'ai consacré en 2010 à la crise de la croyance économique (Lebaron 2010). Le projet de cet ouvrage est né du sentiment que la sociologie - mais c'est vrai aussi de l'anthropol</w:t>
      </w:r>
      <w:r w:rsidRPr="00BB11AF">
        <w:t>o</w:t>
      </w:r>
      <w:r w:rsidRPr="00BB11AF">
        <w:t>gie - était largement absente des discussions autour de la crise fina</w:t>
      </w:r>
      <w:r w:rsidRPr="00BB11AF">
        <w:t>n</w:t>
      </w:r>
      <w:r w:rsidRPr="00BB11AF">
        <w:t>cière mondiale. Ce constat est sans doute encore plus vrai en France que dans d'autres pays.</w:t>
      </w:r>
    </w:p>
    <w:p w:rsidR="003A3061" w:rsidRPr="00BB11AF" w:rsidRDefault="003A3061" w:rsidP="003A3061">
      <w:pPr>
        <w:spacing w:before="120" w:after="120"/>
        <w:jc w:val="both"/>
      </w:pPr>
      <w:r w:rsidRPr="00BB11AF">
        <w:t>Or, la crise financière, économique et sociale mondiale, qui est d</w:t>
      </w:r>
      <w:r w:rsidRPr="00BB11AF">
        <w:t>e</w:t>
      </w:r>
      <w:r w:rsidRPr="00BB11AF">
        <w:t>venue plus visible dans l'espace public à l'été 2007 et n'a cessé de s'amplifier depuis lors - les datations des crises – sont toujours pr</w:t>
      </w:r>
      <w:r w:rsidRPr="00BB11AF">
        <w:t>o</w:t>
      </w:r>
      <w:r w:rsidRPr="00BB11AF">
        <w:t>blémat</w:t>
      </w:r>
      <w:r w:rsidRPr="00BB11AF">
        <w:t>i</w:t>
      </w:r>
      <w:r w:rsidRPr="00BB11AF">
        <w:t>ques -, peut aussi être interprétée comme une « crise de la croyance économique dominante » et même de la croyance économ</w:t>
      </w:r>
      <w:r w:rsidRPr="00BB11AF">
        <w:t>i</w:t>
      </w:r>
      <w:r w:rsidRPr="00BB11AF">
        <w:t>que tout court ; elle a ainsi d'ores et déjà donné lieu à une remise en cause i</w:t>
      </w:r>
      <w:r w:rsidRPr="00BB11AF">
        <w:t>m</w:t>
      </w:r>
      <w:r w:rsidRPr="00BB11AF">
        <w:t>portante de la discipline économique, surtout aux États-Unis, même si cela ne s'est apparemment pas traduit par un changement n</w:t>
      </w:r>
      <w:r w:rsidRPr="00BB11AF">
        <w:t>o</w:t>
      </w:r>
      <w:r w:rsidRPr="00BB11AF">
        <w:t>table dans les curricula et les hiérarchies professionnelles</w:t>
      </w:r>
      <w:r>
        <w:t> </w:t>
      </w:r>
      <w:r>
        <w:rPr>
          <w:rStyle w:val="Appelnotedebasdep"/>
        </w:rPr>
        <w:footnoteReference w:id="108"/>
      </w:r>
      <w:r w:rsidRPr="00BB11AF">
        <w:t>. Les a</w:t>
      </w:r>
      <w:r w:rsidRPr="00BB11AF">
        <w:t>p</w:t>
      </w:r>
      <w:r w:rsidRPr="00BB11AF">
        <w:t>pels à plus de coopération interdisciplinaire entre économie et scie</w:t>
      </w:r>
      <w:r w:rsidRPr="00BB11AF">
        <w:t>n</w:t>
      </w:r>
      <w:r w:rsidRPr="00BB11AF">
        <w:t>ces s</w:t>
      </w:r>
      <w:r w:rsidRPr="00BB11AF">
        <w:t>o</w:t>
      </w:r>
      <w:r w:rsidRPr="00BB11AF">
        <w:t>ciales se sont par exemple multipliés depuis 2008-2009 et les liens incestueux entre certains économistes et des intérêts fina</w:t>
      </w:r>
      <w:r w:rsidRPr="00BB11AF">
        <w:t>n</w:t>
      </w:r>
      <w:r w:rsidRPr="00BB11AF">
        <w:t>ciers ont été contestés au point que l'Association économique amér</w:t>
      </w:r>
      <w:r w:rsidRPr="00BB11AF">
        <w:t>i</w:t>
      </w:r>
      <w:r w:rsidRPr="00BB11AF">
        <w:t>caine (AEA) a promu une nouvelle déontologie en la matière</w:t>
      </w:r>
      <w:r>
        <w:t> </w:t>
      </w:r>
      <w:r>
        <w:rPr>
          <w:rStyle w:val="Appelnotedebasdep"/>
        </w:rPr>
        <w:footnoteReference w:id="109"/>
      </w:r>
      <w:r w:rsidRPr="00BB11AF">
        <w:t> ; en même temps, il faut bien dire que jamais une science économique étroit</w:t>
      </w:r>
      <w:r w:rsidRPr="00BB11AF">
        <w:t>e</w:t>
      </w:r>
      <w:r w:rsidRPr="00BB11AF">
        <w:t>ment définie par sa coupure avec les sciences sociales n'a exe</w:t>
      </w:r>
      <w:r w:rsidRPr="00BB11AF">
        <w:t>r</w:t>
      </w:r>
      <w:r w:rsidRPr="00BB11AF">
        <w:t>cé un tel monopole sur le discours public. Mais ce n'est là qu'une des « contradictions », pour utiliser un vocabulaire marxiste ou hégélien, qui s'applique assez bien à un ordre en crise, qui est un phénomène caractéristique de la péri</w:t>
      </w:r>
      <w:r w:rsidRPr="00BB11AF">
        <w:t>o</w:t>
      </w:r>
      <w:r w:rsidRPr="00BB11AF">
        <w:t>de.</w:t>
      </w:r>
    </w:p>
    <w:p w:rsidR="003A3061" w:rsidRPr="00BB11AF" w:rsidRDefault="003A3061" w:rsidP="003A3061">
      <w:pPr>
        <w:spacing w:before="120" w:after="120"/>
        <w:jc w:val="both"/>
      </w:pPr>
      <w:r w:rsidRPr="00BB11AF">
        <w:t>[202]</w:t>
      </w:r>
    </w:p>
    <w:p w:rsidR="003A3061" w:rsidRPr="00BB11AF" w:rsidRDefault="003A3061" w:rsidP="003A3061">
      <w:pPr>
        <w:spacing w:before="120" w:after="120"/>
        <w:jc w:val="both"/>
      </w:pPr>
      <w:r w:rsidRPr="00BB11AF">
        <w:t>Je commencerai ainsi par présenter quelques-uns des enjeux de ma conception et de mon approche de « la crise », une forme de « soci</w:t>
      </w:r>
      <w:r w:rsidRPr="00BB11AF">
        <w:t>o</w:t>
      </w:r>
      <w:r w:rsidRPr="00BB11AF">
        <w:t>logie cognitive », ancrée à la fois dans l'analyse des discours et des croyances économiques et dans une sociologie des espaces où sont produits et diffusés ces croyances, et des agents qui les produisent.</w:t>
      </w:r>
    </w:p>
    <w:p w:rsidR="003A3061" w:rsidRPr="00BB11AF" w:rsidRDefault="003A3061" w:rsidP="003A3061">
      <w:pPr>
        <w:spacing w:before="120" w:after="120"/>
        <w:jc w:val="both"/>
      </w:pPr>
      <w:r w:rsidRPr="00BB11AF">
        <w:t>Une précision théorique pour commencer. En utilisant l'expression « sociologie cognitive », il s'agit surtout d'insister sur ce qui reste en arrière-plan dans beaucoup d'analyses économiques de la crise, à s</w:t>
      </w:r>
      <w:r w:rsidRPr="00BB11AF">
        <w:t>a</w:t>
      </w:r>
      <w:r w:rsidRPr="00BB11AF">
        <w:t>voir la contribution des croyances des acteurs sociaux aux dynam</w:t>
      </w:r>
      <w:r w:rsidRPr="00BB11AF">
        <w:t>i</w:t>
      </w:r>
      <w:r w:rsidRPr="00BB11AF">
        <w:t>ques économiques. Il s'agit de remettre sur le chantier, avec des concepts et des outils renouvelés, la perspective promue par Emile Durkheim, François Simiand, Maurice Halbwachs et Marcel Mauss, qui met au centre de la vie sociale les « représentations collectives ». Mais pour couper court à une interprétation idéaliste de cette déma</w:t>
      </w:r>
      <w:r w:rsidRPr="00BB11AF">
        <w:t>r</w:t>
      </w:r>
      <w:r w:rsidRPr="00BB11AF">
        <w:t>che, je le fais en considérant, avec Durkheim dans les Formes éléme</w:t>
      </w:r>
      <w:r w:rsidRPr="00BB11AF">
        <w:t>n</w:t>
      </w:r>
      <w:r w:rsidRPr="00BB11AF">
        <w:t>taires de la vie religieuse (1968), que les « croyances » ne sont pas des dogmes qui mûrissent dans les seuls cerveaux individuels, mais qu'e</w:t>
      </w:r>
      <w:r w:rsidRPr="00BB11AF">
        <w:t>l</w:t>
      </w:r>
      <w:r w:rsidRPr="00BB11AF">
        <w:t>les sont fabriquées, reproduites, diffusées par la vie sociale elle-même (« effervescence collective », qui en matière économique peut être celle des salles de marché), et liée à des groupes sociaux et des int</w:t>
      </w:r>
      <w:r w:rsidRPr="00BB11AF">
        <w:t>é</w:t>
      </w:r>
      <w:r w:rsidRPr="00BB11AF">
        <w:t>rêts particuliers.</w:t>
      </w:r>
    </w:p>
    <w:p w:rsidR="003A3061" w:rsidRPr="00BB11AF" w:rsidRDefault="003A3061" w:rsidP="003A3061">
      <w:pPr>
        <w:spacing w:before="120" w:after="120"/>
        <w:jc w:val="both"/>
      </w:pPr>
      <w:r w:rsidRPr="00BB11AF">
        <w:t>Concernant la question de la « crise », les analyses de François Simiand (1932) méritent un intérêt particulier, dans la mesure où il a fait des croyances collectives liées aux phénomènes monétaires un él</w:t>
      </w:r>
      <w:r w:rsidRPr="00BB11AF">
        <w:t>é</w:t>
      </w:r>
      <w:r w:rsidRPr="00BB11AF">
        <w:t>ment moteur dans la dynamique des sociétés et, en particulier, dans la succession de phases qui rythme la vie économique et sociale et co</w:t>
      </w:r>
      <w:r w:rsidRPr="00BB11AF">
        <w:t>n</w:t>
      </w:r>
      <w:r w:rsidRPr="00BB11AF">
        <w:t>tribue non seulement à celui du progrès économique, mais aussi à bien d'autres processus, y compris politiques : révoltes, révolutions, cha</w:t>
      </w:r>
      <w:r w:rsidRPr="00BB11AF">
        <w:t>n</w:t>
      </w:r>
      <w:r w:rsidRPr="00BB11AF">
        <w:t>gements de gouvernement. Les crises, dans sa perspective, sont des moments de « basculement » ou de « retournement » des croya</w:t>
      </w:r>
      <w:r w:rsidRPr="00BB11AF">
        <w:t>n</w:t>
      </w:r>
      <w:r w:rsidRPr="00BB11AF">
        <w:t>ces collectives et c'est de l'ampleur de ces « basculements » ou de ces « retournements » que dépendent finalement l'intensité et la nature même du « moment critique ». Les mouvements de cette d</w:t>
      </w:r>
      <w:r w:rsidRPr="00BB11AF">
        <w:t>y</w:t>
      </w:r>
      <w:r w:rsidRPr="00BB11AF">
        <w:t>namique monétaire passent par la succession de périodes d'« euphorie » - liées à la hausse des moyens monétaires - et de p</w:t>
      </w:r>
      <w:r w:rsidRPr="00BB11AF">
        <w:t>é</w:t>
      </w:r>
      <w:r w:rsidRPr="00BB11AF">
        <w:t>riodes « dépressives » - liées à leur réduction -, selon des catégories psychologiques utilisées par Simiand dans une perspective à la fois sociologique et histor</w:t>
      </w:r>
      <w:r w:rsidRPr="00BB11AF">
        <w:t>i</w:t>
      </w:r>
      <w:r w:rsidRPr="00BB11AF">
        <w:t>que</w:t>
      </w:r>
      <w:r>
        <w:t> </w:t>
      </w:r>
      <w:r>
        <w:rPr>
          <w:rStyle w:val="Appelnotedebasdep"/>
        </w:rPr>
        <w:footnoteReference w:id="110"/>
      </w:r>
      <w:r w:rsidRPr="00BB11AF">
        <w:t>. Ces mouvements sont à la fois de courte durée, ce qui corre</w:t>
      </w:r>
      <w:r w:rsidRPr="00BB11AF">
        <w:t>s</w:t>
      </w:r>
      <w:r w:rsidRPr="00BB11AF">
        <w:t>pond aux « cycles » courts de l'économie, et de plus longue durée - fluctu</w:t>
      </w:r>
      <w:r w:rsidRPr="00BB11AF">
        <w:t>a</w:t>
      </w:r>
      <w:r w:rsidRPr="00BB11AF">
        <w:t>tions « longues » ou « Kondratieff », étudiés aussi par Simiand dans les a</w:t>
      </w:r>
      <w:r w:rsidRPr="00BB11AF">
        <w:t>n</w:t>
      </w:r>
      <w:r w:rsidRPr="00BB11AF">
        <w:t>nées 1920. Je reprends à Simiand, mais aussi à Keynes, l'artic</w:t>
      </w:r>
      <w:r w:rsidRPr="00BB11AF">
        <w:t>u</w:t>
      </w:r>
      <w:r w:rsidRPr="00BB11AF">
        <w:t>lation nécessaire entre ces deux cadres temporels.</w:t>
      </w:r>
    </w:p>
    <w:p w:rsidR="003A3061" w:rsidRPr="00BB11AF" w:rsidRDefault="003A3061" w:rsidP="003A3061">
      <w:pPr>
        <w:spacing w:before="120" w:after="120"/>
        <w:jc w:val="both"/>
      </w:pPr>
      <w:r w:rsidRPr="00BB11AF">
        <w:t>Je me concentrerai sur quatre enjeux principaux, puis j'analyserai de façon synthétique les relations entre groupes professionnels et aussi trois grands types de discours et de croyances : les banquiers centraux, les acteurs politiques dirigeants (on dit aussi « centraux »), les écon</w:t>
      </w:r>
      <w:r w:rsidRPr="00BB11AF">
        <w:t>o</w:t>
      </w:r>
      <w:r w:rsidRPr="00BB11AF">
        <w:t>mistes, en particulier</w:t>
      </w:r>
      <w:r>
        <w:t xml:space="preserve"> </w:t>
      </w:r>
      <w:r w:rsidRPr="00BB11AF">
        <w:t>[203]</w:t>
      </w:r>
      <w:r>
        <w:t xml:space="preserve"> </w:t>
      </w:r>
      <w:r w:rsidRPr="00BB11AF">
        <w:t>ceux qui occupent des positions domina</w:t>
      </w:r>
      <w:r w:rsidRPr="00BB11AF">
        <w:t>n</w:t>
      </w:r>
      <w:r w:rsidRPr="00BB11AF">
        <w:t>tes dans le champ, les chefs d'entreprise. En conclusion, je reviendrai sur la question de l'avenir du capitalisme financier et la question de la « sortie de crise » et des « alternatives », qui nous a été posée, à juste titre, par les organis</w:t>
      </w:r>
      <w:r w:rsidRPr="00BB11AF">
        <w:t>a</w:t>
      </w:r>
      <w:r w:rsidRPr="00BB11AF">
        <w:t>teurs de ce colloque.</w:t>
      </w:r>
    </w:p>
    <w:p w:rsidR="003A3061" w:rsidRPr="00BB11AF" w:rsidRDefault="003A3061" w:rsidP="003A3061">
      <w:pPr>
        <w:spacing w:before="120" w:after="120"/>
        <w:jc w:val="both"/>
      </w:pPr>
      <w:r>
        <w:br w:type="page"/>
      </w:r>
    </w:p>
    <w:p w:rsidR="003A3061" w:rsidRPr="00BB11AF" w:rsidRDefault="003A3061" w:rsidP="003A3061">
      <w:pPr>
        <w:pStyle w:val="planche"/>
      </w:pPr>
      <w:r w:rsidRPr="00BB11AF">
        <w:t>La crise du diagnostic</w:t>
      </w:r>
      <w:r>
        <w:br/>
      </w:r>
      <w:r w:rsidRPr="00BB11AF">
        <w:t>économique conjoncturel</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L'analyse de conjoncture contemporaine utilise à la fois les com</w:t>
      </w:r>
      <w:r w:rsidRPr="00BB11AF">
        <w:t>p</w:t>
      </w:r>
      <w:r w:rsidRPr="00BB11AF">
        <w:t>tes nationaux (trimestriels) et des données issues d'enquêtes d'attit</w:t>
      </w:r>
      <w:r w:rsidRPr="00BB11AF">
        <w:t>u</w:t>
      </w:r>
      <w:r w:rsidRPr="00BB11AF">
        <w:t>des, notamment sur le moral des ménages et des chefs d'entreprise. Elle commente le passé récent et prévoit l'avenir plus ou moins pr</w:t>
      </w:r>
      <w:r w:rsidRPr="00BB11AF">
        <w:t>o</w:t>
      </w:r>
      <w:r w:rsidRPr="00BB11AF">
        <w:t>che.</w:t>
      </w:r>
    </w:p>
    <w:p w:rsidR="003A3061" w:rsidRPr="00BB11AF" w:rsidRDefault="003A3061" w:rsidP="003A3061">
      <w:pPr>
        <w:spacing w:before="120" w:after="120"/>
        <w:jc w:val="both"/>
      </w:pPr>
      <w:r w:rsidRPr="00BB11AF">
        <w:t>Depuis 2008, rien ne va plus chez les conjoncturistes, même si ce</w:t>
      </w:r>
      <w:r w:rsidRPr="00BB11AF">
        <w:t>r</w:t>
      </w:r>
      <w:r w:rsidRPr="00BB11AF">
        <w:t>tains d'entre eux ont essayé de montrer qu'ils ne s'étaient pas tant trompé que cela, fin 2008, compte tenu des données disponibles ; le caractère systématique des biais des prévisions officielles semble quelque peu suspect. Les révisions des prévisions budgétaires à un an sont désormais quasi routinières et alimentent la chronique politique.</w:t>
      </w:r>
    </w:p>
    <w:p w:rsidR="003A3061" w:rsidRPr="00BB11AF" w:rsidRDefault="003A3061" w:rsidP="003A3061">
      <w:pPr>
        <w:spacing w:before="120" w:after="120"/>
        <w:jc w:val="both"/>
      </w:pPr>
      <w:r w:rsidRPr="00BB11AF">
        <w:t>L'analyse de conjoncture est, depuis toujours, confrontée à une di</w:t>
      </w:r>
      <w:r w:rsidRPr="00BB11AF">
        <w:t>f</w:t>
      </w:r>
      <w:r w:rsidRPr="00BB11AF">
        <w:t>ficulté lorsqu'il s'agit d'intégrer les effets des diagnostics et des prév</w:t>
      </w:r>
      <w:r w:rsidRPr="00BB11AF">
        <w:t>i</w:t>
      </w:r>
      <w:r w:rsidRPr="00BB11AF">
        <w:t>sions conjoncturels eux-mêmes sur la dynamique de l'économie. Ce thème se rapproche du débat sociologique contemporain autour de la « performativité » de la science économique, autour d'auteurs comme Michel Callon et Fabian Muniesa (2008), selon lesquels la « science économique » ne se contente pas d'étudier les marchés, mais les crée en grande partie, avec l'exemple du marché des options étudié par D</w:t>
      </w:r>
      <w:r w:rsidRPr="00BB11AF">
        <w:t>o</w:t>
      </w:r>
      <w:r w:rsidRPr="00BB11AF">
        <w:t>nald MacKenzie</w:t>
      </w:r>
      <w:r>
        <w:t> </w:t>
      </w:r>
      <w:r>
        <w:rPr>
          <w:rStyle w:val="Appelnotedebasdep"/>
        </w:rPr>
        <w:footnoteReference w:id="111"/>
      </w:r>
      <w:r w:rsidRPr="00BB11AF">
        <w:t>. En décrivant les conjoncturistes comme des o</w:t>
      </w:r>
      <w:r w:rsidRPr="00BB11AF">
        <w:t>b</w:t>
      </w:r>
      <w:r w:rsidRPr="00BB11AF">
        <w:t>servateurs neutres de mouvements objectifs, on oublie en tout cas les r</w:t>
      </w:r>
      <w:r w:rsidRPr="00BB11AF">
        <w:t>e</w:t>
      </w:r>
      <w:r w:rsidRPr="00BB11AF">
        <w:t>marques faites il y a longtemps par John Kenneth Galbraith sur les biais en premier lieu politiques inhérents aux prévisions inscrites dans les budgets des États, un cas de « prophéties auto-réalisatrices » ch</w:t>
      </w:r>
      <w:r w:rsidRPr="00BB11AF">
        <w:t>è</w:t>
      </w:r>
      <w:r w:rsidRPr="00BB11AF">
        <w:t>res à Robert K. Merton.</w:t>
      </w:r>
    </w:p>
    <w:p w:rsidR="003A3061" w:rsidRPr="00BB11AF" w:rsidRDefault="003A3061" w:rsidP="003A3061">
      <w:pPr>
        <w:spacing w:before="120" w:after="120"/>
        <w:jc w:val="both"/>
      </w:pPr>
      <w:r w:rsidRPr="00BB11AF">
        <w:t>Les événements des cinq dernières années - et ceux du début oct</w:t>
      </w:r>
      <w:r w:rsidRPr="00BB11AF">
        <w:t>o</w:t>
      </w:r>
      <w:r w:rsidRPr="00BB11AF">
        <w:t>bre 2012, avec un récent rapport conjoncturel du Fonds monétaire i</w:t>
      </w:r>
      <w:r w:rsidRPr="00BB11AF">
        <w:t>n</w:t>
      </w:r>
      <w:r w:rsidRPr="00BB11AF">
        <w:t>ternational (FMI)</w:t>
      </w:r>
      <w:r>
        <w:t> </w:t>
      </w:r>
      <w:r>
        <w:rPr>
          <w:rStyle w:val="Appelnotedebasdep"/>
        </w:rPr>
        <w:footnoteReference w:id="112"/>
      </w:r>
      <w:r>
        <w:t xml:space="preserve"> </w:t>
      </w:r>
      <w:r w:rsidRPr="00BB11AF">
        <w:t>-</w:t>
      </w:r>
      <w:r>
        <w:t xml:space="preserve"> </w:t>
      </w:r>
      <w:r w:rsidRPr="00BB11AF">
        <w:t>ont montré à plusieurs reprises que cette que</w:t>
      </w:r>
      <w:r w:rsidRPr="00BB11AF">
        <w:t>s</w:t>
      </w:r>
      <w:r w:rsidRPr="00BB11AF">
        <w:t>tion fondamentale reste pas ou peu analysée ; les biais systématiques qui c</w:t>
      </w:r>
      <w:r w:rsidRPr="00BB11AF">
        <w:t>a</w:t>
      </w:r>
      <w:r w:rsidRPr="00BB11AF">
        <w:t>ractérisent les prévisions conjoncturelles sont d'autant plus forts que celles-ci sont en partie sous la dépendance des autorités (gouve</w:t>
      </w:r>
      <w:r w:rsidRPr="00BB11AF">
        <w:t>r</w:t>
      </w:r>
      <w:r w:rsidRPr="00BB11AF">
        <w:t>nements, banques centrales, etc.), des acteurs bancaires et financiers (secteur financier) ou encore des organisations professionnelles sect</w:t>
      </w:r>
      <w:r w:rsidRPr="00BB11AF">
        <w:t>o</w:t>
      </w:r>
      <w:r w:rsidRPr="00BB11AF">
        <w:t>rielles (comme dans le cas de l'immobilier), etc.</w:t>
      </w:r>
    </w:p>
    <w:p w:rsidR="003A3061" w:rsidRPr="00BB11AF" w:rsidRDefault="003A3061" w:rsidP="003A3061">
      <w:pPr>
        <w:tabs>
          <w:tab w:val="left" w:pos="4880"/>
        </w:tabs>
        <w:spacing w:before="120" w:after="120"/>
        <w:jc w:val="both"/>
      </w:pPr>
      <w:r w:rsidRPr="00BB11AF">
        <w:t>[204]</w:t>
      </w:r>
    </w:p>
    <w:p w:rsidR="003A3061" w:rsidRPr="00BB11AF" w:rsidRDefault="003A3061" w:rsidP="003A3061">
      <w:pPr>
        <w:spacing w:before="120" w:after="120"/>
        <w:jc w:val="both"/>
      </w:pPr>
      <w:r w:rsidRPr="00BB11AF">
        <w:t>La prévision officielle s'était déjà caractérisée avant 2008 par un fort penchant à l'optimisme, qui s'est nourri et, réciproquement, qui a nourri l'euphorie financière, laquelle a fait illusion pendant quelques années. Dans le domaine immobilier, ce phénomène est particulièr</w:t>
      </w:r>
      <w:r w:rsidRPr="00BB11AF">
        <w:t>e</w:t>
      </w:r>
      <w:r w:rsidRPr="00BB11AF">
        <w:t>ment évident et a été lourd d'implications, dans la mesure où il a entr</w:t>
      </w:r>
      <w:r w:rsidRPr="00BB11AF">
        <w:t>e</w:t>
      </w:r>
      <w:r w:rsidRPr="00BB11AF">
        <w:t>tenu une « bulle spéculative » que les conjoncturistes n'ont pas di</w:t>
      </w:r>
      <w:r w:rsidRPr="00BB11AF">
        <w:t>a</w:t>
      </w:r>
      <w:r w:rsidRPr="00BB11AF">
        <w:t>gnost</w:t>
      </w:r>
      <w:r w:rsidRPr="00BB11AF">
        <w:t>i</w:t>
      </w:r>
      <w:r w:rsidRPr="00BB11AF">
        <w:t>quée à temps et face à laquelle les acteurs publics n'ont pas agi, pas voulu ou su agir</w:t>
      </w:r>
      <w:r>
        <w:t> </w:t>
      </w:r>
      <w:r>
        <w:rPr>
          <w:rStyle w:val="Appelnotedebasdep"/>
        </w:rPr>
        <w:footnoteReference w:id="113"/>
      </w:r>
      <w:r w:rsidRPr="00BB11AF">
        <w:t>.</w:t>
      </w:r>
    </w:p>
    <w:p w:rsidR="003A3061" w:rsidRPr="00BB11AF" w:rsidRDefault="003A3061" w:rsidP="003A3061">
      <w:pPr>
        <w:spacing w:before="120" w:after="120"/>
        <w:jc w:val="both"/>
      </w:pPr>
      <w:r w:rsidRPr="00BB11AF">
        <w:t>En 2009-2010, ce biais se manifeste autour de la notion de « r</w:t>
      </w:r>
      <w:r w:rsidRPr="00BB11AF">
        <w:t>e</w:t>
      </w:r>
      <w:r w:rsidRPr="00BB11AF">
        <w:t>prise » qui se diffuse dans la littérature conjoncturelle, alors même que les indicateurs trimestriels restent relativement atones aux États-Unis et en Europe. Plus récemment, il se traduit par l'absence d'antic</w:t>
      </w:r>
      <w:r w:rsidRPr="00BB11AF">
        <w:t>i</w:t>
      </w:r>
      <w:r w:rsidRPr="00BB11AF">
        <w:t>pation par les organismes officiels des effets récessifs des politiques d'aust</w:t>
      </w:r>
      <w:r w:rsidRPr="00BB11AF">
        <w:t>é</w:t>
      </w:r>
      <w:r w:rsidRPr="00BB11AF">
        <w:t>rité en Europe en 2011 et plus encore en 2012. Le schéma de la repr</w:t>
      </w:r>
      <w:r w:rsidRPr="00BB11AF">
        <w:t>i</w:t>
      </w:r>
      <w:r w:rsidRPr="00BB11AF">
        <w:t>se qui continue d'être privilégié en Europe est centré sur la notion de « confiance », celle-ci est supposée la clé de la reprise : une fois « surmontée » la crise de confiance dans l'unité de la zone euro et les « réformes structurelles » enclenchées, une croissance saine est censée prendre le pas. Or, cela ne fonctionne pas (en Europe) ou mal (aux États-Unis).</w:t>
      </w:r>
    </w:p>
    <w:p w:rsidR="003A3061" w:rsidRDefault="003A3061" w:rsidP="003A3061">
      <w:pPr>
        <w:spacing w:before="120" w:after="120"/>
        <w:jc w:val="both"/>
      </w:pPr>
    </w:p>
    <w:p w:rsidR="003A3061" w:rsidRPr="00BB11AF" w:rsidRDefault="003A3061" w:rsidP="003A3061">
      <w:pPr>
        <w:spacing w:before="120" w:after="120"/>
        <w:jc w:val="both"/>
      </w:pPr>
    </w:p>
    <w:p w:rsidR="003A3061" w:rsidRPr="00BB11AF" w:rsidRDefault="003A3061" w:rsidP="003A3061">
      <w:pPr>
        <w:pStyle w:val="planche"/>
      </w:pPr>
      <w:r w:rsidRPr="00BB11AF">
        <w:t>La « régulation » des marchés :</w:t>
      </w:r>
      <w:r>
        <w:br/>
      </w:r>
      <w:r w:rsidRPr="00BB11AF">
        <w:t>de l'interprétation dominante de la crise</w:t>
      </w:r>
      <w:r>
        <w:br/>
      </w:r>
      <w:r w:rsidRPr="00BB11AF">
        <w:t>à la crise de l’action publ</w:t>
      </w:r>
      <w:r w:rsidRPr="00BB11AF">
        <w:t>i</w:t>
      </w:r>
      <w:r w:rsidRPr="00BB11AF">
        <w:t>que</w:t>
      </w:r>
    </w:p>
    <w:p w:rsidR="003A3061" w:rsidRPr="00BB11AF" w:rsidRDefault="003A3061" w:rsidP="003A3061">
      <w:pPr>
        <w:spacing w:before="120" w:after="120"/>
        <w:jc w:val="both"/>
        <w:rPr>
          <w:i/>
          <w:iCs/>
          <w:szCs w:val="28"/>
        </w:rPr>
      </w:pPr>
    </w:p>
    <w:p w:rsidR="003A3061" w:rsidRPr="00BB11AF" w:rsidRDefault="003A3061" w:rsidP="003A3061">
      <w:pPr>
        <w:spacing w:before="120" w:after="120"/>
        <w:jc w:val="both"/>
      </w:pPr>
      <w:r w:rsidRPr="00BB11AF">
        <w:t>Du point de vue des représentations collectives elles-mêmes, « la cr</w:t>
      </w:r>
      <w:r w:rsidRPr="00BB11AF">
        <w:t>i</w:t>
      </w:r>
      <w:r w:rsidRPr="00BB11AF">
        <w:t>se » qui s'intensifie avec la faillite de la banque Lehman Brothers à la mi-septembre 2008, puis en 2009, n'est pas une simple « récession » ordinaire, caractéristique d'un « Juglar » particulièrement marqué (même si quelques interprètes ont longtemps maintenu cette analyse).</w:t>
      </w:r>
    </w:p>
    <w:p w:rsidR="003A3061" w:rsidRPr="00BB11AF" w:rsidRDefault="003A3061" w:rsidP="003A3061">
      <w:pPr>
        <w:spacing w:before="120" w:after="120"/>
        <w:jc w:val="both"/>
      </w:pPr>
      <w:r w:rsidRPr="00BB11AF">
        <w:t>L'expression même « la crise » s'étend durant le processus lui-même : on passe de « la crise des subprimes », éclatement d'une bulle financière localisé sur un marché particulier-certains crédits hypoth</w:t>
      </w:r>
      <w:r w:rsidRPr="00BB11AF">
        <w:t>é</w:t>
      </w:r>
      <w:r w:rsidRPr="00BB11AF">
        <w:t>caires très risqués-dans un pays particulier, les États-Unis, à une « crise mondiale », comparable à celle des années 1930 (« Grande Dépre</w:t>
      </w:r>
      <w:r w:rsidRPr="00BB11AF">
        <w:t>s</w:t>
      </w:r>
      <w:r w:rsidRPr="00BB11AF">
        <w:t>sion »).</w:t>
      </w:r>
    </w:p>
    <w:p w:rsidR="003A3061" w:rsidRPr="00BB11AF" w:rsidRDefault="003A3061" w:rsidP="003A3061">
      <w:pPr>
        <w:spacing w:before="120" w:after="120"/>
        <w:jc w:val="both"/>
      </w:pPr>
      <w:r w:rsidRPr="00BB11AF">
        <w:t>À partir de la fin de 2008 et tout au long de l'année 2009 émerge, n</w:t>
      </w:r>
      <w:r w:rsidRPr="00BB11AF">
        <w:t>o</w:t>
      </w:r>
      <w:r w:rsidRPr="00BB11AF">
        <w:t>tamment dans les arènes officielles, les G20, une analyse officielle des « causes » de la crise qui fixe un cadre cognitif relativement stable jusqu'à aujourd'hui. Il est cependant difficile de parler de « chang</w:t>
      </w:r>
      <w:r w:rsidRPr="00BB11AF">
        <w:t>e</w:t>
      </w:r>
      <w:r w:rsidRPr="00BB11AF">
        <w:t>ment de paradigme » comme sont (ou ont été) tentés de le faire certains analystes des politiques publiques. On voit plutôt se cri</w:t>
      </w:r>
      <w:r w:rsidRPr="00BB11AF">
        <w:t>s</w:t>
      </w:r>
      <w:r w:rsidRPr="00BB11AF">
        <w:t>talliser une nouvelle doxa régulatrice, qui redéfinit les rapports entre régul</w:t>
      </w:r>
      <w:r w:rsidRPr="00BB11AF">
        <w:t>a</w:t>
      </w:r>
      <w:r w:rsidRPr="00BB11AF">
        <w:t>tions juridico-étatiques et marchés financiers dans une direction plus contraignante, la crise étant conçue ici comme un révélateur de ma</w:t>
      </w:r>
      <w:r w:rsidRPr="00BB11AF">
        <w:t>u</w:t>
      </w:r>
      <w:r w:rsidRPr="00BB11AF">
        <w:t>vaises pratiques préexistantes qu'il faut corriger pour l'avenir. Le changement discursif est particulièrement net chez les acteurs publics et les économistes, beaucoup</w:t>
      </w:r>
      <w:r>
        <w:t xml:space="preserve"> </w:t>
      </w:r>
      <w:r w:rsidRPr="00BB11AF">
        <w:t>[205]</w:t>
      </w:r>
      <w:r>
        <w:t xml:space="preserve"> </w:t>
      </w:r>
      <w:r w:rsidRPr="00BB11AF">
        <w:t>moins prononcé chez les acteurs financiers et patronaux. En arri</w:t>
      </w:r>
      <w:r w:rsidRPr="00BB11AF">
        <w:t>è</w:t>
      </w:r>
      <w:r w:rsidRPr="00BB11AF">
        <w:t>re-plan, l'effondrement de l'image de la finance et des institutions f</w:t>
      </w:r>
      <w:r w:rsidRPr="00BB11AF">
        <w:t>i</w:t>
      </w:r>
      <w:r w:rsidRPr="00BB11AF">
        <w:t>nancières, en 2008-2009, contribue bien sûr à cette dynamique, inca</w:t>
      </w:r>
      <w:r w:rsidRPr="00BB11AF">
        <w:t>r</w:t>
      </w:r>
      <w:r w:rsidRPr="00BB11AF">
        <w:t>née en France par les discours moralis</w:t>
      </w:r>
      <w:r w:rsidRPr="00BB11AF">
        <w:t>a</w:t>
      </w:r>
      <w:r w:rsidRPr="00BB11AF">
        <w:t>teurs de Nicolas Sarkozy.</w:t>
      </w:r>
    </w:p>
    <w:p w:rsidR="003A3061" w:rsidRPr="00BB11AF" w:rsidRDefault="003A3061" w:rsidP="003A3061">
      <w:pPr>
        <w:spacing w:before="120" w:after="120"/>
        <w:jc w:val="both"/>
      </w:pPr>
      <w:r w:rsidRPr="00BB11AF">
        <w:t>Les autorités politiques s'engagent donc en septembre-octobre 2008 dans un mouvement de « re-régulation » qui est officiellement encore en cours. Les objectifs initiaux de ce mouvement étaient amb</w:t>
      </w:r>
      <w:r w:rsidRPr="00BB11AF">
        <w:t>i</w:t>
      </w:r>
      <w:r w:rsidRPr="00BB11AF">
        <w:t>tieux, puisqu'il s'agissait de repenser les conditions de la gestion du risque, qui avaient manifestement échoué au sein de la finance amér</w:t>
      </w:r>
      <w:r w:rsidRPr="00BB11AF">
        <w:t>i</w:t>
      </w:r>
      <w:r w:rsidRPr="00BB11AF">
        <w:t>caine</w:t>
      </w:r>
      <w:r>
        <w:t> </w:t>
      </w:r>
      <w:r>
        <w:rPr>
          <w:rStyle w:val="Appelnotedebasdep"/>
        </w:rPr>
        <w:footnoteReference w:id="114"/>
      </w:r>
      <w:r w:rsidRPr="00BB11AF">
        <w:t>.</w:t>
      </w:r>
    </w:p>
    <w:p w:rsidR="003A3061" w:rsidRPr="00BB11AF" w:rsidRDefault="003A3061" w:rsidP="003A3061">
      <w:pPr>
        <w:spacing w:before="120" w:after="120"/>
        <w:jc w:val="both"/>
      </w:pPr>
    </w:p>
    <w:p w:rsidR="003A3061" w:rsidRPr="00BB11AF" w:rsidRDefault="003A3061" w:rsidP="003A3061">
      <w:pPr>
        <w:spacing w:before="120" w:after="120"/>
        <w:ind w:left="720" w:hanging="360"/>
        <w:jc w:val="both"/>
      </w:pPr>
      <w:r w:rsidRPr="00BB11AF">
        <w:t>*</w:t>
      </w:r>
      <w:r w:rsidRPr="00BB11AF">
        <w:tab/>
        <w:t>La règlementation bancaire se durcit, effectivement, de part et d'autre de l'Atlantique. Dans le sillage des impulsions de la r</w:t>
      </w:r>
      <w:r w:rsidRPr="00BB11AF">
        <w:t>è</w:t>
      </w:r>
      <w:r w:rsidRPr="00BB11AF">
        <w:t>glementation internationale (Bâle III), des mouvements diff</w:t>
      </w:r>
      <w:r w:rsidRPr="00BB11AF">
        <w:t>é</w:t>
      </w:r>
      <w:r w:rsidRPr="00BB11AF">
        <w:t>renciés affectent les règlementations bancaires. En Europe, la directive CRD IV/CRR (avril 2013) est en deçà de la « Volcker rule », qui, même sous une forme très atténuée par rapport au projet initial, restreint les possibil</w:t>
      </w:r>
      <w:r w:rsidRPr="00BB11AF">
        <w:t>i</w:t>
      </w:r>
      <w:r w:rsidRPr="00BB11AF">
        <w:t>tés de spéculation pour les banques en limitant l'investissement sur fond propre.</w:t>
      </w:r>
    </w:p>
    <w:p w:rsidR="003A3061" w:rsidRPr="00BB11AF" w:rsidRDefault="003A3061" w:rsidP="003A3061">
      <w:pPr>
        <w:spacing w:before="120" w:after="120"/>
        <w:ind w:left="720" w:hanging="360"/>
        <w:jc w:val="both"/>
      </w:pPr>
      <w:r w:rsidRPr="00BB11AF">
        <w:t>*</w:t>
      </w:r>
      <w:r w:rsidRPr="00BB11AF">
        <w:tab/>
        <w:t>La transparence et le contrôle des opérations financières les plus opaques (le trading haute fréquence, les transactions de gré à gré, etc.), des acteurs les moins contrôlés, sont mis à l'ordre du jour des politiques publiques. En Europe, c'est la révision de la directive M</w:t>
      </w:r>
      <w:r w:rsidRPr="00BB11AF">
        <w:t>i</w:t>
      </w:r>
      <w:r w:rsidRPr="00BB11AF">
        <w:t>FID, qui est censée permettre ce contrôle, etc. L'ordre du jour a te</w:t>
      </w:r>
      <w:r w:rsidRPr="00BB11AF">
        <w:t>n</w:t>
      </w:r>
      <w:r w:rsidRPr="00BB11AF">
        <w:t>dance à s'étendre démesurément dans le temps depuis 2008.</w:t>
      </w:r>
    </w:p>
    <w:p w:rsidR="003A3061" w:rsidRPr="00BB11AF" w:rsidRDefault="003A3061" w:rsidP="003A3061">
      <w:pPr>
        <w:spacing w:before="120" w:after="120"/>
        <w:ind w:left="720" w:hanging="360"/>
        <w:jc w:val="both"/>
      </w:pPr>
      <w:r w:rsidRPr="00BB11AF">
        <w:t>*</w:t>
      </w:r>
      <w:r w:rsidRPr="00BB11AF">
        <w:tab/>
        <w:t>On continue aussi de lutter officiellement contre les « paradis fiscaux », mais la définition officielle de ceux-ci, en elle-même pr</w:t>
      </w:r>
      <w:r w:rsidRPr="00BB11AF">
        <w:t>o</w:t>
      </w:r>
      <w:r w:rsidRPr="00BB11AF">
        <w:t>blématique dès l'origine, a été assouplie et leur nombre a donc fort</w:t>
      </w:r>
      <w:r w:rsidRPr="00BB11AF">
        <w:t>e</w:t>
      </w:r>
      <w:r w:rsidRPr="00BB11AF">
        <w:t>ment diminué sans que la réalité des pratiques se soit radicalement modifiée.</w:t>
      </w:r>
    </w:p>
    <w:p w:rsidR="003A3061" w:rsidRDefault="003A3061" w:rsidP="003A3061">
      <w:pPr>
        <w:spacing w:before="120" w:after="120"/>
        <w:ind w:left="720" w:hanging="360"/>
        <w:jc w:val="both"/>
      </w:pPr>
      <w:r w:rsidRPr="00BB11AF">
        <w:t>*</w:t>
      </w:r>
      <w:r w:rsidRPr="00BB11AF">
        <w:tab/>
        <w:t>En matière fiscale, les politiques sont restées à ce jour peu ha</w:t>
      </w:r>
      <w:r w:rsidRPr="00BB11AF">
        <w:t>r</w:t>
      </w:r>
      <w:r w:rsidRPr="00BB11AF">
        <w:t>monisées, malgré les velléités affichées par certains États. La « taxe Tobin » (ou « taxe sur les transactions financières »), promue notamment par la France, reste très limitée dans sa d</w:t>
      </w:r>
      <w:r w:rsidRPr="00BB11AF">
        <w:t>é</w:t>
      </w:r>
      <w:r w:rsidRPr="00BB11AF">
        <w:t>finition (transactions sur les actions) et elle n'est pas très sout</w:t>
      </w:r>
      <w:r w:rsidRPr="00BB11AF">
        <w:t>e</w:t>
      </w:r>
      <w:r w:rsidRPr="00BB11AF">
        <w:t>nue au niveau européen. En 2012, 11 pays ont néanmoins a</w:t>
      </w:r>
      <w:r w:rsidRPr="00BB11AF">
        <w:t>n</w:t>
      </w:r>
      <w:r w:rsidRPr="00BB11AF">
        <w:t>noncé leur projet d'établir une coopération renforcée sur le s</w:t>
      </w:r>
      <w:r w:rsidRPr="00BB11AF">
        <w:t>u</w:t>
      </w:r>
      <w:r w:rsidRPr="00BB11AF">
        <w:t>jet, ce qui constitue une « avancée » relative de ce que l'on peut appeler un « serpent de mer ».</w:t>
      </w:r>
    </w:p>
    <w:p w:rsidR="003A3061" w:rsidRPr="00BB11AF" w:rsidRDefault="003A3061" w:rsidP="003A3061">
      <w:pPr>
        <w:pStyle w:val="p"/>
      </w:pPr>
      <w:r w:rsidRPr="00BB11AF">
        <w:t>[206]</w:t>
      </w:r>
    </w:p>
    <w:p w:rsidR="003A3061" w:rsidRPr="00BB11AF" w:rsidRDefault="003A3061" w:rsidP="003A3061">
      <w:pPr>
        <w:spacing w:before="120" w:after="120"/>
        <w:ind w:left="720" w:hanging="360"/>
        <w:jc w:val="both"/>
      </w:pPr>
      <w:r w:rsidRPr="00BB11AF">
        <w:t>*</w:t>
      </w:r>
      <w:r w:rsidRPr="00BB11AF">
        <w:tab/>
        <w:t>Les modes de rémunération n'ont pas été remis en cause front</w:t>
      </w:r>
      <w:r w:rsidRPr="00BB11AF">
        <w:t>a</w:t>
      </w:r>
      <w:r w:rsidRPr="00BB11AF">
        <w:t>lement, même si des mesures ponctuelles ont pu être prises (comme des taxes sur les bonus) et si la thématique des inégal</w:t>
      </w:r>
      <w:r w:rsidRPr="00BB11AF">
        <w:t>i</w:t>
      </w:r>
      <w:r w:rsidRPr="00BB11AF">
        <w:t>tés de revenus (le « 1% ») est devenue plus « populaire ».</w:t>
      </w:r>
    </w:p>
    <w:p w:rsidR="003A3061" w:rsidRPr="00BB11AF" w:rsidRDefault="003A3061" w:rsidP="003A3061">
      <w:pPr>
        <w:spacing w:before="120" w:after="120"/>
        <w:ind w:left="720" w:hanging="360"/>
        <w:jc w:val="both"/>
      </w:pPr>
      <w:r w:rsidRPr="00BB11AF">
        <w:t>*</w:t>
      </w:r>
      <w:r w:rsidRPr="00BB11AF">
        <w:tab/>
        <w:t>La gouvernance des institutions internationales a peu évolué, comme le montre le cas du FMI, avec une très timide modific</w:t>
      </w:r>
      <w:r w:rsidRPr="00BB11AF">
        <w:t>a</w:t>
      </w:r>
      <w:r w:rsidRPr="00BB11AF">
        <w:t>tion des équilibres.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Comment expliquer qu'un apparemment changement cognitif m</w:t>
      </w:r>
      <w:r w:rsidRPr="00BB11AF">
        <w:t>a</w:t>
      </w:r>
      <w:r w:rsidRPr="00BB11AF">
        <w:t>jeur exerce aussi peu d'effets sur les normes juridiques internationales et nationales ?</w:t>
      </w:r>
    </w:p>
    <w:p w:rsidR="003A3061" w:rsidRPr="00BB11AF" w:rsidRDefault="003A3061" w:rsidP="003A3061">
      <w:pPr>
        <w:spacing w:before="120" w:after="120"/>
        <w:jc w:val="both"/>
      </w:pPr>
      <w:r w:rsidRPr="00BB11AF">
        <w:t>Les acteurs financiers ont en partie reconstitué leur force de frappe, à la fois matérielle et symbolique. Les critères de performance et les doctrines issus de la finance, aussi discutés soient-ils, restent dom</w:t>
      </w:r>
      <w:r w:rsidRPr="00BB11AF">
        <w:t>i</w:t>
      </w:r>
      <w:r w:rsidRPr="00BB11AF">
        <w:t>nants et ils sont intériorisés par de larges catégories professionnelles : banquiers centraux, économistes, hauts fonctionnaires des ministères des finances, acteurs politiques, etc. Les programmes de formation en économie et finance n'ont pas été bouleversés et les acteurs actuell</w:t>
      </w:r>
      <w:r w:rsidRPr="00BB11AF">
        <w:t>e</w:t>
      </w:r>
      <w:r w:rsidRPr="00BB11AF">
        <w:t>ment aux commandes restent profondément imprégnés par les croya</w:t>
      </w:r>
      <w:r w:rsidRPr="00BB11AF">
        <w:t>n</w:t>
      </w:r>
      <w:r w:rsidRPr="00BB11AF">
        <w:t>ces issues de la période antérieure, « déposées » dans des m</w:t>
      </w:r>
      <w:r w:rsidRPr="00BB11AF">
        <w:t>a</w:t>
      </w:r>
      <w:r w:rsidRPr="00BB11AF">
        <w:t>nuels, mais surtout « incrustées » dans les cerveaux. La crise de ce point de vue crée un nouvel environnement, mais ne bouleverse pas les disp</w:t>
      </w:r>
      <w:r w:rsidRPr="00BB11AF">
        <w:t>o</w:t>
      </w:r>
      <w:r w:rsidRPr="00BB11AF">
        <w:t>sitions.</w:t>
      </w:r>
    </w:p>
    <w:p w:rsidR="003A3061" w:rsidRPr="00BB11AF" w:rsidRDefault="003A3061" w:rsidP="003A3061">
      <w:pPr>
        <w:spacing w:before="120" w:after="120"/>
        <w:jc w:val="both"/>
      </w:pPr>
      <w:r w:rsidRPr="00BB11AF">
        <w:t>Il serait naïf de penser que tous les acteurs dirigeants ont été « conve</w:t>
      </w:r>
      <w:r w:rsidRPr="00BB11AF">
        <w:t>r</w:t>
      </w:r>
      <w:r w:rsidRPr="00BB11AF">
        <w:t>tis » en 2008 à un fort mouvement régulateur. Beaucoup l'ont subi et y résistent, notamment à travers diverses formes de lobbying. « La dernière tactique des lobbyistes [bancaire] est de convaincre les e</w:t>
      </w:r>
      <w:r w:rsidRPr="00BB11AF">
        <w:t>x</w:t>
      </w:r>
      <w:r w:rsidRPr="00BB11AF">
        <w:t>perts, le public et les politiciens que la prudence serait néfaste pour l'écon</w:t>
      </w:r>
      <w:r w:rsidRPr="00BB11AF">
        <w:t>o</w:t>
      </w:r>
      <w:r w:rsidRPr="00BB11AF">
        <w:t>mie. [...] Cette stratégie est intellectuellement malhonnête et potentie</w:t>
      </w:r>
      <w:r w:rsidRPr="00BB11AF">
        <w:t>l</w:t>
      </w:r>
      <w:r w:rsidRPr="00BB11AF">
        <w:t>lement destructrice » comme l'a déclaré Robert Jenkins, membre du Comité de Politique Monétaire de la Banque d'Angleterre, dans un discours prononcé à Londres le 22 novembre 2011</w:t>
      </w:r>
      <w:r>
        <w:t> </w:t>
      </w:r>
      <w:r>
        <w:rPr>
          <w:rStyle w:val="Appelnotedebasdep"/>
        </w:rPr>
        <w:footnoteReference w:id="115"/>
      </w:r>
      <w:r w:rsidRPr="00BB11AF">
        <w:t>. On est plutôt face à un ensemble de « luttes symboliques ou de luttes de croyance » menées de façon souterraine dans de multiples instances, entre diff</w:t>
      </w:r>
      <w:r w:rsidRPr="00BB11AF">
        <w:t>é</w:t>
      </w:r>
      <w:r w:rsidRPr="00BB11AF">
        <w:t>rents acteurs.</w:t>
      </w:r>
    </w:p>
    <w:p w:rsidR="003A3061" w:rsidRPr="00BB11AF" w:rsidRDefault="003A3061" w:rsidP="003A3061">
      <w:pPr>
        <w:spacing w:before="120" w:after="120"/>
        <w:jc w:val="both"/>
      </w:pPr>
      <w:r w:rsidRPr="00BB11AF">
        <w:t>Même si l'on manque de recul et de données empiriques, les t</w:t>
      </w:r>
      <w:r w:rsidRPr="00BB11AF">
        <w:t>é</w:t>
      </w:r>
      <w:r w:rsidRPr="00BB11AF">
        <w:t>moignages sur la façon dont diverses institutions et divers acteurs ont « traversé » la crise depuis 2008 sont particulièrement instructifs sur l'ébranlement cognitif qu'elle a représenté et l'incertitude du mouv</w:t>
      </w:r>
      <w:r w:rsidRPr="00BB11AF">
        <w:t>e</w:t>
      </w:r>
      <w:r w:rsidRPr="00BB11AF">
        <w:t>ment régulateur enclenché et le rôle respectif des divers acteurs, n</w:t>
      </w:r>
      <w:r w:rsidRPr="00BB11AF">
        <w:t>o</w:t>
      </w:r>
      <w:r w:rsidRPr="00BB11AF">
        <w:t>tamment des banquiers centraux</w:t>
      </w:r>
      <w:r>
        <w:t> </w:t>
      </w:r>
      <w:r>
        <w:rPr>
          <w:rStyle w:val="Appelnotedebasdep"/>
        </w:rPr>
        <w:footnoteReference w:id="116"/>
      </w:r>
      <w:r w:rsidRPr="00BB11AF">
        <w:t>.</w:t>
      </w:r>
    </w:p>
    <w:p w:rsidR="003A3061" w:rsidRDefault="003A3061" w:rsidP="003A3061">
      <w:pPr>
        <w:spacing w:before="120" w:after="120"/>
        <w:jc w:val="both"/>
      </w:pPr>
      <w:r w:rsidRPr="00BB11AF">
        <w:t>[207]</w:t>
      </w:r>
    </w:p>
    <w:p w:rsidR="003A3061" w:rsidRPr="00BB11AF" w:rsidRDefault="003A3061" w:rsidP="003A3061">
      <w:pPr>
        <w:spacing w:before="120" w:after="120"/>
        <w:jc w:val="both"/>
      </w:pPr>
    </w:p>
    <w:p w:rsidR="003A3061" w:rsidRPr="00BB11AF" w:rsidRDefault="003A3061" w:rsidP="003A3061">
      <w:pPr>
        <w:pStyle w:val="planche"/>
      </w:pPr>
      <w:r w:rsidRPr="00BB11AF">
        <w:t>Les repères symboliques en crise</w:t>
      </w:r>
    </w:p>
    <w:p w:rsidR="003A3061" w:rsidRDefault="003A3061" w:rsidP="003A3061">
      <w:pPr>
        <w:spacing w:before="120" w:after="120"/>
        <w:jc w:val="both"/>
      </w:pPr>
    </w:p>
    <w:p w:rsidR="003A3061" w:rsidRPr="00BB11AF" w:rsidRDefault="003A3061" w:rsidP="003A3061">
      <w:pPr>
        <w:spacing w:before="120" w:after="120"/>
        <w:jc w:val="both"/>
      </w:pPr>
      <w:r w:rsidRPr="00BB11AF">
        <w:t>Ce sont, plus largement, les représentations collectives « syst</w:t>
      </w:r>
      <w:r w:rsidRPr="00BB11AF">
        <w:t>é</w:t>
      </w:r>
      <w:r w:rsidRPr="00BB11AF">
        <w:t>miques », celles des « modèles de capitalisme » (anglo-saxon, cont</w:t>
      </w:r>
      <w:r w:rsidRPr="00BB11AF">
        <w:t>i</w:t>
      </w:r>
      <w:r w:rsidRPr="00BB11AF">
        <w:t>nental, etc.), de la place de la finance et de l'économie « réelle », du marché et de l'État, du privé et du public, etc., qui sont affectées par la crise de la croyance économique. Le discrédit des institutions fina</w:t>
      </w:r>
      <w:r w:rsidRPr="00BB11AF">
        <w:t>n</w:t>
      </w:r>
      <w:r w:rsidRPr="00BB11AF">
        <w:t>cières, qui reste très fort dans les enquêtes d'opinion, n'est qu'un aspect de tout ce qui a suivi le « choc » constitué par la faillite d'une banque d'investissement au fort capital symbolique et l'effondrement des ma</w:t>
      </w:r>
      <w:r w:rsidRPr="00BB11AF">
        <w:t>r</w:t>
      </w:r>
      <w:r w:rsidRPr="00BB11AF">
        <w:t>chés d'actions. Cette situation de « crise systémique » n'a pu être surmontée que par une intervention massive des banques centr</w:t>
      </w:r>
      <w:r w:rsidRPr="00BB11AF">
        <w:t>a</w:t>
      </w:r>
      <w:r w:rsidRPr="00BB11AF">
        <w:t>les, suivie par des « plans de relance » plus ou moins importants qua</w:t>
      </w:r>
      <w:r w:rsidRPr="00BB11AF">
        <w:t>n</w:t>
      </w:r>
      <w:r w:rsidRPr="00BB11AF">
        <w:t>titativ</w:t>
      </w:r>
      <w:r w:rsidRPr="00BB11AF">
        <w:t>e</w:t>
      </w:r>
      <w:r w:rsidRPr="00BB11AF">
        <w:t>ment.</w:t>
      </w:r>
    </w:p>
    <w:p w:rsidR="003A3061" w:rsidRPr="00BB11AF" w:rsidRDefault="003A3061" w:rsidP="003A3061">
      <w:pPr>
        <w:spacing w:before="120" w:after="120"/>
        <w:jc w:val="both"/>
      </w:pPr>
      <w:r w:rsidRPr="00BB11AF">
        <w:t>Pendant un moment, les acteurs publics (Banque centrale et Tr</w:t>
      </w:r>
      <w:r w:rsidRPr="00BB11AF">
        <w:t>é</w:t>
      </w:r>
      <w:r w:rsidRPr="00BB11AF">
        <w:t>sor) sont apparus comme les garants ultimes de la stabilité de l'ordre marchand -« l'État a sauvé les marchés ». Puis le mouvement s'est r</w:t>
      </w:r>
      <w:r w:rsidRPr="00BB11AF">
        <w:t>e</w:t>
      </w:r>
      <w:r w:rsidRPr="00BB11AF">
        <w:t>tou</w:t>
      </w:r>
      <w:r w:rsidRPr="00BB11AF">
        <w:t>r</w:t>
      </w:r>
      <w:r w:rsidRPr="00BB11AF">
        <w:t>né avec la « mise en crise » des finances publiques, notamment à tr</w:t>
      </w:r>
      <w:r w:rsidRPr="00BB11AF">
        <w:t>a</w:t>
      </w:r>
      <w:r w:rsidRPr="00BB11AF">
        <w:t>vers la spéculation croissante sur les titres de la dette publique et le poids accru des agences de notation. Mais les banques centrales n'ont pas cessé d'intervenir massivement (QE1, QE2, QE3 / SMP, OMT</w:t>
      </w:r>
      <w:r>
        <w:t> </w:t>
      </w:r>
      <w:r>
        <w:rPr>
          <w:rStyle w:val="Appelnotedebasdep"/>
        </w:rPr>
        <w:footnoteReference w:id="117"/>
      </w:r>
      <w:r w:rsidRPr="00BB11AF">
        <w:t>, etc.) pour soutenir les marchés et les États et pour sauver le sy</w:t>
      </w:r>
      <w:r w:rsidRPr="00BB11AF">
        <w:t>s</w:t>
      </w:r>
      <w:r w:rsidRPr="00BB11AF">
        <w:t>tème bancaire menacé par des défauts étatiques.</w:t>
      </w:r>
    </w:p>
    <w:p w:rsidR="003A3061" w:rsidRPr="00BB11AF" w:rsidRDefault="003A3061" w:rsidP="003A3061">
      <w:pPr>
        <w:spacing w:before="120" w:after="120"/>
        <w:jc w:val="both"/>
      </w:pPr>
      <w:r w:rsidRPr="00BB11AF">
        <w:t>C'est en fait l'ensemble de l'ordre symbolique du capitalisme fina</w:t>
      </w:r>
      <w:r w:rsidRPr="00BB11AF">
        <w:t>n</w:t>
      </w:r>
      <w:r w:rsidRPr="00BB11AF">
        <w:t>cier mondial qui est remis en cause : la domination des États-Unis, épicentre de la crise et des « déséquilibres », la solidité de la zone e</w:t>
      </w:r>
      <w:r w:rsidRPr="00BB11AF">
        <w:t>u</w:t>
      </w:r>
      <w:r w:rsidRPr="00BB11AF">
        <w:t>ro, ont tour à tour été fortement contestés par la dynamique financière et par le mouvement des représentations collectives qui les sous-tendent. Englués dans des difficultés politico-institutionnelles, les uns comme les autres ont perdu de leur « centralité » dans l'économie mondiale. L'idée que le Produit intérieur brut (PIB) des émergents a</w:t>
      </w:r>
      <w:r w:rsidRPr="00BB11AF">
        <w:t>l</w:t>
      </w:r>
      <w:r w:rsidRPr="00BB11AF">
        <w:t>lait rapidement dépasser celui du « centre » a contribué à la représe</w:t>
      </w:r>
      <w:r w:rsidRPr="00BB11AF">
        <w:t>n</w:t>
      </w:r>
      <w:r w:rsidRPr="00BB11AF">
        <w:t>tation d'un « grand décentrage », d'autant plus difficile à mesurer qu'il succède à plusieurs siècles de domination européenne puis américa</w:t>
      </w:r>
      <w:r w:rsidRPr="00BB11AF">
        <w:t>i</w:t>
      </w:r>
      <w:r w:rsidRPr="00BB11AF">
        <w:t>ne. L'éme</w:t>
      </w:r>
      <w:r w:rsidRPr="00BB11AF">
        <w:t>r</w:t>
      </w:r>
      <w:r w:rsidRPr="00BB11AF">
        <w:t>gence de l'Asie et surtout de la Chine s'est accélérée, à la fois du point de vue des indicateurs macroéconomiques, du point de vue « géopol</w:t>
      </w:r>
      <w:r w:rsidRPr="00BB11AF">
        <w:t>i</w:t>
      </w:r>
      <w:r w:rsidRPr="00BB11AF">
        <w:t>tique » et « géostratégique »</w:t>
      </w:r>
      <w:r>
        <w:t> </w:t>
      </w:r>
      <w:r>
        <w:rPr>
          <w:rStyle w:val="Appelnotedebasdep"/>
        </w:rPr>
        <w:footnoteReference w:id="118"/>
      </w:r>
      <w:r w:rsidRPr="00BB11AF">
        <w:t>. Parallèlement, comme nous l'avons vu avec Alain Gresh en introduction à ce colloque, l'h</w:t>
      </w:r>
      <w:r w:rsidRPr="00BB11AF">
        <w:t>é</w:t>
      </w:r>
      <w:r w:rsidRPr="00BB11AF">
        <w:t>gémonisme et l'unilatéralisme étatsunien ont été fortement remis en cause, simult</w:t>
      </w:r>
      <w:r w:rsidRPr="00BB11AF">
        <w:t>a</w:t>
      </w:r>
      <w:r w:rsidRPr="00BB11AF">
        <w:t>nément, par l'échec de la guerre en Irak et de la guerre en Afghanistan. Les États-Unis sont apparus à la fois comme le m</w:t>
      </w:r>
      <w:r w:rsidRPr="00BB11AF">
        <w:t>o</w:t>
      </w:r>
      <w:r w:rsidRPr="00BB11AF">
        <w:t>teur de la dynamique inégalitaire de la finance et de ses excès destru</w:t>
      </w:r>
      <w:r w:rsidRPr="00BB11AF">
        <w:t>c</w:t>
      </w:r>
      <w:r w:rsidRPr="00BB11AF">
        <w:t>teur et comme une puissance militaire et politique fragilisée, ineff</w:t>
      </w:r>
      <w:r w:rsidRPr="00BB11AF">
        <w:t>i</w:t>
      </w:r>
      <w:r w:rsidRPr="00BB11AF">
        <w:t>ciente. La tradu</w:t>
      </w:r>
      <w:r w:rsidRPr="00BB11AF">
        <w:t>c</w:t>
      </w:r>
      <w:r w:rsidRPr="00BB11AF">
        <w:t>tion de ce processus est une remise en cause accrue de la gouvernance des institutions internationales favorable aux pui</w:t>
      </w:r>
      <w:r w:rsidRPr="00BB11AF">
        <w:t>s</w:t>
      </w:r>
      <w:r w:rsidRPr="00BB11AF">
        <w:t>sances issues de la Seconde Guerre mondiale, les institutions dites « de Bretton-Woods »</w:t>
      </w:r>
      <w:r>
        <w:t> </w:t>
      </w:r>
      <w:r>
        <w:rPr>
          <w:rStyle w:val="Appelnotedebasdep"/>
        </w:rPr>
        <w:footnoteReference w:id="119"/>
      </w:r>
      <w:r w:rsidRPr="00BB11AF">
        <w:t>.</w:t>
      </w:r>
    </w:p>
    <w:p w:rsidR="003A3061" w:rsidRPr="00BB11AF" w:rsidRDefault="003A3061" w:rsidP="003A3061">
      <w:pPr>
        <w:spacing w:before="120" w:after="120"/>
        <w:jc w:val="both"/>
      </w:pPr>
      <w:r w:rsidRPr="00BB11AF">
        <w:t>[208]</w:t>
      </w:r>
    </w:p>
    <w:p w:rsidR="003A3061" w:rsidRPr="00BB11AF" w:rsidRDefault="003A3061" w:rsidP="003A3061">
      <w:pPr>
        <w:spacing w:before="120" w:after="120"/>
        <w:jc w:val="both"/>
      </w:pPr>
      <w:r w:rsidRPr="00BB11AF">
        <w:t>Le changement de repères cognitifs actuel est d'une telle magnit</w:t>
      </w:r>
      <w:r w:rsidRPr="00BB11AF">
        <w:t>u</w:t>
      </w:r>
      <w:r w:rsidRPr="00BB11AF">
        <w:t>de en peu de temps qu'il perturbe profondément les représent</w:t>
      </w:r>
      <w:r w:rsidRPr="00BB11AF">
        <w:t>a</w:t>
      </w:r>
      <w:r w:rsidRPr="00BB11AF">
        <w:t>tions les plus ordinaires de l'espace économique mondial, de l'argent (p</w:t>
      </w:r>
      <w:r w:rsidRPr="00BB11AF">
        <w:t>u</w:t>
      </w:r>
      <w:r w:rsidRPr="00BB11AF">
        <w:t>blic, privé), de la dette et de l'épargne, de l'État et du marché. Dans ce jeu, les acteurs sont soumis à des logiques de « mise en crise » permane</w:t>
      </w:r>
      <w:r w:rsidRPr="00BB11AF">
        <w:t>n</w:t>
      </w:r>
      <w:r w:rsidRPr="00BB11AF">
        <w:t>te</w:t>
      </w:r>
      <w:r>
        <w:t> </w:t>
      </w:r>
      <w:r>
        <w:rPr>
          <w:rStyle w:val="Appelnotedebasdep"/>
        </w:rPr>
        <w:footnoteReference w:id="120"/>
      </w:r>
      <w:r w:rsidRPr="00BB11AF">
        <w:t> : l'exemple des agences de notation illustre ce processus.</w:t>
      </w:r>
    </w:p>
    <w:p w:rsidR="003A3061" w:rsidRPr="00BB11AF" w:rsidRDefault="003A3061" w:rsidP="003A3061">
      <w:pPr>
        <w:spacing w:before="120" w:after="120"/>
        <w:jc w:val="both"/>
      </w:pPr>
      <w:r w:rsidRPr="00BB11AF">
        <w:t>Le cas de la zone euro montre la complexité des mouvements à l'œuvre (notamment des rapports entre État et marchés), dans une z</w:t>
      </w:r>
      <w:r w:rsidRPr="00BB11AF">
        <w:t>o</w:t>
      </w:r>
      <w:r w:rsidRPr="00BB11AF">
        <w:t>ne qui était présentée comme « protégée ». Après une phase de polit</w:t>
      </w:r>
      <w:r w:rsidRPr="00BB11AF">
        <w:t>i</w:t>
      </w:r>
      <w:r w:rsidRPr="00BB11AF">
        <w:t>que publique contra-cyclique en 2009 (« relance »), les acteurs polit</w:t>
      </w:r>
      <w:r w:rsidRPr="00BB11AF">
        <w:t>i</w:t>
      </w:r>
      <w:r w:rsidRPr="00BB11AF">
        <w:t>ques et bureaucratiques européens s'engagent en 2010 dans des polit</w:t>
      </w:r>
      <w:r w:rsidRPr="00BB11AF">
        <w:t>i</w:t>
      </w:r>
      <w:r w:rsidRPr="00BB11AF">
        <w:t>ques d'austérité, d'autant plus brutales que la situation des finances publiques du pays est dégradée. Ce mouvement exprime aussi l'inc</w:t>
      </w:r>
      <w:r w:rsidRPr="00BB11AF">
        <w:t>o</w:t>
      </w:r>
      <w:r w:rsidRPr="00BB11AF">
        <w:t>hérence temporelle des réactions publiques à la crise de 2008-2009, puisqu'on est passé d'une politique contra-cyclique modérée à une p</w:t>
      </w:r>
      <w:r w:rsidRPr="00BB11AF">
        <w:t>o</w:t>
      </w:r>
      <w:r w:rsidRPr="00BB11AF">
        <w:t>litique de réduction des déficits brutale, sous la pression des acteurs des ma</w:t>
      </w:r>
      <w:r w:rsidRPr="00BB11AF">
        <w:t>r</w:t>
      </w:r>
      <w:r w:rsidRPr="00BB11AF">
        <w:t>chés. Cette dernière crée une dissonance cognitive entre les macr</w:t>
      </w:r>
      <w:r w:rsidRPr="00BB11AF">
        <w:t>o</w:t>
      </w:r>
      <w:r w:rsidRPr="00BB11AF">
        <w:t>économistes et les prévisionnistes, de plus en plus pessimistes, les a</w:t>
      </w:r>
      <w:r w:rsidRPr="00BB11AF">
        <w:t>c</w:t>
      </w:r>
      <w:r w:rsidRPr="00BB11AF">
        <w:t>teurs politiques, engagés de façon plus ou moins forte par les orientations restrictives, les dirigeants des banques centrales, qui insi</w:t>
      </w:r>
      <w:r w:rsidRPr="00BB11AF">
        <w:t>s</w:t>
      </w:r>
      <w:r w:rsidRPr="00BB11AF">
        <w:t>tent sur le retour rapide à l'équilibre.</w:t>
      </w:r>
    </w:p>
    <w:p w:rsidR="003A3061" w:rsidRPr="00BB11AF" w:rsidRDefault="003A3061" w:rsidP="003A3061">
      <w:pPr>
        <w:spacing w:before="120" w:after="120"/>
        <w:jc w:val="both"/>
      </w:pPr>
    </w:p>
    <w:p w:rsidR="003A3061" w:rsidRPr="00BB11AF" w:rsidRDefault="003A3061" w:rsidP="003A3061">
      <w:pPr>
        <w:pStyle w:val="planche"/>
      </w:pPr>
      <w:r w:rsidRPr="00BB11AF">
        <w:t>Les fins ultimes de l'économie en jeu</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La question plus fondamentale des « finalités » sociales de l'éc</w:t>
      </w:r>
      <w:r w:rsidRPr="00BB11AF">
        <w:t>o</w:t>
      </w:r>
      <w:r w:rsidRPr="00BB11AF">
        <w:t>nomie est posée de façon aiguë avec la crise de la croyance économ</w:t>
      </w:r>
      <w:r w:rsidRPr="00BB11AF">
        <w:t>i</w:t>
      </w:r>
      <w:r w:rsidRPr="00BB11AF">
        <w:t>que (Lebaron 2012). La remise en cause des indicateurs (« agr</w:t>
      </w:r>
      <w:r w:rsidRPr="00BB11AF">
        <w:t>é</w:t>
      </w:r>
      <w:r w:rsidRPr="00BB11AF">
        <w:t>gats ») de la comptabilité nationale (le PIB/PNB en premier lieu, la « croi</w:t>
      </w:r>
      <w:r w:rsidRPr="00BB11AF">
        <w:t>s</w:t>
      </w:r>
      <w:r w:rsidRPr="00BB11AF">
        <w:t>sance », etc.) en est une illustration. Elle a pris une importance cons</w:t>
      </w:r>
      <w:r w:rsidRPr="00BB11AF">
        <w:t>i</w:t>
      </w:r>
      <w:r w:rsidRPr="00BB11AF">
        <w:t>dérable dans la communication du gouvernement français en 2009 avec le rapport Stiglitz-Sen-Fitoussi (2009), traduit en de no</w:t>
      </w:r>
      <w:r w:rsidRPr="00BB11AF">
        <w:t>m</w:t>
      </w:r>
      <w:r w:rsidRPr="00BB11AF">
        <w:t>breuses la</w:t>
      </w:r>
      <w:r w:rsidRPr="00BB11AF">
        <w:t>n</w:t>
      </w:r>
      <w:r w:rsidRPr="00BB11AF">
        <w:t>gues. La critique du PIB exprime une forme de prise au sérieux de la contestation écologique et féministe des modes dom</w:t>
      </w:r>
      <w:r w:rsidRPr="00BB11AF">
        <w:t>i</w:t>
      </w:r>
      <w:r w:rsidRPr="00BB11AF">
        <w:t>nants de calcul de la valeur et aboutit à l'idée de nouveaux indicateurs qui prennent en compte la dégradation du capital physique, humain, social, etc. On en a vu des expressions au moment des révolutions arabes début 2011, dans la presse économique et financière française, où l'on découvrait en « une » les Indices de développement humain (IDH) dégradés de la Tunisie, de l'Égypte, etc., alors que le FMI de Monsieur Strauss-Kahn avait au contraire expliqué qu'il fallait que les Tunisiens continuent leur bonne politique économique.</w:t>
      </w:r>
    </w:p>
    <w:p w:rsidR="003A3061" w:rsidRPr="00BB11AF" w:rsidRDefault="003A3061" w:rsidP="003A3061">
      <w:pPr>
        <w:spacing w:before="120" w:after="120"/>
        <w:jc w:val="both"/>
      </w:pPr>
      <w:r w:rsidRPr="00BB11AF">
        <w:t>On peut avoir le sentiment que cette critique s'est estompée un peu plus tard (au moment de l'entrée dans les politiques d'austérité). En réalité, la remise en cause des indicateurs économiques traditionnels reste très forte et se trouve même accentuée en Europe dans un co</w:t>
      </w:r>
      <w:r w:rsidRPr="00BB11AF">
        <w:t>n</w:t>
      </w:r>
      <w:r w:rsidRPr="00BB11AF">
        <w:t>texte d'austérité qui</w:t>
      </w:r>
      <w:r>
        <w:t xml:space="preserve"> </w:t>
      </w:r>
      <w:r w:rsidRPr="00BB11AF">
        <w:t>[209]</w:t>
      </w:r>
      <w:r>
        <w:t xml:space="preserve"> </w:t>
      </w:r>
      <w:r w:rsidRPr="00BB11AF">
        <w:t>dégrade lourdement le bien-être dans certains pays (en quatre ans, le nombre de chômeurs a, par exemple, doublé en Espagne et tr</w:t>
      </w:r>
      <w:r w:rsidRPr="00BB11AF">
        <w:t>i</w:t>
      </w:r>
      <w:r w:rsidRPr="00BB11AF">
        <w:t>plé en Grèce), ce qui engendre une situation paradoxale : il faut changer d'indicateurs et les nouveaux indicateurs de bien-être devraient co</w:t>
      </w:r>
      <w:r w:rsidRPr="00BB11AF">
        <w:t>n</w:t>
      </w:r>
      <w:r w:rsidRPr="00BB11AF">
        <w:t>damner à relativement brève échéance les politiques publiques qui engendrent de la souffrance sociale massive. Mais ce n'est pas ou pas encore le cas.</w:t>
      </w:r>
    </w:p>
    <w:p w:rsidR="003A3061" w:rsidRPr="00BB11AF" w:rsidRDefault="003A3061" w:rsidP="003A3061">
      <w:pPr>
        <w:spacing w:before="120" w:after="120"/>
        <w:jc w:val="both"/>
      </w:pPr>
      <w:r w:rsidRPr="00BB11AF">
        <w:t>La domination des critères de performance financière à court terme issue de la finance dans l'ensemble de l'économie (la « valeur actio</w:t>
      </w:r>
      <w:r w:rsidRPr="00BB11AF">
        <w:t>n</w:t>
      </w:r>
      <w:r w:rsidRPr="00BB11AF">
        <w:t>nariale ») est ébranlée par la crise, mais elle reste à l'œuvre dans l'e</w:t>
      </w:r>
      <w:r w:rsidRPr="00BB11AF">
        <w:t>n</w:t>
      </w:r>
      <w:r w:rsidRPr="00BB11AF">
        <w:t>semble des organisations : la prise de risque pour maximiser le re</w:t>
      </w:r>
      <w:r w:rsidRPr="00BB11AF">
        <w:t>n</w:t>
      </w:r>
      <w:r w:rsidRPr="00BB11AF">
        <w:t>dement à très court terme est en effet considérée par de nombreux i</w:t>
      </w:r>
      <w:r w:rsidRPr="00BB11AF">
        <w:t>n</w:t>
      </w:r>
      <w:r w:rsidRPr="00BB11AF">
        <w:t>terprètes comme étant à l'origine de l'effondrement financier, nota</w:t>
      </w:r>
      <w:r w:rsidRPr="00BB11AF">
        <w:t>m</w:t>
      </w:r>
      <w:r w:rsidRPr="00BB11AF">
        <w:t>ment parce qu'elle a favorisé les très hauts revenus (Stiglitz 2012). Mais paradoxalement, cette dynamique est renforcée, surtout à partir de 2010, par la pression sur les finances publiques et a redonné force à des critères de « performance » financiers appliqués aux administr</w:t>
      </w:r>
      <w:r w:rsidRPr="00BB11AF">
        <w:t>a</w:t>
      </w:r>
      <w:r w:rsidRPr="00BB11AF">
        <w:t>tions et aux entreprises publiques.</w:t>
      </w:r>
    </w:p>
    <w:p w:rsidR="003A3061" w:rsidRPr="00BB11AF" w:rsidRDefault="003A3061" w:rsidP="003A3061">
      <w:pPr>
        <w:spacing w:before="120" w:after="120"/>
        <w:jc w:val="both"/>
      </w:pPr>
      <w:r w:rsidRPr="00BB11AF">
        <w:t>Pour résumer, par un de ces mouvements de bascule surprenants, la contestation officielle des critères traditionnels de mesure du bien-être et des performances économiques aboutit donc l'année suivante à des politiques qui sont en train de dégrader brutalement les indicateurs d'inégalité et de bien-être (Stuckler and Basu 2013). La remise en ca</w:t>
      </w:r>
      <w:r w:rsidRPr="00BB11AF">
        <w:t>u</w:t>
      </w:r>
      <w:r w:rsidRPr="00BB11AF">
        <w:t>se du « court-termisme » de la finance débouche sur l'application a</w:t>
      </w:r>
      <w:r w:rsidRPr="00BB11AF">
        <w:t>c</w:t>
      </w:r>
      <w:r w:rsidRPr="00BB11AF">
        <w:t>centuée à l'État de critères financiers de court terme.</w:t>
      </w:r>
    </w:p>
    <w:p w:rsidR="003A3061" w:rsidRPr="00BB11AF" w:rsidRDefault="003A3061" w:rsidP="003A3061">
      <w:pPr>
        <w:spacing w:before="120" w:after="120"/>
        <w:jc w:val="both"/>
      </w:pPr>
      <w:r>
        <w:br w:type="page"/>
      </w:r>
    </w:p>
    <w:p w:rsidR="003A3061" w:rsidRPr="00BB11AF" w:rsidRDefault="003A3061" w:rsidP="003A3061">
      <w:pPr>
        <w:pStyle w:val="planche"/>
      </w:pPr>
      <w:r w:rsidRPr="00BB11AF">
        <w:t>Croyances et acteurs dans la crise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Il convient d'essayer de relier les discours et les croyances écon</w:t>
      </w:r>
      <w:r w:rsidRPr="00BB11AF">
        <w:t>o</w:t>
      </w:r>
      <w:r w:rsidRPr="00BB11AF">
        <w:t>miques en temps de crise à des agents sociaux particuliers et à des inst</w:t>
      </w:r>
      <w:r w:rsidRPr="00BB11AF">
        <w:t>i</w:t>
      </w:r>
      <w:r w:rsidRPr="00BB11AF">
        <w:t>tutions spécifiques qui les portent, mais aussi, le cas échéant, les font évoluer, les discutent, les remettent en cause. Comme l'a montré Vi</w:t>
      </w:r>
      <w:r w:rsidRPr="00BB11AF">
        <w:t>n</w:t>
      </w:r>
      <w:r w:rsidRPr="00BB11AF">
        <w:t>cent Gayon (2012) à propos de l'Organisation de coopération et de développement économiques (OCDE)</w:t>
      </w:r>
      <w:r>
        <w:t> </w:t>
      </w:r>
      <w:r>
        <w:rPr>
          <w:rStyle w:val="Appelnotedebasdep"/>
        </w:rPr>
        <w:footnoteReference w:id="121"/>
      </w:r>
      <w:r w:rsidRPr="00BB11AF">
        <w:t>, les changements doctr</w:t>
      </w:r>
      <w:r w:rsidRPr="00BB11AF">
        <w:t>i</w:t>
      </w:r>
      <w:r w:rsidRPr="00BB11AF">
        <w:t>naux (du keynésianisme au néolibéralisme) sont souvent graduels, ambigus, peu perceptibles sur le moment. Chaque organisation (pas seulement publique) est traversée par des enjeux complexes. Un journal, un lab</w:t>
      </w:r>
      <w:r w:rsidRPr="00BB11AF">
        <w:t>o</w:t>
      </w:r>
      <w:r w:rsidRPr="00BB11AF">
        <w:t>ratoire, un département sont eux-mêmes la proie de ce t</w:t>
      </w:r>
      <w:r w:rsidRPr="00BB11AF">
        <w:t>y</w:t>
      </w:r>
      <w:r w:rsidRPr="00BB11AF">
        <w:t>pe de luttes.</w:t>
      </w:r>
    </w:p>
    <w:p w:rsidR="003A3061" w:rsidRPr="00BB11AF" w:rsidRDefault="003A3061" w:rsidP="003A3061">
      <w:pPr>
        <w:spacing w:before="120" w:after="120"/>
        <w:jc w:val="both"/>
      </w:pPr>
      <w:r w:rsidRPr="00BB11AF">
        <w:t>Les tensions cognitives et discursives « expriment » des tensions entre fractions des classes dominantes. Les prises de position app</w:t>
      </w:r>
      <w:r w:rsidRPr="00BB11AF">
        <w:t>a</w:t>
      </w:r>
      <w:r w:rsidRPr="00BB11AF">
        <w:t>raissent plus ou moins mouvantes selon les contextes, les rapports e</w:t>
      </w:r>
      <w:r w:rsidRPr="00BB11AF">
        <w:t>n</w:t>
      </w:r>
      <w:r w:rsidRPr="00BB11AF">
        <w:t>tre ces groupes notamment dans le processus complexe plus large de formation des « politiques publiques » dans le domaine écon</w:t>
      </w:r>
      <w:r w:rsidRPr="00BB11AF">
        <w:t>o</w:t>
      </w:r>
      <w:r w:rsidRPr="00BB11AF">
        <w:t>mique. Leurs relations avec les acteurs marchands, notamment financiers, sont év</w:t>
      </w:r>
      <w:r w:rsidRPr="00BB11AF">
        <w:t>i</w:t>
      </w:r>
      <w:r w:rsidRPr="00BB11AF">
        <w:t>demment un élément clé de compréhension.</w:t>
      </w:r>
    </w:p>
    <w:p w:rsidR="003A3061" w:rsidRPr="00BB11AF" w:rsidRDefault="003A3061" w:rsidP="003A3061">
      <w:pPr>
        <w:spacing w:before="120" w:after="120"/>
        <w:jc w:val="both"/>
      </w:pPr>
      <w:r w:rsidRPr="00BB11AF">
        <w:t>[210]</w:t>
      </w:r>
    </w:p>
    <w:p w:rsidR="003A3061" w:rsidRDefault="003A3061" w:rsidP="003A3061">
      <w:pPr>
        <w:spacing w:before="120" w:after="120"/>
        <w:jc w:val="both"/>
      </w:pPr>
      <w:r w:rsidRPr="00BB11AF">
        <w:t>Les banquiers centraux sont une ancre de stabilité cognitive : ils ont un rôle moteur dans la dynamique de crise, dans la mesure où ils agi</w:t>
      </w:r>
      <w:r w:rsidRPr="00BB11AF">
        <w:t>s</w:t>
      </w:r>
      <w:r w:rsidRPr="00BB11AF">
        <w:t>sent directement et très fortement (QE, SMP, OMT, etc.). Ils ont un discours régulateur modéré (Bâle III) et un discours anti-interventionniste sur le plan budgétaire (en Europe, radicalement). Un deuxième groupe fondamental est celui des dirigeants politiques ce</w:t>
      </w:r>
      <w:r w:rsidRPr="00BB11AF">
        <w:t>n</w:t>
      </w:r>
      <w:r w:rsidRPr="00BB11AF">
        <w:t>traux responsables des affaires publiques au niveau des États et des institutions internationales et intergouvernementales (Commission, FMI, G8, G20). Leur discours oscille beaucoup durant la période de la crise et intègre un « moment keynésien », assez marqué en France a</w:t>
      </w:r>
      <w:r w:rsidRPr="00BB11AF">
        <w:t>u</w:t>
      </w:r>
      <w:r w:rsidRPr="00BB11AF">
        <w:t>tour de fin 2008-2009, avec le retour du vocabulaire de la « relance » et la réhabilitation (relative) du « modèle social » français, l'écho do</w:t>
      </w:r>
      <w:r w:rsidRPr="00BB11AF">
        <w:t>n</w:t>
      </w:r>
      <w:r w:rsidRPr="00BB11AF">
        <w:t>né au rapport Stiglitz-Sen-Fitoussi, etc. L'oscillation est beaucoup moins visible en Allemagne, même chez les socio-démocrates. Aux États-Unis, le mouvement ressemble plus au cas français, avec un moment « néo-keynésien », puis un retour de la doctrine de l'orth</w:t>
      </w:r>
      <w:r w:rsidRPr="00BB11AF">
        <w:t>o</w:t>
      </w:r>
      <w:r w:rsidRPr="00BB11AF">
        <w:t>doxie budg</w:t>
      </w:r>
      <w:r w:rsidRPr="00BB11AF">
        <w:t>é</w:t>
      </w:r>
      <w:r w:rsidRPr="00BB11AF">
        <w:t>taire. Du côté des économistes académiques, on a à la fois une ce</w:t>
      </w:r>
      <w:r w:rsidRPr="00BB11AF">
        <w:t>r</w:t>
      </w:r>
      <w:r w:rsidRPr="00BB11AF">
        <w:t>taine stabilité et des déplacements notables : radicalisation de certains Nobel américains (Stiglitz, Krugman</w:t>
      </w:r>
      <w:r>
        <w:t> </w:t>
      </w:r>
      <w:r>
        <w:rPr>
          <w:rStyle w:val="Appelnotedebasdep"/>
        </w:rPr>
        <w:footnoteReference w:id="122"/>
      </w:r>
      <w:r w:rsidRPr="00BB11AF">
        <w:t>), de certains conjon</w:t>
      </w:r>
      <w:r w:rsidRPr="00BB11AF">
        <w:t>c</w:t>
      </w:r>
      <w:r w:rsidRPr="00BB11AF">
        <w:t>turistes keynésiens (l'Observatoire français des conjonctures éc</w:t>
      </w:r>
      <w:r w:rsidRPr="00BB11AF">
        <w:t>o</w:t>
      </w:r>
      <w:r w:rsidRPr="00BB11AF">
        <w:t>nomiques en France), remobilisation des économistes « hétérodoxes » (Association française d'économie politique), reno</w:t>
      </w:r>
      <w:r w:rsidRPr="00BB11AF">
        <w:t>u</w:t>
      </w:r>
      <w:r w:rsidRPr="00BB11AF">
        <w:t>veau du postke</w:t>
      </w:r>
      <w:r w:rsidRPr="00BB11AF">
        <w:t>y</w:t>
      </w:r>
      <w:r w:rsidRPr="00BB11AF">
        <w:t>nésianisme, du marxisme, etc. en termes de visibilité publique. L'év</w:t>
      </w:r>
      <w:r w:rsidRPr="00BB11AF">
        <w:t>o</w:t>
      </w:r>
      <w:r w:rsidRPr="00BB11AF">
        <w:t>lution passe par le déplacement de certains journalistes ou de certains médias « vers la gauche » (pour la première fois depuis les années 1970, en France). Les prises de position patronales bougent peu, c'est plutôt leur visibil</w:t>
      </w:r>
      <w:r w:rsidRPr="00BB11AF">
        <w:t>i</w:t>
      </w:r>
      <w:r w:rsidRPr="00BB11AF">
        <w:t>té qui varie.</w:t>
      </w:r>
    </w:p>
    <w:p w:rsidR="003A3061" w:rsidRPr="00BB11AF" w:rsidRDefault="003A3061" w:rsidP="003A3061">
      <w:pPr>
        <w:spacing w:before="120" w:after="120"/>
        <w:jc w:val="both"/>
      </w:pPr>
    </w:p>
    <w:p w:rsidR="003A3061" w:rsidRPr="00BB11AF" w:rsidRDefault="003A3061" w:rsidP="003A3061">
      <w:pPr>
        <w:pStyle w:val="planche"/>
      </w:pPr>
      <w:r w:rsidRPr="00BB11AF">
        <w:t>En conclusion, je reviendrai sur l'enjeu</w:t>
      </w:r>
      <w:r>
        <w:br/>
      </w:r>
      <w:r w:rsidRPr="00BB11AF">
        <w:t>de l'interprétation de la cr</w:t>
      </w:r>
      <w:r w:rsidRPr="00BB11AF">
        <w:t>i</w:t>
      </w:r>
      <w:r w:rsidRPr="00BB11AF">
        <w:t>se du capitalisme financier</w:t>
      </w:r>
      <w:r>
        <w:br/>
      </w:r>
      <w:r w:rsidRPr="00BB11AF">
        <w:t>et de l'ordre néolibéral et</w:t>
      </w:r>
      <w:r>
        <w:br/>
      </w:r>
      <w:r w:rsidRPr="00BB11AF">
        <w:t>sur la question des alternat</w:t>
      </w:r>
      <w:r w:rsidRPr="00BB11AF">
        <w:t>i</w:t>
      </w:r>
      <w:r w:rsidRPr="00BB11AF">
        <w:t>ves.</w:t>
      </w:r>
    </w:p>
    <w:p w:rsidR="003A3061" w:rsidRDefault="003A3061" w:rsidP="003A3061">
      <w:pPr>
        <w:spacing w:before="120" w:after="120"/>
        <w:jc w:val="both"/>
      </w:pPr>
    </w:p>
    <w:p w:rsidR="003A3061" w:rsidRPr="00BB11AF" w:rsidRDefault="003A3061" w:rsidP="003A3061">
      <w:pPr>
        <w:spacing w:before="120" w:after="120"/>
        <w:jc w:val="both"/>
      </w:pPr>
      <w:r w:rsidRPr="00BB11AF">
        <w:t>Mes travaux conduisent à remettre l'État au centre des analyses du capitalisme financier, d'où l'expression « capitalisme étatico-financier ». L'État est au fondement de l'ordre économique néolibéral, notamment à travers le contrôle de la banque centrale et celui des pol</w:t>
      </w:r>
      <w:r w:rsidRPr="00BB11AF">
        <w:t>i</w:t>
      </w:r>
      <w:r w:rsidRPr="00BB11AF">
        <w:t>tiques fiscales et de l'endettement public ; plus largement, il se situe au fondement de l'ordre symbolique, comme le montre Bourdieu (2012) dans son Cours sur l'État. Le capitalisme financiarisé qui pr</w:t>
      </w:r>
      <w:r w:rsidRPr="00BB11AF">
        <w:t>o</w:t>
      </w:r>
      <w:r w:rsidRPr="00BB11AF">
        <w:t>meut la « valeur actionnariale » est aussi un capitalisme d'État très particulier, où la politique budgétaire et monétaire favorise l'endett</w:t>
      </w:r>
      <w:r w:rsidRPr="00BB11AF">
        <w:t>e</w:t>
      </w:r>
      <w:r w:rsidRPr="00BB11AF">
        <w:t>ment privé et public</w:t>
      </w:r>
      <w:r>
        <w:t> </w:t>
      </w:r>
      <w:r>
        <w:rPr>
          <w:rStyle w:val="Appelnotedebasdep"/>
        </w:rPr>
        <w:footnoteReference w:id="123"/>
      </w:r>
      <w:r w:rsidRPr="00BB11AF">
        <w:t xml:space="preserve"> et limite l'intervention sociale, éducative et industrielle de l'État, restreint la dépense et transforme l'action publ</w:t>
      </w:r>
      <w:r w:rsidRPr="00BB11AF">
        <w:t>i</w:t>
      </w:r>
      <w:r w:rsidRPr="00BB11AF">
        <w:t>que sous l'emprise de critères financiers.</w:t>
      </w:r>
    </w:p>
    <w:p w:rsidR="003A3061" w:rsidRPr="00BB11AF" w:rsidRDefault="003A3061" w:rsidP="003A3061">
      <w:pPr>
        <w:spacing w:before="120" w:after="120"/>
        <w:jc w:val="both"/>
      </w:pPr>
      <w:r w:rsidRPr="00BB11AF">
        <w:t>La crise de la croyance économique est donc, entre autres, une double crise de la science économique et de l'État néolibéral, qui a</w:t>
      </w:r>
      <w:r w:rsidRPr="00BB11AF">
        <w:t>c</w:t>
      </w:r>
      <w:r w:rsidRPr="00BB11AF">
        <w:t>compagne la crise des marchés et la crise sociale.</w:t>
      </w:r>
    </w:p>
    <w:p w:rsidR="003A3061" w:rsidRPr="00BB11AF" w:rsidRDefault="003A3061" w:rsidP="003A3061">
      <w:pPr>
        <w:spacing w:before="120" w:after="120"/>
        <w:jc w:val="both"/>
      </w:pPr>
      <w:r w:rsidRPr="00BB11AF">
        <w:t>[211]</w:t>
      </w:r>
    </w:p>
    <w:p w:rsidR="003A3061" w:rsidRPr="00BB11AF" w:rsidRDefault="003A3061" w:rsidP="003A3061">
      <w:pPr>
        <w:spacing w:before="120" w:after="120"/>
        <w:jc w:val="both"/>
      </w:pPr>
      <w:r w:rsidRPr="00BB11AF">
        <w:t>On a vu depuis mardi que les crises s'accompagnent de toute une s</w:t>
      </w:r>
      <w:r w:rsidRPr="00BB11AF">
        <w:t>é</w:t>
      </w:r>
      <w:r w:rsidRPr="00BB11AF">
        <w:t>rie d'effets politiques non intentionnels, révolutions, dynamiques élect</w:t>
      </w:r>
      <w:r w:rsidRPr="00BB11AF">
        <w:t>o</w:t>
      </w:r>
      <w:r w:rsidRPr="00BB11AF">
        <w:t>rales imprévues, etc. La crise de l'État néolibéral a ouvert un espace incertain de ce point de vue. Depuis 2008, on observe une mu</w:t>
      </w:r>
      <w:r w:rsidRPr="00BB11AF">
        <w:t>l</w:t>
      </w:r>
      <w:r w:rsidRPr="00BB11AF">
        <w:t>tiplication des mouvements sociaux, mais ils restent faiblement coo</w:t>
      </w:r>
      <w:r w:rsidRPr="00BB11AF">
        <w:t>r</w:t>
      </w:r>
      <w:r w:rsidRPr="00BB11AF">
        <w:t>donnés et semblent relativement inefficaces pour infléchir le cours de la crise. Le cas de l'Europe paraît extrême : fortes mobilisations en Grèce, E</w:t>
      </w:r>
      <w:r w:rsidRPr="00BB11AF">
        <w:t>s</w:t>
      </w:r>
      <w:r w:rsidRPr="00BB11AF">
        <w:t>pagne, Portugal, changements politiques nombreux issus d'élections ou de crises institutionnelles, montée d'une gauche à côté de la social-démocratie. Mais la seule « inflexion » possible à court terme est le recul d'un an ou deux de l'échéance du retour à 3% du r</w:t>
      </w:r>
      <w:r w:rsidRPr="00BB11AF">
        <w:t>a</w:t>
      </w:r>
      <w:r w:rsidRPr="00BB11AF">
        <w:t>tio déficit/PIB. On peut dire que la plupart des acteurs sont « coi</w:t>
      </w:r>
      <w:r w:rsidRPr="00BB11AF">
        <w:t>n</w:t>
      </w:r>
      <w:r w:rsidRPr="00BB11AF">
        <w:t>cés », pour reprendre l'expression utilisée par Ghassan Hage dans cet ouvrage.</w:t>
      </w:r>
    </w:p>
    <w:p w:rsidR="003A3061" w:rsidRPr="00BB11AF" w:rsidRDefault="003A3061" w:rsidP="003A3061">
      <w:pPr>
        <w:spacing w:before="120" w:after="120"/>
        <w:jc w:val="both"/>
      </w:pPr>
      <w:r w:rsidRPr="00BB11AF">
        <w:t>Je vais revenir, pour finir, sur l'exemple des révolutions arabes. Qui pouvait vraiment dire en 2010 qu'il allait se passer ce qui s'est passé en Tunisie ou en Égypte ? Or, la probabilité qu'il se passe que</w:t>
      </w:r>
      <w:r w:rsidRPr="00BB11AF">
        <w:t>l</w:t>
      </w:r>
      <w:r w:rsidRPr="00BB11AF">
        <w:t>que chose augmentait depuis des années et les signes avant-coureurs étaient là. Le plus dur est de prévoir les moments de cha</w:t>
      </w:r>
      <w:r w:rsidRPr="00BB11AF">
        <w:t>n</w:t>
      </w:r>
      <w:r w:rsidRPr="00BB11AF">
        <w:t>gements, mais une recomposition du champ politique et des mouvements s</w:t>
      </w:r>
      <w:r w:rsidRPr="00BB11AF">
        <w:t>o</w:t>
      </w:r>
      <w:r w:rsidRPr="00BB11AF">
        <w:t>ciaux est en cours aujourd'hui, partout dans le monde. La probabilité de changements semble augmenter, même si c'est lent</w:t>
      </w:r>
      <w:r w:rsidRPr="00BB11AF">
        <w:t>e</w:t>
      </w:r>
      <w:r w:rsidRPr="00BB11AF">
        <w:t>ment-et en tant que citoyen, je dirai qu'il faut y travailler. Ce sont to</w:t>
      </w:r>
      <w:r w:rsidRPr="00BB11AF">
        <w:t>u</w:t>
      </w:r>
      <w:r w:rsidRPr="00BB11AF">
        <w:t>jours de toute façon les peuples qui ont la clé du moment et aussi en partie du cont</w:t>
      </w:r>
      <w:r w:rsidRPr="00BB11AF">
        <w:t>e</w:t>
      </w:r>
      <w:r w:rsidRPr="00BB11AF">
        <w:t>nu.</w:t>
      </w:r>
    </w:p>
    <w:p w:rsidR="003A3061" w:rsidRPr="00BB11AF" w:rsidRDefault="003A3061" w:rsidP="003A3061">
      <w:pPr>
        <w:spacing w:before="120" w:after="120"/>
        <w:jc w:val="both"/>
      </w:pPr>
      <w:r w:rsidRPr="00BB11AF">
        <w:br w:type="page"/>
      </w:r>
      <w:r w:rsidR="00356B29" w:rsidRPr="00BB11AF">
        <w:rPr>
          <w:noProof/>
        </w:rPr>
        <mc:AlternateContent>
          <mc:Choice Requires="wps">
            <w:drawing>
              <wp:anchor distT="0" distB="0" distL="63500" distR="63500" simplePos="0" relativeHeight="251651584" behindDoc="1" locked="0" layoutInCell="1" allowOverlap="1">
                <wp:simplePos x="0" y="0"/>
                <wp:positionH relativeFrom="margin">
                  <wp:posOffset>5315585</wp:posOffset>
                </wp:positionH>
                <wp:positionV relativeFrom="margin">
                  <wp:posOffset>-27305</wp:posOffset>
                </wp:positionV>
                <wp:extent cx="176530" cy="133350"/>
                <wp:effectExtent l="0" t="0" r="0" b="0"/>
                <wp:wrapTopAndBottom/>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53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061" w:rsidRDefault="003A3061" w:rsidP="003A3061">
                            <w:pPr>
                              <w:spacing w:line="210" w:lineRule="exact"/>
                            </w:pPr>
                            <w:r>
                              <w:t>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18.55pt;margin-top:-2.15pt;width:13.9pt;height:10.5pt;z-index:-25166489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" filled="f" stroked="f">
                <v:path arrowok="t"/>
                <v:textbox style="mso-fit-shape-to-text:t" inset="0,0,0,0">
                  <w:txbxContent>
                    <w:p w:rsidR="003A3061" w:rsidRDefault="003A3061" w:rsidP="003A3061">
                      <w:pPr>
                        <w:spacing w:line="210" w:lineRule="exact"/>
                      </w:pPr>
                      <w:r>
                        <w:t>r</w:t>
                      </w:r>
                    </w:p>
                  </w:txbxContent>
                </v:textbox>
                <w10:wrap type="topAndBottom" anchorx="margin" anchory="margin"/>
              </v:shape>
            </w:pict>
          </mc:Fallback>
        </mc:AlternateContent>
      </w:r>
      <w:r w:rsidRPr="00BB11AF">
        <w:t>[212]</w:t>
      </w:r>
    </w:p>
    <w:p w:rsidR="003A3061" w:rsidRPr="00BB11AF" w:rsidRDefault="003A3061" w:rsidP="003A3061">
      <w:pPr>
        <w:spacing w:before="120" w:after="120"/>
        <w:jc w:val="both"/>
      </w:pPr>
    </w:p>
    <w:p w:rsidR="003A3061" w:rsidRPr="00BB11AF" w:rsidRDefault="003A3061" w:rsidP="003A3061">
      <w:pPr>
        <w:pStyle w:val="planche"/>
      </w:pPr>
      <w:r w:rsidRPr="00BB11AF">
        <w:t>Références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 xml:space="preserve">Arrighi, G. </w:t>
      </w:r>
      <w:r w:rsidRPr="003D25F1">
        <w:rPr>
          <w:bCs/>
          <w:iCs/>
        </w:rPr>
        <w:t>2009</w:t>
      </w:r>
      <w:r w:rsidRPr="00BB11AF">
        <w:t xml:space="preserve">. </w:t>
      </w:r>
      <w:r w:rsidRPr="003D25F1">
        <w:rPr>
          <w:i/>
        </w:rPr>
        <w:t>Adam Smith in Beijing : Lineages of the 21st Ce</w:t>
      </w:r>
      <w:r w:rsidRPr="003D25F1">
        <w:rPr>
          <w:i/>
        </w:rPr>
        <w:t>n</w:t>
      </w:r>
      <w:r w:rsidRPr="003D25F1">
        <w:rPr>
          <w:i/>
        </w:rPr>
        <w:t>tury</w:t>
      </w:r>
      <w:r w:rsidRPr="00BB11AF">
        <w:t>. London : Verso.</w:t>
      </w:r>
    </w:p>
    <w:p w:rsidR="003A3061" w:rsidRPr="00BB11AF" w:rsidRDefault="003A3061" w:rsidP="003A3061">
      <w:pPr>
        <w:spacing w:before="120" w:after="120"/>
        <w:jc w:val="both"/>
      </w:pPr>
      <w:r w:rsidRPr="00BB11AF">
        <w:t xml:space="preserve">Bourdieu, P. </w:t>
      </w:r>
      <w:r w:rsidRPr="003D25F1">
        <w:rPr>
          <w:bCs/>
        </w:rPr>
        <w:t>2012</w:t>
      </w:r>
      <w:r w:rsidRPr="00BB11AF">
        <w:t xml:space="preserve">. </w:t>
      </w:r>
      <w:r w:rsidRPr="003D25F1">
        <w:rPr>
          <w:i/>
        </w:rPr>
        <w:t>Sur l'État</w:t>
      </w:r>
      <w:r w:rsidRPr="003D25F1">
        <w:t>. Cours au Collège de France</w:t>
      </w:r>
      <w:r w:rsidRPr="00BB11AF">
        <w:t>. Paris : Éditions du Seuil.</w:t>
      </w:r>
    </w:p>
    <w:p w:rsidR="003A3061" w:rsidRPr="00BB11AF" w:rsidRDefault="003A3061" w:rsidP="003A3061">
      <w:pPr>
        <w:spacing w:before="120" w:after="120"/>
        <w:jc w:val="both"/>
      </w:pPr>
      <w:r w:rsidRPr="00BB11AF">
        <w:t xml:space="preserve">Boyer, R. </w:t>
      </w:r>
      <w:r w:rsidRPr="003D25F1">
        <w:rPr>
          <w:bCs/>
          <w:i/>
          <w:iCs/>
        </w:rPr>
        <w:t>2012</w:t>
      </w:r>
      <w:r w:rsidRPr="00BB11AF">
        <w:t xml:space="preserve">. </w:t>
      </w:r>
      <w:r w:rsidRPr="003D25F1">
        <w:rPr>
          <w:i/>
        </w:rPr>
        <w:t>Les financiers détruiront-ils le capitalisme ?</w:t>
      </w:r>
      <w:r w:rsidRPr="00BB11AF">
        <w:t xml:space="preserve"> P</w:t>
      </w:r>
      <w:r w:rsidRPr="00BB11AF">
        <w:t>a</w:t>
      </w:r>
      <w:r w:rsidRPr="00BB11AF">
        <w:t>ris : Economica.</w:t>
      </w:r>
    </w:p>
    <w:p w:rsidR="003A3061" w:rsidRPr="00BB11AF" w:rsidRDefault="003A3061" w:rsidP="003A3061">
      <w:pPr>
        <w:spacing w:before="120" w:after="120"/>
        <w:jc w:val="both"/>
      </w:pPr>
      <w:r w:rsidRPr="00BB11AF">
        <w:t xml:space="preserve">Dobry, M. </w:t>
      </w:r>
      <w:r w:rsidRPr="003D25F1">
        <w:rPr>
          <w:bCs/>
        </w:rPr>
        <w:t>2009</w:t>
      </w:r>
      <w:r w:rsidRPr="00BB11AF">
        <w:t xml:space="preserve">. </w:t>
      </w:r>
      <w:r w:rsidRPr="003D25F1">
        <w:rPr>
          <w:i/>
        </w:rPr>
        <w:t>Sociologie des crises politiques. La dynamique des mobilisations multisectorielles</w:t>
      </w:r>
      <w:r w:rsidRPr="00BB11AF">
        <w:t xml:space="preserve">. </w:t>
      </w:r>
      <w:r w:rsidRPr="003D25F1">
        <w:rPr>
          <w:bCs/>
        </w:rPr>
        <w:t>3</w:t>
      </w:r>
      <w:r w:rsidRPr="003D25F1">
        <w:t xml:space="preserve">e </w:t>
      </w:r>
      <w:r w:rsidRPr="00BB11AF">
        <w:t>éditions. Paris : Presses de la Fond</w:t>
      </w:r>
      <w:r w:rsidRPr="00BB11AF">
        <w:t>a</w:t>
      </w:r>
      <w:r w:rsidRPr="00BB11AF">
        <w:t>tion nationale de sciences politiques.</w:t>
      </w:r>
    </w:p>
    <w:p w:rsidR="003A3061" w:rsidRPr="00BB11AF" w:rsidRDefault="003A3061" w:rsidP="003A3061">
      <w:pPr>
        <w:spacing w:before="120" w:after="120"/>
        <w:jc w:val="both"/>
      </w:pPr>
      <w:r w:rsidRPr="00BB11AF">
        <w:t xml:space="preserve">Durkheim, E. </w:t>
      </w:r>
      <w:r w:rsidRPr="003D25F1">
        <w:rPr>
          <w:bCs/>
        </w:rPr>
        <w:t>1968</w:t>
      </w:r>
      <w:r w:rsidRPr="00BB11AF">
        <w:t xml:space="preserve">. </w:t>
      </w:r>
      <w:hyperlink r:id="rId68" w:history="1">
        <w:r w:rsidRPr="003D25F1">
          <w:rPr>
            <w:rStyle w:val="Lienhypertexte"/>
            <w:i/>
          </w:rPr>
          <w:t>Les formes élémentaires de la vie religieuse</w:t>
        </w:r>
      </w:hyperlink>
      <w:r w:rsidRPr="00BB11AF">
        <w:t xml:space="preserve">. </w:t>
      </w:r>
      <w:r w:rsidRPr="003D25F1">
        <w:rPr>
          <w:bCs/>
        </w:rPr>
        <w:t>5</w:t>
      </w:r>
      <w:r w:rsidRPr="003D25F1">
        <w:t>e</w:t>
      </w:r>
      <w:r w:rsidRPr="00BB11AF">
        <w:t xml:space="preserve"> édition. Paris : Presses universitaires de France. Document électron</w:t>
      </w:r>
      <w:r w:rsidRPr="00BB11AF">
        <w:t>i</w:t>
      </w:r>
      <w:r w:rsidRPr="00BB11AF">
        <w:t>que,</w:t>
      </w:r>
    </w:p>
    <w:p w:rsidR="003A3061" w:rsidRPr="00BB11AF" w:rsidRDefault="003A3061" w:rsidP="003A3061">
      <w:pPr>
        <w:spacing w:before="120" w:after="120"/>
        <w:jc w:val="both"/>
      </w:pPr>
      <w:r w:rsidRPr="00BB11AF">
        <w:t xml:space="preserve">Ferguson, C., dir. </w:t>
      </w:r>
      <w:r w:rsidRPr="003D25F1">
        <w:rPr>
          <w:bCs/>
        </w:rPr>
        <w:t>2010</w:t>
      </w:r>
      <w:r w:rsidRPr="00BB11AF">
        <w:t xml:space="preserve">. </w:t>
      </w:r>
      <w:r w:rsidRPr="003D25F1">
        <w:rPr>
          <w:i/>
        </w:rPr>
        <w:t>Inside Job</w:t>
      </w:r>
      <w:r w:rsidRPr="00BB11AF">
        <w:t xml:space="preserve">. </w:t>
      </w:r>
      <w:r w:rsidRPr="003D25F1">
        <w:rPr>
          <w:bCs/>
        </w:rPr>
        <w:t>105</w:t>
      </w:r>
      <w:r w:rsidRPr="00BB11AF">
        <w:t xml:space="preserve"> min. Sony Pictures Cla</w:t>
      </w:r>
      <w:r w:rsidRPr="00BB11AF">
        <w:t>s</w:t>
      </w:r>
      <w:r w:rsidRPr="00BB11AF">
        <w:t>sics.</w:t>
      </w:r>
    </w:p>
    <w:p w:rsidR="003A3061" w:rsidRPr="00BB11AF" w:rsidRDefault="003A3061" w:rsidP="003A3061">
      <w:pPr>
        <w:spacing w:before="120" w:after="120"/>
        <w:jc w:val="both"/>
      </w:pPr>
      <w:r w:rsidRPr="00BB11AF">
        <w:t xml:space="preserve">Gayon, V. </w:t>
      </w:r>
      <w:r w:rsidRPr="003D25F1">
        <w:rPr>
          <w:bCs/>
        </w:rPr>
        <w:t>2012</w:t>
      </w:r>
      <w:r w:rsidRPr="00BB11AF">
        <w:t>. « Au château de la Muette. Enquête sur une cit</w:t>
      </w:r>
      <w:r w:rsidRPr="00BB11AF">
        <w:t>a</w:t>
      </w:r>
      <w:r w:rsidRPr="00BB11AF">
        <w:t>de</w:t>
      </w:r>
      <w:r w:rsidRPr="00BB11AF">
        <w:t>l</w:t>
      </w:r>
      <w:r w:rsidRPr="00BB11AF">
        <w:t xml:space="preserve">le du conformisme intellectuel ». </w:t>
      </w:r>
      <w:r w:rsidRPr="00BB11AF">
        <w:rPr>
          <w:i/>
        </w:rPr>
        <w:t>Le Monde diplomatique</w:t>
      </w:r>
      <w:r w:rsidRPr="00BB11AF">
        <w:t xml:space="preserve">, juillet </w:t>
      </w:r>
      <w:r w:rsidRPr="003D25F1">
        <w:rPr>
          <w:bCs/>
        </w:rPr>
        <w:t>2012</w:t>
      </w:r>
      <w:r w:rsidRPr="00BB11AF">
        <w:t xml:space="preserve">. Document électronique, </w:t>
      </w:r>
      <w:hyperlink r:id="rId69" w:history="1">
        <w:r>
          <w:rPr>
            <w:rStyle w:val="Lienhypertexte"/>
          </w:rPr>
          <w:t>http://www.monde-</w:t>
        </w:r>
        <w:r w:rsidRPr="00BB11AF">
          <w:rPr>
            <w:rStyle w:val="Lienhypertexte"/>
            <w:lang w:bidi="en-US"/>
          </w:rPr>
          <w:t>diplomat</w:t>
        </w:r>
        <w:r w:rsidRPr="00BB11AF">
          <w:rPr>
            <w:rStyle w:val="Lienhypertexte"/>
            <w:lang w:bidi="en-US"/>
          </w:rPr>
          <w:t>i</w:t>
        </w:r>
        <w:r w:rsidRPr="00BB11AF">
          <w:rPr>
            <w:rStyle w:val="Lienhypertexte"/>
            <w:lang w:bidi="en-US"/>
          </w:rPr>
          <w:t>que.fr/2012/07/GAYON/47951</w:t>
        </w:r>
      </w:hyperlink>
    </w:p>
    <w:p w:rsidR="003A3061" w:rsidRPr="00BB11AF" w:rsidRDefault="003A3061" w:rsidP="003A3061">
      <w:pPr>
        <w:spacing w:before="120" w:after="120"/>
        <w:jc w:val="both"/>
      </w:pPr>
      <w:r w:rsidRPr="00BB11AF">
        <w:t xml:space="preserve">Krugman, P. </w:t>
      </w:r>
      <w:r w:rsidRPr="003D25F1">
        <w:rPr>
          <w:bCs/>
          <w:iCs/>
        </w:rPr>
        <w:t>2012</w:t>
      </w:r>
      <w:r w:rsidRPr="003D25F1">
        <w:t>.</w:t>
      </w:r>
      <w:r w:rsidRPr="00BB11AF">
        <w:t xml:space="preserve"> </w:t>
      </w:r>
      <w:r w:rsidRPr="00BB11AF">
        <w:rPr>
          <w:i/>
        </w:rPr>
        <w:t>Sortez-nous de cette crise [...] maintenant !</w:t>
      </w:r>
      <w:r w:rsidRPr="00BB11AF">
        <w:t xml:space="preserve"> P</w:t>
      </w:r>
      <w:r w:rsidRPr="00BB11AF">
        <w:t>a</w:t>
      </w:r>
      <w:r w:rsidRPr="00BB11AF">
        <w:t>ris : Flammarion.</w:t>
      </w:r>
    </w:p>
    <w:p w:rsidR="003A3061" w:rsidRPr="00BB11AF" w:rsidRDefault="003A3061" w:rsidP="003A3061">
      <w:pPr>
        <w:spacing w:before="120" w:after="120"/>
        <w:jc w:val="both"/>
      </w:pPr>
      <w:r w:rsidRPr="00BB11AF">
        <w:t xml:space="preserve">Lebaron, F. </w:t>
      </w:r>
      <w:r w:rsidRPr="003D25F1">
        <w:rPr>
          <w:bCs/>
          <w:iCs/>
        </w:rPr>
        <w:t>2012</w:t>
      </w:r>
      <w:r w:rsidRPr="003D25F1">
        <w:t>.</w:t>
      </w:r>
      <w:r w:rsidRPr="00BB11AF">
        <w:t xml:space="preserve"> </w:t>
      </w:r>
      <w:r w:rsidRPr="00BB11AF">
        <w:rPr>
          <w:i/>
        </w:rPr>
        <w:t>Les indicateurs sociaux au vingt-et-unième si</w:t>
      </w:r>
      <w:r w:rsidRPr="00BB11AF">
        <w:rPr>
          <w:i/>
        </w:rPr>
        <w:t>è</w:t>
      </w:r>
      <w:r w:rsidRPr="00BB11AF">
        <w:rPr>
          <w:i/>
        </w:rPr>
        <w:t>cle</w:t>
      </w:r>
      <w:r w:rsidRPr="00BB11AF">
        <w:t>. Paris : Dunod.</w:t>
      </w:r>
    </w:p>
    <w:p w:rsidR="003A3061" w:rsidRPr="00BB11AF" w:rsidRDefault="003A3061" w:rsidP="003A3061">
      <w:pPr>
        <w:spacing w:before="120" w:after="120"/>
        <w:jc w:val="both"/>
      </w:pPr>
      <w:r w:rsidRPr="00BB11AF">
        <w:t>_____,</w:t>
      </w:r>
      <w:r w:rsidRPr="003D25F1">
        <w:rPr>
          <w:bCs/>
          <w:iCs/>
        </w:rPr>
        <w:t xml:space="preserve"> </w:t>
      </w:r>
      <w:r w:rsidRPr="003D25F1">
        <w:rPr>
          <w:iCs/>
        </w:rPr>
        <w:t>2010</w:t>
      </w:r>
      <w:r w:rsidRPr="003D25F1">
        <w:rPr>
          <w:bCs/>
          <w:iCs/>
        </w:rPr>
        <w:t>.</w:t>
      </w:r>
      <w:r w:rsidRPr="00BB11AF">
        <w:t xml:space="preserve"> </w:t>
      </w:r>
      <w:r w:rsidRPr="00BB11AF">
        <w:rPr>
          <w:i/>
        </w:rPr>
        <w:t>La crise de la croyance économique</w:t>
      </w:r>
      <w:r w:rsidRPr="00BB11AF">
        <w:t>. Bellecombe-en-Bauges : Éditions du Croquant.</w:t>
      </w:r>
    </w:p>
    <w:p w:rsidR="003A3061" w:rsidRPr="00BB11AF" w:rsidRDefault="003A3061" w:rsidP="003A3061">
      <w:pPr>
        <w:spacing w:before="120" w:after="120"/>
        <w:jc w:val="both"/>
      </w:pPr>
      <w:r w:rsidRPr="00BB11AF">
        <w:t>Mackenzie</w:t>
      </w:r>
      <w:r w:rsidRPr="003D25F1">
        <w:rPr>
          <w:bCs/>
          <w:iCs/>
        </w:rPr>
        <w:t xml:space="preserve">, D. </w:t>
      </w:r>
      <w:r w:rsidRPr="003D25F1">
        <w:rPr>
          <w:iCs/>
        </w:rPr>
        <w:t>2010</w:t>
      </w:r>
      <w:r w:rsidRPr="003D25F1">
        <w:rPr>
          <w:bCs/>
          <w:iCs/>
        </w:rPr>
        <w:t>.</w:t>
      </w:r>
      <w:r w:rsidRPr="00BB11AF">
        <w:t xml:space="preserve"> « Knowledge Production in Financial Ma</w:t>
      </w:r>
      <w:r w:rsidRPr="00BB11AF">
        <w:t>r</w:t>
      </w:r>
      <w:r w:rsidRPr="00BB11AF">
        <w:t>kets : Cr</w:t>
      </w:r>
      <w:r>
        <w:t>e</w:t>
      </w:r>
      <w:r w:rsidRPr="00BB11AF">
        <w:t>dit Default Swaps, the ABX and the Subprime Crisis ». N</w:t>
      </w:r>
      <w:r w:rsidRPr="00BB11AF">
        <w:t>o</w:t>
      </w:r>
      <w:r w:rsidRPr="00BB11AF">
        <w:t xml:space="preserve">vembre </w:t>
      </w:r>
      <w:r w:rsidRPr="003D25F1">
        <w:rPr>
          <w:bCs/>
        </w:rPr>
        <w:t>2010</w:t>
      </w:r>
      <w:r w:rsidRPr="00BB11AF">
        <w:t>.</w:t>
      </w:r>
    </w:p>
    <w:p w:rsidR="003A3061" w:rsidRPr="00BB11AF" w:rsidRDefault="003A3061" w:rsidP="003A3061">
      <w:pPr>
        <w:spacing w:before="120" w:after="120"/>
        <w:jc w:val="both"/>
      </w:pPr>
      <w:r w:rsidRPr="00BB11AF">
        <w:t xml:space="preserve">Muniesa, F. et M. Callon. </w:t>
      </w:r>
      <w:r w:rsidRPr="003D25F1">
        <w:rPr>
          <w:bCs/>
        </w:rPr>
        <w:t>2008</w:t>
      </w:r>
      <w:r w:rsidRPr="00BB11AF">
        <w:t xml:space="preserve">. « La performativité des sciences économiques ». </w:t>
      </w:r>
      <w:r w:rsidRPr="00BB11AF">
        <w:rPr>
          <w:i/>
        </w:rPr>
        <w:t>Papier de recherche</w:t>
      </w:r>
      <w:r w:rsidRPr="00BB11AF">
        <w:t>, n° </w:t>
      </w:r>
      <w:r w:rsidRPr="003D25F1">
        <w:rPr>
          <w:bCs/>
        </w:rPr>
        <w:t>010</w:t>
      </w:r>
      <w:r w:rsidRPr="00BB11AF">
        <w:t>. Paris : Centre de soci</w:t>
      </w:r>
      <w:r w:rsidRPr="00BB11AF">
        <w:t>o</w:t>
      </w:r>
      <w:r w:rsidRPr="00BB11AF">
        <w:t>logie de l'innovation.</w:t>
      </w:r>
    </w:p>
    <w:p w:rsidR="003A3061" w:rsidRPr="00BB11AF" w:rsidRDefault="003A3061" w:rsidP="003A3061">
      <w:pPr>
        <w:spacing w:before="120" w:after="120"/>
        <w:jc w:val="both"/>
      </w:pPr>
      <w:r w:rsidRPr="00BB11AF">
        <w:t xml:space="preserve">Simiand, F. </w:t>
      </w:r>
      <w:r w:rsidRPr="003D25F1">
        <w:rPr>
          <w:bCs/>
          <w:iCs/>
        </w:rPr>
        <w:t>1932</w:t>
      </w:r>
      <w:r w:rsidRPr="00BB11AF">
        <w:t xml:space="preserve">. </w:t>
      </w:r>
      <w:r w:rsidRPr="00BB11AF">
        <w:rPr>
          <w:i/>
        </w:rPr>
        <w:t>Les fluctuations économiques à longue période et la crise mondiale</w:t>
      </w:r>
      <w:r w:rsidRPr="00BB11AF">
        <w:t>. Paris : Félix Alcan. Document électronique,</w:t>
      </w:r>
    </w:p>
    <w:p w:rsidR="003A3061" w:rsidRPr="00BB11AF" w:rsidRDefault="003A3061" w:rsidP="003A3061">
      <w:pPr>
        <w:spacing w:before="120" w:after="120"/>
        <w:jc w:val="both"/>
      </w:pPr>
      <w:hyperlink r:id="rId70" w:history="1">
        <w:r w:rsidRPr="008A7C9A">
          <w:rPr>
            <w:rStyle w:val="Lienhypertexte"/>
            <w:lang w:bidi="en-US"/>
          </w:rPr>
          <w:t>http://classiques.uqac.ca/classiques/simiand_francois/fluctuations_eco_crise_mondiale/fluctuations.</w:t>
        </w:r>
        <w:r w:rsidRPr="008A7C9A">
          <w:rPr>
            <w:rStyle w:val="Lienhypertexte"/>
          </w:rPr>
          <w:t>html</w:t>
        </w:r>
      </w:hyperlink>
    </w:p>
    <w:p w:rsidR="003A3061" w:rsidRPr="00BB11AF" w:rsidRDefault="003A3061" w:rsidP="003A3061">
      <w:pPr>
        <w:spacing w:before="120" w:after="120"/>
        <w:jc w:val="both"/>
      </w:pPr>
      <w:r w:rsidRPr="00BB11AF">
        <w:t xml:space="preserve">Stiglitz, J. </w:t>
      </w:r>
      <w:r w:rsidRPr="003D25F1">
        <w:rPr>
          <w:bCs/>
        </w:rPr>
        <w:t>2012</w:t>
      </w:r>
      <w:r w:rsidRPr="00BB11AF">
        <w:t xml:space="preserve">. </w:t>
      </w:r>
      <w:r w:rsidRPr="003D25F1">
        <w:rPr>
          <w:i/>
        </w:rPr>
        <w:t>Le prix de l'inégalité</w:t>
      </w:r>
      <w:r w:rsidRPr="00BB11AF">
        <w:t>. Paris : Les Liens qui Lib</w:t>
      </w:r>
      <w:r w:rsidRPr="00BB11AF">
        <w:t>è</w:t>
      </w:r>
      <w:r w:rsidRPr="00BB11AF">
        <w:t>rent.</w:t>
      </w:r>
    </w:p>
    <w:p w:rsidR="003A3061" w:rsidRPr="00BB11AF" w:rsidRDefault="003A3061" w:rsidP="003A3061">
      <w:pPr>
        <w:spacing w:before="120" w:after="120"/>
        <w:jc w:val="both"/>
      </w:pPr>
      <w:r w:rsidRPr="00BB11AF">
        <w:t xml:space="preserve">Stiglitz, J., A. Sen et J.-P. Fitoussi. </w:t>
      </w:r>
      <w:r w:rsidRPr="003D25F1">
        <w:rPr>
          <w:bCs/>
        </w:rPr>
        <w:t>2009</w:t>
      </w:r>
      <w:r w:rsidRPr="00BB11AF">
        <w:t xml:space="preserve">. </w:t>
      </w:r>
      <w:r w:rsidRPr="003D25F1">
        <w:rPr>
          <w:i/>
        </w:rPr>
        <w:t>Performances économ</w:t>
      </w:r>
      <w:r w:rsidRPr="003D25F1">
        <w:rPr>
          <w:i/>
        </w:rPr>
        <w:t>i</w:t>
      </w:r>
      <w:r w:rsidRPr="003D25F1">
        <w:rPr>
          <w:i/>
        </w:rPr>
        <w:t>ques et progrès social</w:t>
      </w:r>
      <w:r w:rsidRPr="00BB11AF">
        <w:t>. Paris : Odile Jacob.</w:t>
      </w:r>
    </w:p>
    <w:p w:rsidR="003A3061" w:rsidRPr="00BB11AF" w:rsidRDefault="003A3061" w:rsidP="003A3061">
      <w:pPr>
        <w:spacing w:before="120" w:after="120"/>
        <w:jc w:val="both"/>
      </w:pPr>
      <w:r w:rsidRPr="00BB11AF">
        <w:t xml:space="preserve">Stuckler, D. and S. Basu. </w:t>
      </w:r>
      <w:r w:rsidRPr="003D25F1">
        <w:rPr>
          <w:bCs/>
        </w:rPr>
        <w:t>2013</w:t>
      </w:r>
      <w:r w:rsidRPr="00BB11AF">
        <w:t xml:space="preserve">. </w:t>
      </w:r>
      <w:r w:rsidRPr="003D25F1">
        <w:rPr>
          <w:i/>
        </w:rPr>
        <w:t>The Body Economic. Why Aust</w:t>
      </w:r>
      <w:r w:rsidRPr="003D25F1">
        <w:rPr>
          <w:i/>
        </w:rPr>
        <w:t>e</w:t>
      </w:r>
      <w:r w:rsidRPr="003D25F1">
        <w:rPr>
          <w:i/>
        </w:rPr>
        <w:t>rity Kills</w:t>
      </w:r>
      <w:r w:rsidRPr="00BB11AF">
        <w:t>. Toronto : Allen L</w:t>
      </w:r>
      <w:r w:rsidRPr="00BB11AF">
        <w:t>a</w:t>
      </w:r>
      <w:r w:rsidRPr="00BB11AF">
        <w:t>ne.</w:t>
      </w:r>
    </w:p>
    <w:p w:rsidR="003A3061" w:rsidRPr="00BB11AF" w:rsidRDefault="003A3061" w:rsidP="003A3061">
      <w:pPr>
        <w:spacing w:before="120" w:after="120"/>
        <w:jc w:val="both"/>
      </w:pPr>
      <w:r w:rsidRPr="003D25F1">
        <w:t xml:space="preserve">Wessel, D. </w:t>
      </w:r>
      <w:r w:rsidRPr="003D25F1">
        <w:rPr>
          <w:bCs/>
        </w:rPr>
        <w:t>2010</w:t>
      </w:r>
      <w:r w:rsidRPr="003D25F1">
        <w:t xml:space="preserve">. </w:t>
      </w:r>
      <w:r w:rsidRPr="003D25F1">
        <w:rPr>
          <w:i/>
        </w:rPr>
        <w:t>In FED We Trust : Ben Bernanke's War on the Great Panic</w:t>
      </w:r>
      <w:r w:rsidRPr="00BB11AF">
        <w:t>.</w:t>
      </w:r>
      <w:r w:rsidRPr="003D25F1">
        <w:t xml:space="preserve"> New York : Crown Business.</w:t>
      </w:r>
    </w:p>
    <w:p w:rsidR="003A3061" w:rsidRDefault="003A3061" w:rsidP="003A3061">
      <w:pPr>
        <w:spacing w:before="120" w:after="120"/>
        <w:jc w:val="both"/>
      </w:pPr>
    </w:p>
    <w:p w:rsidR="003A3061" w:rsidRPr="00BB11AF" w:rsidRDefault="003A3061" w:rsidP="003A3061">
      <w:pPr>
        <w:pStyle w:val="p"/>
      </w:pPr>
      <w:r w:rsidRPr="00BB11AF">
        <w:t>[213]</w:t>
      </w:r>
    </w:p>
    <w:p w:rsidR="003A3061" w:rsidRPr="00BB11AF" w:rsidRDefault="003A3061" w:rsidP="003A3061">
      <w:pPr>
        <w:spacing w:before="120" w:after="120"/>
        <w:jc w:val="both"/>
      </w:pPr>
    </w:p>
    <w:p w:rsidR="003A3061" w:rsidRDefault="003A3061" w:rsidP="003A3061">
      <w:pPr>
        <w:jc w:val="both"/>
      </w:pPr>
      <w:r w:rsidRPr="003F76B5">
        <w:rPr>
          <w:b/>
          <w:color w:val="FF0000"/>
        </w:rPr>
        <w:t>NOTES</w:t>
      </w:r>
    </w:p>
    <w:p w:rsidR="003A3061" w:rsidRDefault="003A3061" w:rsidP="003A3061">
      <w:pPr>
        <w:jc w:val="both"/>
      </w:pPr>
    </w:p>
    <w:p w:rsidR="003A3061" w:rsidRPr="00E07116" w:rsidRDefault="003A3061" w:rsidP="003A3061">
      <w:pPr>
        <w:jc w:val="both"/>
      </w:pPr>
      <w:r>
        <w:t>Pour faciliter la consultation des notes en fin de textes, nous les avons toutes converties, dans cette édition numérique des Classiques des sciences sociales, en notes de bas de page. JMT.</w:t>
      </w:r>
    </w:p>
    <w:p w:rsidR="003A3061" w:rsidRPr="00BB11AF" w:rsidRDefault="003A3061" w:rsidP="003A3061">
      <w:pPr>
        <w:spacing w:before="120" w:after="120"/>
        <w:jc w:val="both"/>
      </w:pPr>
    </w:p>
    <w:p w:rsidR="003A3061" w:rsidRPr="00BB11AF" w:rsidRDefault="003A3061" w:rsidP="003A3061">
      <w:pPr>
        <w:pStyle w:val="p"/>
      </w:pPr>
      <w:r w:rsidRPr="00BB11AF">
        <w:t>[214]</w:t>
      </w:r>
    </w:p>
    <w:p w:rsidR="003A3061" w:rsidRPr="00BB11AF" w:rsidRDefault="003A3061" w:rsidP="003A3061">
      <w:pPr>
        <w:pStyle w:val="p"/>
      </w:pPr>
      <w:r w:rsidRPr="00BB11AF">
        <w:br w:type="page"/>
        <w:t>[215]</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hanging="20"/>
        <w:jc w:val="center"/>
        <w:rPr>
          <w:b/>
          <w:sz w:val="24"/>
        </w:rPr>
      </w:pPr>
      <w:bookmarkStart w:id="16" w:name="Crise_et_mise_en_crise_texte_13"/>
      <w:r w:rsidRPr="00BB11AF">
        <w:rPr>
          <w:b/>
          <w:i/>
          <w:color w:val="FF0000"/>
          <w:sz w:val="24"/>
        </w:rPr>
        <w:t>Crise</w:t>
      </w:r>
      <w:r w:rsidRPr="00BB11AF">
        <w:rPr>
          <w:b/>
          <w:sz w:val="24"/>
        </w:rPr>
        <w:t xml:space="preserve"> et mise en </w:t>
      </w:r>
      <w:r w:rsidRPr="00BB11AF">
        <w:rPr>
          <w:b/>
          <w:i/>
          <w:color w:val="FF0000"/>
          <w:sz w:val="24"/>
        </w:rPr>
        <w:t>crise</w:t>
      </w:r>
      <w:r w:rsidRPr="00BB11AF">
        <w:rPr>
          <w:b/>
          <w:sz w:val="24"/>
        </w:rPr>
        <w:t>.</w:t>
      </w:r>
    </w:p>
    <w:p w:rsidR="003A3061" w:rsidRPr="00BB11AF" w:rsidRDefault="003A3061" w:rsidP="003A3061">
      <w:pPr>
        <w:spacing w:after="120"/>
        <w:jc w:val="center"/>
        <w:rPr>
          <w:sz w:val="24"/>
        </w:rPr>
      </w:pPr>
      <w:r w:rsidRPr="00BB11AF">
        <w:rPr>
          <w:sz w:val="24"/>
        </w:rPr>
        <w:t>Actes du colloque annuel de l’ACSALF 2012.</w:t>
      </w:r>
    </w:p>
    <w:p w:rsidR="003A3061" w:rsidRPr="00BB11AF" w:rsidRDefault="003A3061" w:rsidP="003A3061">
      <w:pPr>
        <w:pStyle w:val="Titreniveau1"/>
      </w:pPr>
      <w:r w:rsidRPr="00BB11AF">
        <w:t>13</w:t>
      </w:r>
    </w:p>
    <w:p w:rsidR="003A3061" w:rsidRPr="00BB11AF" w:rsidRDefault="003A3061" w:rsidP="003A3061">
      <w:pPr>
        <w:pStyle w:val="Titreniveau2"/>
      </w:pPr>
      <w:r w:rsidRPr="00BB11AF">
        <w:t>“La décroissance soutenable</w:t>
      </w:r>
      <w:r w:rsidRPr="00BB11AF">
        <w:br/>
        <w:t>comme sortie de crises ?”</w:t>
      </w:r>
    </w:p>
    <w:bookmarkEnd w:id="16"/>
    <w:p w:rsidR="003A3061" w:rsidRPr="00BB11AF" w:rsidRDefault="003A3061" w:rsidP="003A3061">
      <w:pPr>
        <w:jc w:val="both"/>
        <w:rPr>
          <w:szCs w:val="36"/>
        </w:rPr>
      </w:pPr>
    </w:p>
    <w:p w:rsidR="003A3061" w:rsidRPr="00BB11AF" w:rsidRDefault="003A3061" w:rsidP="003A3061">
      <w:pPr>
        <w:pStyle w:val="suite"/>
      </w:pPr>
      <w:r w:rsidRPr="00BB11AF">
        <w:t>Par Yves-Marie ABRAHAM</w:t>
      </w:r>
    </w:p>
    <w:p w:rsidR="003A3061" w:rsidRPr="00BB11AF" w:rsidRDefault="003A3061" w:rsidP="003A3061">
      <w:pPr>
        <w:pStyle w:val="auteurst"/>
      </w:pPr>
      <w:r w:rsidRPr="00BB11AF">
        <w:t>HEC Montréal</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right="90" w:firstLine="0"/>
        <w:jc w:val="both"/>
        <w:rPr>
          <w:sz w:val="20"/>
        </w:rPr>
      </w:pPr>
      <w:hyperlink w:anchor="tdm" w:history="1">
        <w:r w:rsidRPr="00BB11AF">
          <w:rPr>
            <w:rStyle w:val="Lienhypertexte"/>
            <w:sz w:val="20"/>
          </w:rPr>
          <w:t>Retour à la table des matières</w:t>
        </w:r>
      </w:hyperlink>
    </w:p>
    <w:p w:rsidR="003A3061" w:rsidRPr="00BB11AF" w:rsidRDefault="00356B29" w:rsidP="003A3061">
      <w:pPr>
        <w:spacing w:before="120" w:after="120"/>
        <w:jc w:val="both"/>
      </w:pPr>
      <w:r w:rsidRPr="00BB11AF">
        <w:rPr>
          <w:noProof/>
          <w:lang w:val="fr-FR" w:eastAsia="fr-FR"/>
        </w:rPr>
        <w:drawing>
          <wp:anchor distT="0" distB="0" distL="63500" distR="182880" simplePos="0" relativeHeight="251662848" behindDoc="1" locked="0" layoutInCell="1" allowOverlap="0">
            <wp:simplePos x="0" y="0"/>
            <wp:positionH relativeFrom="margin">
              <wp:posOffset>51435</wp:posOffset>
            </wp:positionH>
            <wp:positionV relativeFrom="margin">
              <wp:posOffset>3660140</wp:posOffset>
            </wp:positionV>
            <wp:extent cx="1130300" cy="787400"/>
            <wp:effectExtent l="25400" t="25400" r="12700" b="12700"/>
            <wp:wrapTight wrapText="bothSides">
              <wp:wrapPolygon edited="0">
                <wp:start x="-485" y="-697"/>
                <wp:lineTo x="-485" y="21948"/>
                <wp:lineTo x="21843" y="21948"/>
                <wp:lineTo x="21843" y="-697"/>
                <wp:lineTo x="-485" y="-697"/>
              </wp:wrapPolygon>
            </wp:wrapTight>
            <wp:docPr id="19" name="Image 19"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image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0300" cy="7874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3A3061" w:rsidRPr="00BB11AF">
        <w:t>L'idée d'une « décroissance soutenable » a émergé voilà un peu plus de dix ans dans certains pays d'Europe latine (France, Espagne et Italie), en opposition notamment à l'idéologie du « développement durable ». Elle a commencé d</w:t>
      </w:r>
      <w:r w:rsidR="003A3061" w:rsidRPr="00BB11AF">
        <w:t>e</w:t>
      </w:r>
      <w:r w:rsidR="003A3061" w:rsidRPr="00BB11AF">
        <w:t>puis à se diffuser dans la plupart des pays occidentaux. Le manifeste publié en 2007 par le Mouv</w:t>
      </w:r>
      <w:r w:rsidR="003A3061" w:rsidRPr="00BB11AF">
        <w:t>e</w:t>
      </w:r>
      <w:r w:rsidR="003A3061" w:rsidRPr="00BB11AF">
        <w:t>ment Québécois pour une Décroissance Conviviale (MQDC) présente cette idée comme une solution aux cr</w:t>
      </w:r>
      <w:r w:rsidR="003A3061" w:rsidRPr="00BB11AF">
        <w:t>i</w:t>
      </w:r>
      <w:r w:rsidR="003A3061" w:rsidRPr="00BB11AF">
        <w:t>ses sociale, politique, écologique et symbolique que connai</w:t>
      </w:r>
      <w:r w:rsidR="003A3061" w:rsidRPr="00BB11AF">
        <w:t>s</w:t>
      </w:r>
      <w:r w:rsidR="003A3061" w:rsidRPr="00BB11AF">
        <w:t>sent nos sociétés. Rien de moins</w:t>
      </w:r>
      <w:r w:rsidR="003A3061">
        <w:t> </w:t>
      </w:r>
      <w:r w:rsidR="003A3061">
        <w:rPr>
          <w:rStyle w:val="Appelnotedebasdep"/>
        </w:rPr>
        <w:footnoteReference w:id="124"/>
      </w:r>
      <w:r w:rsidR="003A3061" w:rsidRPr="00BB11AF">
        <w:t>. Quel est le principe de cette « solution » ? Sur quel diagnostic de l'état du monde se fonde-t-elle ? Quelles voies de sortie de crises sont prop</w:t>
      </w:r>
      <w:r w:rsidR="003A3061" w:rsidRPr="00BB11AF">
        <w:t>o</w:t>
      </w:r>
      <w:r w:rsidR="003A3061" w:rsidRPr="00BB11AF">
        <w:t>sées concrètement par les « objecteurs de croissance » ? Telles sont les trois questions auxque</w:t>
      </w:r>
      <w:r w:rsidR="003A3061" w:rsidRPr="00BB11AF">
        <w:t>l</w:t>
      </w:r>
      <w:r w:rsidR="003A3061" w:rsidRPr="00BB11AF">
        <w:t>les le texte qui suit tentera de répondre.</w:t>
      </w:r>
    </w:p>
    <w:p w:rsidR="003A3061" w:rsidRPr="00BB11AF" w:rsidRDefault="003A3061" w:rsidP="003A3061">
      <w:pPr>
        <w:spacing w:before="120" w:after="120"/>
        <w:jc w:val="both"/>
      </w:pPr>
      <w:r w:rsidRPr="00BB11AF">
        <w:t>Aussi modeste soit-il, ce travail descriptif n'est pas sans écueils. Déf</w:t>
      </w:r>
      <w:r w:rsidRPr="00BB11AF">
        <w:t>i</w:t>
      </w:r>
      <w:r w:rsidRPr="00BB11AF">
        <w:t>nir la « décroissance soutenable » constitue une part importante du travail de ceux qui s'efforcent aujourd'hui de diffuser cette idée et d'en faire la base d'un mouvement sociopolitique aussi puissant que poss</w:t>
      </w:r>
      <w:r w:rsidRPr="00BB11AF">
        <w:t>i</w:t>
      </w:r>
      <w:r w:rsidRPr="00BB11AF">
        <w:t>ble. En outre, l'auteur de ces lignes, après s'y être intéressé d'un point de vue théorique et académique, est devenu un fervent partisan de la « décroissance soutenable ». Il s'agit donc ici de tenter de décrire une idéologie en devenir, sans trancher les débats qui ont cours parmi ceux qui en font la promotion, ni esquiver les éventuelles contradi</w:t>
      </w:r>
      <w:r w:rsidRPr="00BB11AF">
        <w:t>c</w:t>
      </w:r>
      <w:r w:rsidRPr="00BB11AF">
        <w:t>tions ou faiblesses de ce projet politique. Nous nous y appliquerons, en prenant appui, d'une part, sur quelques-uns des principaux textes publiés par les théoriciens de la décroissance et, d'autre part, sur notre propre e</w:t>
      </w:r>
      <w:r w:rsidRPr="00BB11AF">
        <w:t>x</w:t>
      </w:r>
      <w:r w:rsidRPr="00BB11AF">
        <w:t>périence militante au sein du MQDC.</w:t>
      </w:r>
    </w:p>
    <w:p w:rsidR="003A3061" w:rsidRPr="00BB11AF" w:rsidRDefault="003A3061" w:rsidP="003A3061">
      <w:pPr>
        <w:spacing w:before="120" w:after="120"/>
        <w:jc w:val="both"/>
      </w:pPr>
    </w:p>
    <w:p w:rsidR="003A3061" w:rsidRPr="00BB11AF" w:rsidRDefault="003A3061" w:rsidP="003A3061">
      <w:pPr>
        <w:pStyle w:val="planche"/>
      </w:pPr>
      <w:r w:rsidRPr="00BB11AF">
        <w:t>Qu'est-ce que</w:t>
      </w:r>
      <w:r>
        <w:br/>
      </w:r>
      <w:r w:rsidRPr="00BB11AF">
        <w:t>la « décroissance soutenable » ?</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Les partisans de la « décroissance » utilisent ce mot d'abord et avant tout comme un slogan, un slogan volontairement provocateur ou enc</w:t>
      </w:r>
      <w:r w:rsidRPr="00BB11AF">
        <w:t>o</w:t>
      </w:r>
      <w:r w:rsidRPr="00BB11AF">
        <w:t>re, comme un « mot-obus », selon l'heureuse expression de Paul</w:t>
      </w:r>
      <w:r>
        <w:t xml:space="preserve"> </w:t>
      </w:r>
      <w:r w:rsidRPr="00BB11AF">
        <w:t>[216]</w:t>
      </w:r>
      <w:r>
        <w:t xml:space="preserve"> </w:t>
      </w:r>
      <w:r w:rsidRPr="00BB11AF">
        <w:t>Ariès</w:t>
      </w:r>
      <w:r>
        <w:t> </w:t>
      </w:r>
      <w:r>
        <w:rPr>
          <w:rStyle w:val="Appelnotedebasdep"/>
        </w:rPr>
        <w:footnoteReference w:id="125"/>
      </w:r>
      <w:r w:rsidRPr="00BB11AF">
        <w:t> ; un « mot obus » destiné a pulvériser, détruire, une évide</w:t>
      </w:r>
      <w:r w:rsidRPr="00BB11AF">
        <w:t>n</w:t>
      </w:r>
      <w:r w:rsidRPr="00BB11AF">
        <w:t>ce, un dogme : la nécessité de garantir au sein de nos sociétés une croissance économique continue</w:t>
      </w:r>
      <w:r>
        <w:t> </w:t>
      </w:r>
      <w:r>
        <w:rPr>
          <w:rStyle w:val="Appelnotedebasdep"/>
        </w:rPr>
        <w:footnoteReference w:id="126"/>
      </w:r>
      <w:r w:rsidRPr="00BB11AF">
        <w:t>. Le terme de décroissance a donc un sens normatif. Ni concept, ni programme, il exprime un mot d'o</w:t>
      </w:r>
      <w:r w:rsidRPr="00BB11AF">
        <w:t>r</w:t>
      </w:r>
      <w:r w:rsidRPr="00BB11AF">
        <w:t>dre politique, que l'on peut formuler comme suit : nos sociétés doivent rompre avec la poursuite d'une croissance illimitée, elles do</w:t>
      </w:r>
      <w:r w:rsidRPr="00BB11AF">
        <w:t>i</w:t>
      </w:r>
      <w:r w:rsidRPr="00BB11AF">
        <w:t>vent mettre un terme à cette course sans fin à la production de ma</w:t>
      </w:r>
      <w:r w:rsidRPr="00BB11AF">
        <w:t>r</w:t>
      </w:r>
      <w:r w:rsidRPr="00BB11AF">
        <w:t>chandises, dans laquelle elles sont embarquées ; à tout le moins, il est u</w:t>
      </w:r>
      <w:r w:rsidRPr="00BB11AF">
        <w:t>r</w:t>
      </w:r>
      <w:r w:rsidRPr="00BB11AF">
        <w:t>gent de questionner, d'interroger, de remettre en cause l'évidence de la croi</w:t>
      </w:r>
      <w:r w:rsidRPr="00BB11AF">
        <w:t>s</w:t>
      </w:r>
      <w:r w:rsidRPr="00BB11AF">
        <w:t>sance et, avec elle, l'idée selon laquelle cette croissance est une cond</w:t>
      </w:r>
      <w:r w:rsidRPr="00BB11AF">
        <w:t>i</w:t>
      </w:r>
      <w:r w:rsidRPr="00BB11AF">
        <w:t>tion nécessaire du bonheur de l'humanité</w:t>
      </w:r>
      <w:r>
        <w:t> </w:t>
      </w:r>
      <w:r>
        <w:rPr>
          <w:rStyle w:val="Appelnotedebasdep"/>
        </w:rPr>
        <w:footnoteReference w:id="127"/>
      </w:r>
      <w:r w:rsidRPr="00BB11AF">
        <w:t>.</w:t>
      </w:r>
    </w:p>
    <w:p w:rsidR="003A3061" w:rsidRPr="00BB11AF" w:rsidRDefault="003A3061" w:rsidP="003A3061">
      <w:pPr>
        <w:spacing w:before="120" w:after="120"/>
        <w:jc w:val="both"/>
      </w:pPr>
      <w:r w:rsidRPr="00BB11AF">
        <w:t>Celles et ceux qui se rassemblent derrière ce mot d'ordre se prése</w:t>
      </w:r>
      <w:r w:rsidRPr="00BB11AF">
        <w:t>n</w:t>
      </w:r>
      <w:r w:rsidRPr="00BB11AF">
        <w:t>tent généralement comme des « objecteurs de croissance », manière de souligner que la décroissance économique n'est pas un objectif en tant que tel et que reste ouverte la question des finalités de notre exi</w:t>
      </w:r>
      <w:r w:rsidRPr="00BB11AF">
        <w:t>s</w:t>
      </w:r>
      <w:r w:rsidRPr="00BB11AF">
        <w:t>tence collective. Il ne s'agit pas non plus, comme certains détracteurs de la décroissance l'affirment, de prôner un « retour en arrière », mais simplement, si l'on peut dire, de sortir de la trajectoire « croissa</w:t>
      </w:r>
      <w:r w:rsidRPr="00BB11AF">
        <w:t>n</w:t>
      </w:r>
      <w:r w:rsidRPr="00BB11AF">
        <w:t>ciste » suivie par nos sociétés, de « faire un pas de côté », selon une autre e</w:t>
      </w:r>
      <w:r w:rsidRPr="00BB11AF">
        <w:t>x</w:t>
      </w:r>
      <w:r w:rsidRPr="00BB11AF">
        <w:t>pression favorite de Paul Ariès.</w:t>
      </w:r>
    </w:p>
    <w:p w:rsidR="003A3061" w:rsidRPr="00BB11AF" w:rsidRDefault="003A3061" w:rsidP="003A3061">
      <w:pPr>
        <w:spacing w:before="120" w:after="120"/>
        <w:jc w:val="both"/>
      </w:pPr>
      <w:r w:rsidRPr="00BB11AF">
        <w:t>Pour ces raisons, le terme d'« a-croissance » serait peut-être plus approprié pour nommer ce dont il est ici question, comme le suggère Serge Latouche</w:t>
      </w:r>
      <w:r>
        <w:t> </w:t>
      </w:r>
      <w:r>
        <w:rPr>
          <w:rStyle w:val="Appelnotedebasdep"/>
        </w:rPr>
        <w:footnoteReference w:id="128"/>
      </w:r>
      <w:r w:rsidRPr="00BB11AF">
        <w:t>. Prôner une décroissance infinie n'a pas plus de sens que d'en appeler à une croissance infinie. Le mot « décroissance » reste néanmoins privilégié par les promoteurs de ce</w:t>
      </w:r>
      <w:r w:rsidRPr="00BB11AF">
        <w:t>t</w:t>
      </w:r>
      <w:r w:rsidRPr="00BB11AF">
        <w:t>te idée. Tout d'abord, parce qu'il demeure plus facile à utiliser, surtout à l'oral, que le mot « a-croissance ». Ensuite, parce qu'il est provoc</w:t>
      </w:r>
      <w:r w:rsidRPr="00BB11AF">
        <w:t>a</w:t>
      </w:r>
      <w:r w:rsidRPr="00BB11AF">
        <w:t>teur et suscite immédiatement le débat, ce que cherchent précisément à produire les objecteurs de croissance. Enfin, parce qu'il est irrécup</w:t>
      </w:r>
      <w:r w:rsidRPr="00BB11AF">
        <w:t>é</w:t>
      </w:r>
      <w:r w:rsidRPr="00BB11AF">
        <w:t>rable par les défenseurs de la croissance, contrairement à la notion de « dévelo</w:t>
      </w:r>
      <w:r w:rsidRPr="00BB11AF">
        <w:t>p</w:t>
      </w:r>
      <w:r w:rsidRPr="00BB11AF">
        <w:t>pement durable ».</w:t>
      </w:r>
    </w:p>
    <w:p w:rsidR="003A3061" w:rsidRPr="00BB11AF" w:rsidRDefault="003A3061" w:rsidP="003A3061">
      <w:pPr>
        <w:spacing w:before="120" w:after="120"/>
        <w:jc w:val="both"/>
      </w:pPr>
      <w:r w:rsidRPr="00BB11AF">
        <w:t>L'ajout de l'adjectif « soutenable » au mot décroissance permet de so</w:t>
      </w:r>
      <w:r w:rsidRPr="00BB11AF">
        <w:t>u</w:t>
      </w:r>
      <w:r w:rsidRPr="00BB11AF">
        <w:t>ligner qu'il s'agit d'un choix assumé, d'une décroissance volontaire, et non pas subis. La décroissance involontaire, la décroissance subie, c'est ce que l'on appelle une récession ou, plus grave, une dépression. Dans une société croissanciste, c'est dramatique. La décroissance so</w:t>
      </w:r>
      <w:r w:rsidRPr="00BB11AF">
        <w:t>u</w:t>
      </w:r>
      <w:r w:rsidRPr="00BB11AF">
        <w:t>tenable se présente au contraire comme le projet d'une sortie en do</w:t>
      </w:r>
      <w:r w:rsidRPr="00BB11AF">
        <w:t>u</w:t>
      </w:r>
      <w:r w:rsidRPr="00BB11AF">
        <w:t>ceur, d'une sortie contrôlée, de cette course à la croissance dans l</w:t>
      </w:r>
      <w:r w:rsidRPr="00BB11AF">
        <w:t>a</w:t>
      </w:r>
      <w:r w:rsidRPr="00BB11AF">
        <w:t>quelle nous sommes embarqués. Sous-entendu : la décroissance éc</w:t>
      </w:r>
      <w:r w:rsidRPr="00BB11AF">
        <w:t>o</w:t>
      </w:r>
      <w:r w:rsidRPr="00BB11AF">
        <w:t>nomique va de toute façon s'imposer, ne serait que pour des raisons écologiques. Il s'agit donc d'anticiper ce choc pour, au minimum, en atténuer la violence</w:t>
      </w:r>
      <w:r>
        <w:t> </w:t>
      </w:r>
      <w:r>
        <w:rPr>
          <w:rStyle w:val="Appelnotedebasdep"/>
        </w:rPr>
        <w:footnoteReference w:id="129"/>
      </w:r>
      <w:r w:rsidRPr="00BB11AF">
        <w:t>.</w:t>
      </w:r>
    </w:p>
    <w:p w:rsidR="003A3061" w:rsidRPr="00BB11AF" w:rsidRDefault="003A3061" w:rsidP="003A3061">
      <w:pPr>
        <w:spacing w:before="120" w:after="120"/>
        <w:jc w:val="both"/>
      </w:pPr>
      <w:r w:rsidRPr="00BB11AF">
        <w:t>Quant au qualificatif « convivial », associé parfois au substantif « d</w:t>
      </w:r>
      <w:r w:rsidRPr="00BB11AF">
        <w:t>é</w:t>
      </w:r>
      <w:r w:rsidRPr="00BB11AF">
        <w:t>croissance », il est utilisé en partie pour atténuer la négativité du mot décroissance et faire valoir la possibilité d'une rupture heureuse avec notre modèle de société. Il renvoie par ailleurs à la notion de convivi</w:t>
      </w:r>
      <w:r w:rsidRPr="00BB11AF">
        <w:t>a</w:t>
      </w:r>
      <w:r w:rsidRPr="00BB11AF">
        <w:t>lité chez Ivan Illich, l'un des</w:t>
      </w:r>
      <w:r>
        <w:t xml:space="preserve"> </w:t>
      </w:r>
      <w:r w:rsidRPr="00BB11AF">
        <w:t>[217]</w:t>
      </w:r>
      <w:r>
        <w:t xml:space="preserve"> </w:t>
      </w:r>
      <w:r w:rsidRPr="00BB11AF">
        <w:t>grands inspirateurs de la décroissance. Par ce terme, Illich dés</w:t>
      </w:r>
      <w:r w:rsidRPr="00BB11AF">
        <w:t>i</w:t>
      </w:r>
      <w:r w:rsidRPr="00BB11AF">
        <w:t>gnait les techniques favorisant l'autonomie personnelle, par opposition aux techniques industrielles qui, selon lui, tendent à dominer et asse</w:t>
      </w:r>
      <w:r w:rsidRPr="00BB11AF">
        <w:t>r</w:t>
      </w:r>
      <w:r w:rsidRPr="00BB11AF">
        <w:t>vir leurs utilisateurs. Comme on le verra plus loin, l'une des princip</w:t>
      </w:r>
      <w:r w:rsidRPr="00BB11AF">
        <w:t>a</w:t>
      </w:r>
      <w:r w:rsidRPr="00BB11AF">
        <w:t>les ambitions des objecteurs de croissance est l'émancipation des h</w:t>
      </w:r>
      <w:r w:rsidRPr="00BB11AF">
        <w:t>u</w:t>
      </w:r>
      <w:r w:rsidRPr="00BB11AF">
        <w:t>mains à l'égard des machines.</w:t>
      </w:r>
    </w:p>
    <w:p w:rsidR="003A3061" w:rsidRPr="00BB11AF" w:rsidRDefault="003A3061" w:rsidP="003A3061">
      <w:pPr>
        <w:spacing w:before="120" w:after="120"/>
        <w:jc w:val="both"/>
      </w:pPr>
    </w:p>
    <w:p w:rsidR="003A3061" w:rsidRPr="00BB11AF" w:rsidRDefault="003A3061" w:rsidP="003A3061">
      <w:pPr>
        <w:pStyle w:val="planche"/>
      </w:pPr>
      <w:r w:rsidRPr="00BB11AF">
        <w:t>Naissance et renaissance d'une idée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D'où vient cette idée de « décroissance soutenable » ? La notion e</w:t>
      </w:r>
      <w:r w:rsidRPr="00BB11AF">
        <w:t>l</w:t>
      </w:r>
      <w:r w:rsidRPr="00BB11AF">
        <w:t>le-même apparaît dans le débat public en tant que slogan au début des années 2000. Mais l'idée est plus ancienne. On peut considérer qu'elle a commencé à faire son chemin au tournant des années 1970, même si l'on repère quelques penseurs « décroissancistes » dès le XIX</w:t>
      </w:r>
      <w:r w:rsidRPr="00BB11AF">
        <w:rPr>
          <w:vertAlign w:val="superscript"/>
        </w:rPr>
        <w:t>e</w:t>
      </w:r>
      <w:r w:rsidRPr="00BB11AF">
        <w:t xml:space="preserve"> si</w:t>
      </w:r>
      <w:r w:rsidRPr="00BB11AF">
        <w:t>è</w:t>
      </w:r>
      <w:r w:rsidRPr="00BB11AF">
        <w:t>cle</w:t>
      </w:r>
      <w:r>
        <w:t> </w:t>
      </w:r>
      <w:r>
        <w:rPr>
          <w:rStyle w:val="Appelnotedebasdep"/>
        </w:rPr>
        <w:footnoteReference w:id="130"/>
      </w:r>
      <w:r w:rsidRPr="00BB11AF">
        <w:t>. La publication de « The Limits to Growth »</w:t>
      </w:r>
      <w:r>
        <w:t> </w:t>
      </w:r>
      <w:r>
        <w:rPr>
          <w:rStyle w:val="Appelnotedebasdep"/>
        </w:rPr>
        <w:footnoteReference w:id="131"/>
      </w:r>
      <w:r w:rsidRPr="00BB11AF">
        <w:t>, alias le « Rapport Meadows », par le Club de Rome en 1972, constitue sans doute l'un des événements fondateurs de « l'objection de croissance ». D'ailleurs, l'expression « objecteur de croissance » est utilisée pour la première fois en 1973, dans le titre d'un dossier spécial du n°52 des Cahiers de la Nef (une revue de réflexion politique créée par Ra</w:t>
      </w:r>
      <w:r w:rsidRPr="00BB11AF">
        <w:t>y</w:t>
      </w:r>
      <w:r w:rsidRPr="00BB11AF">
        <w:t>mond Aron et Lucie Faure !) portant sur le rapport Meadows. C'est également dans ce dossier que le mot « décroissance » apparaît pour la première fois dans un sens normatif</w:t>
      </w:r>
      <w:r>
        <w:t> </w:t>
      </w:r>
      <w:r>
        <w:rPr>
          <w:rStyle w:val="Appelnotedebasdep"/>
        </w:rPr>
        <w:footnoteReference w:id="132"/>
      </w:r>
      <w:r w:rsidRPr="00BB11AF">
        <w:t>.</w:t>
      </w:r>
    </w:p>
    <w:p w:rsidR="003A3061" w:rsidRPr="00BB11AF" w:rsidRDefault="003A3061" w:rsidP="003A3061">
      <w:pPr>
        <w:spacing w:before="120" w:after="120"/>
        <w:jc w:val="both"/>
      </w:pPr>
      <w:r w:rsidRPr="00BB11AF">
        <w:t>La critique de la croissance prend de l'ampleur tout au long des a</w:t>
      </w:r>
      <w:r w:rsidRPr="00BB11AF">
        <w:t>n</w:t>
      </w:r>
      <w:r w:rsidRPr="00BB11AF">
        <w:t>nées 1970. Les « objecteurs de croissance » ont même compté alors dans leurs rangs un président de la Commission européenne, Sicco Man</w:t>
      </w:r>
      <w:r w:rsidRPr="00BB11AF">
        <w:t>s</w:t>
      </w:r>
      <w:r w:rsidRPr="00BB11AF">
        <w:t>holt, qui dira par exemple : « Est-il possible de maintenir notre taux de croissance sans modifier profondément notre société ? En ét</w:t>
      </w:r>
      <w:r w:rsidRPr="00BB11AF">
        <w:t>u</w:t>
      </w:r>
      <w:r w:rsidRPr="00BB11AF">
        <w:t>diant lucidement le problème, on voit bien que la réponse est non. Alors, il ne s'agit même plus de croissance zéro mais d'une croissance en dessous de zéro »</w:t>
      </w:r>
      <w:r>
        <w:t> </w:t>
      </w:r>
      <w:r>
        <w:rPr>
          <w:rStyle w:val="Appelnotedebasdep"/>
        </w:rPr>
        <w:footnoteReference w:id="133"/>
      </w:r>
      <w:r w:rsidRPr="00BB11AF">
        <w:t>. La période est ponctuée en 1979 par la publ</w:t>
      </w:r>
      <w:r w:rsidRPr="00BB11AF">
        <w:t>i</w:t>
      </w:r>
      <w:r w:rsidRPr="00BB11AF">
        <w:t>c</w:t>
      </w:r>
      <w:r w:rsidRPr="00BB11AF">
        <w:t>a</w:t>
      </w:r>
      <w:r w:rsidRPr="00BB11AF">
        <w:t>tion en français de plusieurs articles de Nicholas Georgescu-Roegen, un économiste hétérodoxe remettant en question la possibilité d'une croissance économique infinie, en prenant appui notamment sur les lois de la thermodynamique. Ce recueil paraît sous le titre « D</w:t>
      </w:r>
      <w:r w:rsidRPr="00BB11AF">
        <w:t>e</w:t>
      </w:r>
      <w:r w:rsidRPr="00BB11AF">
        <w:t>main la décroissance. Entropie, écologie, économie ».</w:t>
      </w:r>
    </w:p>
    <w:p w:rsidR="003A3061" w:rsidRPr="00BB11AF" w:rsidRDefault="003A3061" w:rsidP="003A3061">
      <w:pPr>
        <w:spacing w:before="120" w:after="120"/>
        <w:jc w:val="both"/>
      </w:pPr>
      <w:r w:rsidRPr="00BB11AF">
        <w:t>Pendant les vingt ans qui suivent, la critique de la croissance disp</w:t>
      </w:r>
      <w:r w:rsidRPr="00BB11AF">
        <w:t>a</w:t>
      </w:r>
      <w:r w:rsidRPr="00BB11AF">
        <w:t>raît presque du débat public. La revue Silence, en France, publie bien en 1993 (n° 164) un dossier intitulé « Le temps de la décroissance », mais sans guère susciter d'écho. On peut faire l'hypothèse que les r</w:t>
      </w:r>
      <w:r w:rsidRPr="00BB11AF">
        <w:t>é</w:t>
      </w:r>
      <w:r w:rsidRPr="00BB11AF">
        <w:t>cessions des années 1980 et 1990 n'ont pas favorisé la mise en cause de la croissance. Difficile sans doute de prôner une décroissance v</w:t>
      </w:r>
      <w:r w:rsidRPr="00BB11AF">
        <w:t>o</w:t>
      </w:r>
      <w:r w:rsidRPr="00BB11AF">
        <w:t>lontaire en période de décroissance forcée (ou de ralentissement de la croissance). Dans un tel contexte, la première préoccupation est de faire face aux conséquences de la crise. Tel était le propos du colloque de l'Association canadienne des sociologues et anthropologues de la</w:t>
      </w:r>
      <w:r w:rsidRPr="00BB11AF">
        <w:t>n</w:t>
      </w:r>
      <w:r w:rsidRPr="00BB11AF">
        <w:t>gue française (ACSALF) en 1982, intitulé « Les enjeux sociaux de la décroissance ».</w:t>
      </w:r>
    </w:p>
    <w:p w:rsidR="003A3061" w:rsidRPr="00BB11AF" w:rsidRDefault="003A3061" w:rsidP="003A3061">
      <w:pPr>
        <w:spacing w:before="120" w:after="120"/>
        <w:jc w:val="both"/>
      </w:pPr>
      <w:r w:rsidRPr="00BB11AF">
        <w:t>[218]</w:t>
      </w:r>
    </w:p>
    <w:p w:rsidR="003A3061" w:rsidRPr="00BB11AF" w:rsidRDefault="003A3061" w:rsidP="003A3061">
      <w:pPr>
        <w:spacing w:before="120" w:after="120"/>
        <w:jc w:val="both"/>
      </w:pPr>
      <w:r w:rsidRPr="00BB11AF">
        <w:t>Par ailleurs, tout au long des années 1980 et 1990, les autorités p</w:t>
      </w:r>
      <w:r w:rsidRPr="00BB11AF">
        <w:t>o</w:t>
      </w:r>
      <w:r w:rsidRPr="00BB11AF">
        <w:t>lit</w:t>
      </w:r>
      <w:r w:rsidRPr="00BB11AF">
        <w:t>i</w:t>
      </w:r>
      <w:r w:rsidRPr="00BB11AF">
        <w:t>ques et économiques occidentales ont travaillé énergiquement pour imposer un tout autre discours : celui du « développement durable ». Aux yeux des défenseurs de notre modèle de société, cette idéologie réformiste présente le grand avantage de ne pas remettre en question le principe de la croissance économique et d'entretenir l'espoir qu'il est possible de concilier accumulation capitaliste, justice sociale et pr</w:t>
      </w:r>
      <w:r w:rsidRPr="00BB11AF">
        <w:t>é</w:t>
      </w:r>
      <w:r w:rsidRPr="00BB11AF">
        <w:t>servation de la planète. « Mise en marché » à l'occasion notamment des très médiatiques « Sommets de la Terre », il n'est pas étonnant qu'elle se soit diffusée avec succès en Occident.</w:t>
      </w:r>
    </w:p>
    <w:p w:rsidR="003A3061" w:rsidRPr="00BB11AF" w:rsidRDefault="003A3061" w:rsidP="003A3061">
      <w:pPr>
        <w:spacing w:before="120" w:after="120"/>
        <w:jc w:val="both"/>
      </w:pPr>
      <w:r w:rsidRPr="00BB11AF">
        <w:t>Le projet d'une décroissance volontaire refait publiquement surface au début des années 2000, en France d'abord, semble-t-il, alors qu'au</w:t>
      </w:r>
      <w:r w:rsidRPr="00BB11AF">
        <w:t>g</w:t>
      </w:r>
      <w:r w:rsidRPr="00BB11AF">
        <w:t>mente le nombre de ceux qui pensent que le « développement dur</w:t>
      </w:r>
      <w:r w:rsidRPr="00BB11AF">
        <w:t>a</w:t>
      </w:r>
      <w:r w:rsidRPr="00BB11AF">
        <w:t>ble » n'est au mieux qu'une façon de « polluer moins pour polluer plus longtemps ». L'expression « décroissance soutenable » est prop</w:t>
      </w:r>
      <w:r w:rsidRPr="00BB11AF">
        <w:t>o</w:t>
      </w:r>
      <w:r w:rsidRPr="00BB11AF">
        <w:t>sée en février 2002 par Vincent Cheynet</w:t>
      </w:r>
      <w:r>
        <w:t> </w:t>
      </w:r>
      <w:r>
        <w:rPr>
          <w:rStyle w:val="Appelnotedebasdep"/>
        </w:rPr>
        <w:footnoteReference w:id="134"/>
      </w:r>
      <w:r w:rsidRPr="00BB11AF">
        <w:t xml:space="preserve"> et Bruno Clémentin, en titre d'un dossier spécial de la revue Silence, encore elle (n° 280). Mais l'événement qui lance ou relance réellement l'idée de décroissa</w:t>
      </w:r>
      <w:r w:rsidRPr="00BB11AF">
        <w:t>n</w:t>
      </w:r>
      <w:r w:rsidRPr="00BB11AF">
        <w:t>ce est un colloque international organisé à Paris en mars 2002, par l'Organisation des Nations Unies pour l'éducation, la science et la cu</w:t>
      </w:r>
      <w:r w:rsidRPr="00BB11AF">
        <w:t>l</w:t>
      </w:r>
      <w:r w:rsidRPr="00BB11AF">
        <w:t>ture (UNESCO), Le Monde diplomatique et les Amis de François Pa</w:t>
      </w:r>
      <w:r w:rsidRPr="00BB11AF">
        <w:t>r</w:t>
      </w:r>
      <w:r w:rsidRPr="00BB11AF">
        <w:t>tant</w:t>
      </w:r>
      <w:r>
        <w:t> </w:t>
      </w:r>
      <w:r>
        <w:rPr>
          <w:rStyle w:val="Appelnotedebasdep"/>
        </w:rPr>
        <w:footnoteReference w:id="135"/>
      </w:r>
      <w:r w:rsidRPr="00BB11AF">
        <w:t>. Intitulé « Défaire le développement, refaire le monde », cet év</w:t>
      </w:r>
      <w:r w:rsidRPr="00BB11AF">
        <w:t>é</w:t>
      </w:r>
      <w:r w:rsidRPr="00BB11AF">
        <w:t>nement rassemble autour d'Ivan Illich une série de spécialistes du d</w:t>
      </w:r>
      <w:r w:rsidRPr="00BB11AF">
        <w:t>é</w:t>
      </w:r>
      <w:r w:rsidRPr="00BB11AF">
        <w:t>veloppement (dont Serge Latouche et Gilbert Rist) partageant une même conviction fondamentale : le modèle de société occidental étant intenable en tant que tel, il est urgent de cesser de vouloir l'e</w:t>
      </w:r>
      <w:r w:rsidRPr="00BB11AF">
        <w:t>x</w:t>
      </w:r>
      <w:r w:rsidRPr="00BB11AF">
        <w:t>porter dans le reste du monde, en particulier dans les pays les moins « dév</w:t>
      </w:r>
      <w:r w:rsidRPr="00BB11AF">
        <w:t>e</w:t>
      </w:r>
      <w:r w:rsidRPr="00BB11AF">
        <w:t>loppés ».</w:t>
      </w:r>
    </w:p>
    <w:p w:rsidR="003A3061" w:rsidRPr="00BB11AF" w:rsidRDefault="003A3061" w:rsidP="003A3061">
      <w:pPr>
        <w:spacing w:before="120" w:after="120"/>
        <w:jc w:val="both"/>
      </w:pPr>
      <w:r w:rsidRPr="00BB11AF">
        <w:t>Dès lors, la décroissance commence à faire l'objet d'une intense a</w:t>
      </w:r>
      <w:r w:rsidRPr="00BB11AF">
        <w:t>c</w:t>
      </w:r>
      <w:r w:rsidRPr="00BB11AF">
        <w:t>tivité éditoriale. Latouche notamment publie Survivre au développ</w:t>
      </w:r>
      <w:r w:rsidRPr="00BB11AF">
        <w:t>e</w:t>
      </w:r>
      <w:r w:rsidRPr="00BB11AF">
        <w:t>ment. De la décolonisation de l'imaginaire économique à la constru</w:t>
      </w:r>
      <w:r w:rsidRPr="00BB11AF">
        <w:t>c</w:t>
      </w:r>
      <w:r w:rsidRPr="00BB11AF">
        <w:t>tion d'une société alternative (2004), puis Le pari de la décroissance (2006), tandis que Rist signe Le développement : histoire d'une croyance occidentale (2007). Sortent à la même époque, et pour ne citer que les plus lus : Comment ne plus être progressiste... sans dev</w:t>
      </w:r>
      <w:r w:rsidRPr="00BB11AF">
        <w:t>e</w:t>
      </w:r>
      <w:r w:rsidRPr="00BB11AF">
        <w:t>nir réactionnaire (Besset 2005), La décroissance pour tous (Ridoux 2006), La décroissance. Un nouveau projet politique (Ariès 2008), Le choc de la décroissance (Cheynet 2008) ou plus récemment : La d</w:t>
      </w:r>
      <w:r w:rsidRPr="00BB11AF">
        <w:t>é</w:t>
      </w:r>
      <w:r w:rsidRPr="00BB11AF">
        <w:t>croissance. 10 questions pour comprendre et débattre (Bayon, Flipo et Schneider 2010). Par ailleurs, Cheynet lance en 2004 le mensuel La Décroissance (qui atteint un tirage de 45 000 exemplaires en 2010), la revue Silence décide de consacrer une part importante de ses pages à la décroissance et enfin se crée en 2006, Entropia. Revue d'étude thé</w:t>
      </w:r>
      <w:r w:rsidRPr="00BB11AF">
        <w:t>o</w:t>
      </w:r>
      <w:r w:rsidRPr="00BB11AF">
        <w:t>rique et politique de la décroissance.</w:t>
      </w:r>
    </w:p>
    <w:p w:rsidR="003A3061" w:rsidRPr="00BB11AF" w:rsidRDefault="003A3061" w:rsidP="003A3061">
      <w:pPr>
        <w:spacing w:before="120" w:after="120"/>
        <w:jc w:val="both"/>
      </w:pPr>
      <w:r w:rsidRPr="00BB11AF">
        <w:t>Dans la foulée de ces publications, divers groupes d'objecteurs de croissance se constituent, en France et dans les pays voisins. Le Mo</w:t>
      </w:r>
      <w:r w:rsidRPr="00BB11AF">
        <w:t>u</w:t>
      </w:r>
      <w:r w:rsidRPr="00BB11AF">
        <w:t>vement Québécois pour une Décroissance Conviviale (MQDC) est</w:t>
      </w:r>
      <w:r>
        <w:t xml:space="preserve"> </w:t>
      </w:r>
      <w:r w:rsidRPr="00BB11AF">
        <w:t>[219]</w:t>
      </w:r>
      <w:r>
        <w:t xml:space="preserve"> </w:t>
      </w:r>
      <w:r w:rsidRPr="00BB11AF">
        <w:t>lancé quant à lui en juillet 2007, à la suite d'un premier colloque sur la décroissance organisé à l'Université du Québec à Montréal (UQAM) et parrainé par Jean-Claude Besson-Girard, rédacteur en chef d'Entr</w:t>
      </w:r>
      <w:r w:rsidRPr="00BB11AF">
        <w:t>o</w:t>
      </w:r>
      <w:r w:rsidRPr="00BB11AF">
        <w:t>pia. En France, un Parti pour la décroissance (PPLD) voit même le jour en 2005, mais ne fait pas l'unanimité chez les partisans de la d</w:t>
      </w:r>
      <w:r w:rsidRPr="00BB11AF">
        <w:t>é</w:t>
      </w:r>
      <w:r w:rsidRPr="00BB11AF">
        <w:t>croissance. Qu'attendre de la démocratie représentative, dans une perspective de transition vers une société post-croissance ? La décroissance peut-elle faire l'objet d'un programme électoral ? Un pa</w:t>
      </w:r>
      <w:r w:rsidRPr="00BB11AF">
        <w:t>r</w:t>
      </w:r>
      <w:r w:rsidRPr="00BB11AF">
        <w:t>ti politique est-il le meilleur véhicule pour faire avancer l'idée de d</w:t>
      </w:r>
      <w:r w:rsidRPr="00BB11AF">
        <w:t>é</w:t>
      </w:r>
      <w:r w:rsidRPr="00BB11AF">
        <w:t>croissance ? Les avis divergent fortement sur ces questions, au point que des conflits éclatent chez les objecteurs de croissance français. Il reste que le PPLD récolte ses premières voix aux élections législatives de 2007 et surtout aux élections européennes de 2009.</w:t>
      </w:r>
    </w:p>
    <w:p w:rsidR="003A3061" w:rsidRPr="00BB11AF" w:rsidRDefault="003A3061" w:rsidP="003A3061">
      <w:pPr>
        <w:spacing w:before="120" w:after="120"/>
        <w:jc w:val="both"/>
      </w:pPr>
      <w:r w:rsidRPr="00BB11AF">
        <w:t>Pendant ce temps, l'idée de décroissance est devenue objet de reche</w:t>
      </w:r>
      <w:r w:rsidRPr="00BB11AF">
        <w:t>r</w:t>
      </w:r>
      <w:r w:rsidRPr="00BB11AF">
        <w:t>ches académiques. Une première conférence internationale est organ</w:t>
      </w:r>
      <w:r w:rsidRPr="00BB11AF">
        <w:t>i</w:t>
      </w:r>
      <w:r w:rsidRPr="00BB11AF">
        <w:t>sée à Paris en avril 2008, à l'initiative entre autres d'une ONG dédiée à la diffusion de l'idée de décroissance : « Research &amp; D</w:t>
      </w:r>
      <w:r w:rsidRPr="00BB11AF">
        <w:t>e</w:t>
      </w:r>
      <w:r w:rsidRPr="00BB11AF">
        <w:t>growth ». On y dénombre 150 participants. En mai 2009, à HEC Mo</w:t>
      </w:r>
      <w:r w:rsidRPr="00BB11AF">
        <w:t>n</w:t>
      </w:r>
      <w:r w:rsidRPr="00BB11AF">
        <w:t>tréal, un peu plus de 100 personnes débattent pendant deux jours de la question : « Décroissance ou développement durable ? »</w:t>
      </w:r>
      <w:r>
        <w:t> </w:t>
      </w:r>
      <w:r>
        <w:rPr>
          <w:rStyle w:val="Appelnotedebasdep"/>
        </w:rPr>
        <w:footnoteReference w:id="136"/>
      </w:r>
      <w:r w:rsidRPr="00BB11AF">
        <w:t>. Un an plus tard, en mars 2010, la discussion se poursuit à l'Université de Barc</w:t>
      </w:r>
      <w:r w:rsidRPr="00BB11AF">
        <w:t>e</w:t>
      </w:r>
      <w:r w:rsidRPr="00BB11AF">
        <w:t>lone, mais en bien plus grand : 500 chercheurs et militants en provenance de 40 pays répondent à l'invitation de « Research &amp; D</w:t>
      </w:r>
      <w:r w:rsidRPr="00BB11AF">
        <w:t>e</w:t>
      </w:r>
      <w:r w:rsidRPr="00BB11AF">
        <w:t>growth ». L'année 2012 enfin a été marquée par deux événements du même t</w:t>
      </w:r>
      <w:r w:rsidRPr="00BB11AF">
        <w:t>y</w:t>
      </w:r>
      <w:r w:rsidRPr="00BB11AF">
        <w:t>pe, l'un à Montréal, au cours du mois de mai, l'autre à Venise, en septembre. Ces conférences ont commencé à donner lieu à des p</w:t>
      </w:r>
      <w:r w:rsidRPr="00BB11AF">
        <w:t>u</w:t>
      </w:r>
      <w:r w:rsidRPr="00BB11AF">
        <w:t>blications scientifiques, sous la forme d'ouvrages (Décroissance ve</w:t>
      </w:r>
      <w:r w:rsidRPr="00BB11AF">
        <w:t>r</w:t>
      </w:r>
      <w:r w:rsidRPr="00BB11AF">
        <w:t>sus d</w:t>
      </w:r>
      <w:r w:rsidRPr="00BB11AF">
        <w:t>é</w:t>
      </w:r>
      <w:r w:rsidRPr="00BB11AF">
        <w:t>veloppement durable, 2011) et surtout de numéros spéciaux de revues académiques</w:t>
      </w:r>
      <w:r>
        <w:t> </w:t>
      </w:r>
      <w:r>
        <w:rPr>
          <w:rStyle w:val="Appelnotedebasdep"/>
        </w:rPr>
        <w:footnoteReference w:id="137"/>
      </w:r>
      <w:r w:rsidRPr="00BB11AF">
        <w:t>.</w:t>
      </w:r>
    </w:p>
    <w:p w:rsidR="003A3061" w:rsidRPr="00BB11AF" w:rsidRDefault="003A3061" w:rsidP="003A3061">
      <w:pPr>
        <w:spacing w:before="120" w:after="120"/>
        <w:jc w:val="both"/>
      </w:pPr>
      <w:r w:rsidRPr="00BB11AF">
        <w:t>La « décroissance soutenable » est donc désormais bien plus qu'un slogan. Peut-on parler d'un mouvement social ou politique ? Le terme de « mouvance » conviendrait mieux sans doute, tant l'association dont il est ici question est encore informelle. L'une de ses caractérist</w:t>
      </w:r>
      <w:r w:rsidRPr="00BB11AF">
        <w:t>i</w:t>
      </w:r>
      <w:r w:rsidRPr="00BB11AF">
        <w:t>ques les plus remarquables est de rassembler des personnes qui, au-delà d'un refus commun de notre modèle de société (et d'un niveau de scolarisation souvent élevé), proviennent d'horizons intellectuels et idéologiques assez hétérogènes. Dans une même réunion d'objecteurs de croissance, se côtoient fréquemment des militants vivant en marge de la société et des professeurs d'université ; des philosophes et des ingénieurs ; des anarchistes et des néomarxistes ; des écologistes rad</w:t>
      </w:r>
      <w:r w:rsidRPr="00BB11AF">
        <w:t>i</w:t>
      </w:r>
      <w:r w:rsidRPr="00BB11AF">
        <w:t>caux et des altermondialistes ; des anti-capitalistes et des anti-modernistes. C'est la force et la faiblesse de cette mouvance. Le su</w:t>
      </w:r>
      <w:r w:rsidRPr="00BB11AF">
        <w:t>c</w:t>
      </w:r>
      <w:r w:rsidRPr="00BB11AF">
        <w:t>cès de l'idée de décroissance dépendra sans doute, au moins en partie, de la capacité de ceux qui la soutiennent à dépasser ou assumer une telle hétérogénéité.</w:t>
      </w:r>
    </w:p>
    <w:p w:rsidR="003A3061" w:rsidRPr="00BB11AF" w:rsidRDefault="003A3061" w:rsidP="003A3061">
      <w:pPr>
        <w:spacing w:before="120" w:after="120"/>
        <w:jc w:val="both"/>
      </w:pPr>
      <w:r w:rsidRPr="00BB11AF">
        <w:t>[220]</w:t>
      </w:r>
    </w:p>
    <w:p w:rsidR="003A3061" w:rsidRPr="00BB11AF" w:rsidRDefault="003A3061" w:rsidP="003A3061">
      <w:pPr>
        <w:spacing w:before="120" w:after="120"/>
        <w:jc w:val="both"/>
      </w:pPr>
    </w:p>
    <w:p w:rsidR="003A3061" w:rsidRPr="00BB11AF" w:rsidRDefault="003A3061" w:rsidP="003A3061">
      <w:pPr>
        <w:pStyle w:val="planche"/>
      </w:pPr>
      <w:r w:rsidRPr="00BB11AF">
        <w:t>Pourquoi faire « objection de croissance » ?</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La critique écologique, inspirée au départ d'auteurs tels que Cha</w:t>
      </w:r>
      <w:r w:rsidRPr="00BB11AF">
        <w:t>r</w:t>
      </w:r>
      <w:r w:rsidRPr="00BB11AF">
        <w:t>bo</w:t>
      </w:r>
      <w:r w:rsidRPr="00BB11AF">
        <w:t>n</w:t>
      </w:r>
      <w:r w:rsidRPr="00BB11AF">
        <w:t>neau, Gorz ou Georgescu-Roegen, constitue bien entendu l'un des éléments clefs de l'argumentaire décroissanciste. Dans son principe, elle consiste à rappeler qu'une croissance économique infinie dans un monde fini est impossible. On peut certes trouver ou inventer des substituts à nombre de « ressources naturelles », mais pas à toutes. Par quoi remplacer de l'eau buvable, de l'air respirable, de la terre fertile, demandent les objecteurs de croissance ?</w:t>
      </w:r>
    </w:p>
    <w:p w:rsidR="003A3061" w:rsidRPr="00BB11AF" w:rsidRDefault="003A3061" w:rsidP="003A3061">
      <w:pPr>
        <w:spacing w:before="120" w:after="120"/>
        <w:jc w:val="both"/>
      </w:pPr>
      <w:r w:rsidRPr="00BB11AF">
        <w:t>Contre ceux qui font valoir que nos économies tendent à se dém</w:t>
      </w:r>
      <w:r w:rsidRPr="00BB11AF">
        <w:t>a</w:t>
      </w:r>
      <w:r w:rsidRPr="00BB11AF">
        <w:t>térialiser, donc à réduire leur impact écologique, cette critique soul</w:t>
      </w:r>
      <w:r w:rsidRPr="00BB11AF">
        <w:t>i</w:t>
      </w:r>
      <w:r w:rsidRPr="00BB11AF">
        <w:t>gne également que les activités de service n'ont pas remplacé les act</w:t>
      </w:r>
      <w:r w:rsidRPr="00BB11AF">
        <w:t>i</w:t>
      </w:r>
      <w:r w:rsidRPr="00BB11AF">
        <w:t>vités industrielles. Elles s'y sont ajoutées, ces dernières ayant été si</w:t>
      </w:r>
      <w:r w:rsidRPr="00BB11AF">
        <w:t>m</w:t>
      </w:r>
      <w:r w:rsidRPr="00BB11AF">
        <w:t>plement délocalisées dans des contrées lointaines. En outre, l'écon</w:t>
      </w:r>
      <w:r w:rsidRPr="00BB11AF">
        <w:t>o</w:t>
      </w:r>
      <w:r w:rsidRPr="00BB11AF">
        <w:t>mie du savoir fonctionne sur la base d'infrastructures matérielles so</w:t>
      </w:r>
      <w:r w:rsidRPr="00BB11AF">
        <w:t>u</w:t>
      </w:r>
      <w:r w:rsidRPr="00BB11AF">
        <w:t>vent très lourdes, consommant notamment beaucoup d'énergie (par exe</w:t>
      </w:r>
      <w:r w:rsidRPr="00BB11AF">
        <w:t>m</w:t>
      </w:r>
      <w:r w:rsidRPr="00BB11AF">
        <w:t>ple les serveurs qui permettent à Google de fonctionner par exemple). Plus fondamentalement encore, la notion de marchandise immatérielle est un non-sens. Au minimum, les services sont assurés par des h</w:t>
      </w:r>
      <w:r w:rsidRPr="00BB11AF">
        <w:t>u</w:t>
      </w:r>
      <w:r w:rsidRPr="00BB11AF">
        <w:t>mains qui doivent se nourrir, se vêtir, se loger, être éduqués, soignés, etc. Quant aux idées, elles ne peuvent devenir marchandises sans être « matérialisées » d'une façon (livres, fichiers numériques, etc.) ou d'une autre (orateur humain !). La croissance économique suppose donc forcément la croissance de la consommation de ressou</w:t>
      </w:r>
      <w:r w:rsidRPr="00BB11AF">
        <w:t>r</w:t>
      </w:r>
      <w:r w:rsidRPr="00BB11AF">
        <w:t>ces mat</w:t>
      </w:r>
      <w:r w:rsidRPr="00BB11AF">
        <w:t>é</w:t>
      </w:r>
      <w:r w:rsidRPr="00BB11AF">
        <w:t>rielles. Un découplage absolu entre ces deux phénomènes n'est pas possible (Jackson 2010).</w:t>
      </w:r>
    </w:p>
    <w:p w:rsidR="003A3061" w:rsidRPr="00BB11AF" w:rsidRDefault="003A3061" w:rsidP="003A3061">
      <w:pPr>
        <w:spacing w:before="120" w:after="120"/>
        <w:jc w:val="both"/>
      </w:pPr>
      <w:r w:rsidRPr="00BB11AF">
        <w:t>Par ailleurs, la critique écologique conteste les espoirs qui sont pl</w:t>
      </w:r>
      <w:r w:rsidRPr="00BB11AF">
        <w:t>a</w:t>
      </w:r>
      <w:r w:rsidRPr="00BB11AF">
        <w:t>cés dans le développement de technologies moins gourmandes en « re</w:t>
      </w:r>
      <w:r w:rsidRPr="00BB11AF">
        <w:t>s</w:t>
      </w:r>
      <w:r w:rsidRPr="00BB11AF">
        <w:t>sources naturelles » et les efforts en matière d'« éco-efficience ». Dans une société de croissance, tout moyen d'économiser de l'énergie ou des ressources, va en fait favoriser la consommation d'énergie ou de ressources-nos voitures consomment moins d'essence, ce qui nous permet de faire plus de kilomètres. C'est le principe de « l'effet r</w:t>
      </w:r>
      <w:r w:rsidRPr="00BB11AF">
        <w:t>e</w:t>
      </w:r>
      <w:r w:rsidRPr="00BB11AF">
        <w:t>bond » ; un effet repéré par l'économiste Stanley Jevons dès la fin du XIX</w:t>
      </w:r>
      <w:r w:rsidRPr="00BB11AF">
        <w:rPr>
          <w:vertAlign w:val="superscript"/>
        </w:rPr>
        <w:t>e</w:t>
      </w:r>
      <w:r w:rsidRPr="00BB11AF">
        <w:t xml:space="preserve"> siècle et dont les objecteurs de croissance ne cesse de rappeler l'existence (Schneider 2003).</w:t>
      </w:r>
    </w:p>
    <w:p w:rsidR="003A3061" w:rsidRPr="00BB11AF" w:rsidRDefault="003A3061" w:rsidP="003A3061">
      <w:pPr>
        <w:spacing w:before="120" w:after="120"/>
        <w:jc w:val="both"/>
      </w:pPr>
      <w:r w:rsidRPr="00BB11AF">
        <w:t>Enfin, ceux-ci dénoncent le caractère inapplicable du principe de l'internalisation des externalités ou du pollueur/utilisateur-payeur. Mis en œuvre de manière rigoureuse, c'est-à-dire dans l'intention ferme de réduire la consommation de ressources naturelles et la production de déchets, ce principe devrait avoir des effets récessifs sur l'économie. Autrement dit, il risque de conduire à la décroissance, mais à une d</w:t>
      </w:r>
      <w:r w:rsidRPr="00BB11AF">
        <w:t>é</w:t>
      </w:r>
      <w:r w:rsidRPr="00BB11AF">
        <w:t>croissance forcée, ce qui est toujours dramatique dans une société de croissance. C'est</w:t>
      </w:r>
      <w:r>
        <w:t xml:space="preserve"> </w:t>
      </w:r>
      <w:r w:rsidRPr="00BB11AF">
        <w:t>[221]</w:t>
      </w:r>
      <w:r>
        <w:t xml:space="preserve"> </w:t>
      </w:r>
      <w:r w:rsidRPr="00BB11AF">
        <w:t>pourquoi ce principe a toutes les chances de n'être jamais vraiment appliqué dans le contexte actuel. Daniel Tanuro (2012 : 96) en fournit l'explication suivante au sujet des projets de taxe carbone :</w:t>
      </w:r>
    </w:p>
    <w:p w:rsidR="003A3061" w:rsidRDefault="003A3061" w:rsidP="003A3061">
      <w:pPr>
        <w:pStyle w:val="Grillecouleur-Accent1"/>
      </w:pPr>
    </w:p>
    <w:p w:rsidR="003A3061" w:rsidRDefault="003A3061" w:rsidP="003A3061">
      <w:pPr>
        <w:pStyle w:val="Grillecouleur-Accent1"/>
      </w:pPr>
      <w:r w:rsidRPr="00BB11AF">
        <w:t>Ici, on touche du doigt une des contradictions inextricables dans le</w:t>
      </w:r>
      <w:r w:rsidRPr="00BB11AF">
        <w:t>s</w:t>
      </w:r>
      <w:r w:rsidRPr="00BB11AF">
        <w:t>quelles se débattent les théoriciens de l'« internalisation des exte</w:t>
      </w:r>
      <w:r w:rsidRPr="00BB11AF">
        <w:t>r</w:t>
      </w:r>
      <w:r w:rsidRPr="00BB11AF">
        <w:t>nalités » : d'un côté, l'efficacité environnementale commanderait d'adopter très vite un prix très élevé du carbone, afin de pénaliser les fossiles pour maximiser le potentiel économique des renouvelables ; mais, de l'autre, tout surcoût est considéré comme une atteinte à la compétitivité des entreprises... qui utilisent en majorité des combustibles fossiles. En bonne logique capitali</w:t>
      </w:r>
      <w:r w:rsidRPr="00BB11AF">
        <w:t>s</w:t>
      </w:r>
      <w:r w:rsidRPr="00BB11AF">
        <w:t>te, la charge pourrait certes être transférée sur le monde du travail, mais il faudrait pour cela écr</w:t>
      </w:r>
      <w:r w:rsidRPr="00BB11AF">
        <w:t>a</w:t>
      </w:r>
      <w:r w:rsidRPr="00BB11AF">
        <w:t>ser les résistances sociales. Même dans ce cas, les entreprises ne s</w:t>
      </w:r>
      <w:r w:rsidRPr="00BB11AF">
        <w:t>e</w:t>
      </w:r>
      <w:r w:rsidRPr="00BB11AF">
        <w:t>raient pas tirées d'affaire, car l'asphyxie de la demande étoufferait l'économie.</w:t>
      </w:r>
    </w:p>
    <w:p w:rsidR="003A3061" w:rsidRPr="00BB11AF" w:rsidRDefault="003A3061" w:rsidP="003A3061">
      <w:pPr>
        <w:pStyle w:val="Grillecouleur-Accent1"/>
      </w:pPr>
    </w:p>
    <w:p w:rsidR="003A3061" w:rsidRPr="00BB11AF" w:rsidRDefault="003A3061" w:rsidP="003A3061">
      <w:pPr>
        <w:spacing w:before="120" w:after="120"/>
        <w:jc w:val="both"/>
      </w:pPr>
      <w:r w:rsidRPr="00BB11AF">
        <w:t>Le discours « décroissanciste » ne se réduit pas cependant à soul</w:t>
      </w:r>
      <w:r w:rsidRPr="00BB11AF">
        <w:t>i</w:t>
      </w:r>
      <w:r w:rsidRPr="00BB11AF">
        <w:t>gner les limites écologiques de la croissance économique. Comme le répète à l'envi l'un de ses principaux partisans : « Même si une croi</w:t>
      </w:r>
      <w:r w:rsidRPr="00BB11AF">
        <w:t>s</w:t>
      </w:r>
      <w:r w:rsidRPr="00BB11AF">
        <w:t>sance infinie était possible, surtout si elle était possible, ce serait déjà une bonne raison de la refuser pour rester des humains » (Ariès 2008)</w:t>
      </w:r>
      <w:r>
        <w:t> </w:t>
      </w:r>
      <w:r>
        <w:rPr>
          <w:rStyle w:val="Appelnotedebasdep"/>
        </w:rPr>
        <w:footnoteReference w:id="138"/>
      </w:r>
      <w:r w:rsidRPr="00BB11AF">
        <w:t>.</w:t>
      </w:r>
    </w:p>
    <w:p w:rsidR="003A3061" w:rsidRPr="00BB11AF" w:rsidRDefault="003A3061" w:rsidP="003A3061">
      <w:pPr>
        <w:spacing w:before="120" w:after="120"/>
        <w:jc w:val="both"/>
      </w:pPr>
      <w:r w:rsidRPr="00BB11AF">
        <w:t>Pour les objecteurs de croissance, celle-ci en effet n'est pas seul</w:t>
      </w:r>
      <w:r w:rsidRPr="00BB11AF">
        <w:t>e</w:t>
      </w:r>
      <w:r w:rsidRPr="00BB11AF">
        <w:t>ment destructrice de la biosphère, notre unique habitat. Dans la mes</w:t>
      </w:r>
      <w:r w:rsidRPr="00BB11AF">
        <w:t>u</w:t>
      </w:r>
      <w:r w:rsidRPr="00BB11AF">
        <w:t>re où elle nous place tous en concurrence les uns contre les autres, ce</w:t>
      </w:r>
      <w:r w:rsidRPr="00BB11AF">
        <w:t>t</w:t>
      </w:r>
      <w:r w:rsidRPr="00BB11AF">
        <w:t>te course, affirment-ils, est aussi épuisante pour nos sociétés, dont elle ne cesse de fragiliser la cohésion. À cette critique sociologique, insp</w:t>
      </w:r>
      <w:r w:rsidRPr="00BB11AF">
        <w:t>i</w:t>
      </w:r>
      <w:r w:rsidRPr="00BB11AF">
        <w:t>rée parfois de travaux contemporains tels que ceux de Michel Freitag (2002) au Québec ou de Jacques Généreux (2008) en France, s'ajoute une critique d'ordre psychologique : la course à la croissance est ég</w:t>
      </w:r>
      <w:r w:rsidRPr="00BB11AF">
        <w:t>a</w:t>
      </w:r>
      <w:r w:rsidRPr="00BB11AF">
        <w:t>lement jugée épuisante pour nous tous qui sommes forcés de produire (ou contribuer à produire) des marchandises que d'autres voudront bien acheter, sous peine de perdre tout moyen d'existence et de rester sur la touche. Pour les décroissants, les actuelles épidémies de stress au travail, de burn-out et de dépressions, sont symptom</w:t>
      </w:r>
      <w:r w:rsidRPr="00BB11AF">
        <w:t>a</w:t>
      </w:r>
      <w:r w:rsidRPr="00BB11AF">
        <w:t>tiques de cet épuisement.</w:t>
      </w:r>
    </w:p>
    <w:p w:rsidR="003A3061" w:rsidRPr="00BB11AF" w:rsidRDefault="003A3061" w:rsidP="003A3061">
      <w:pPr>
        <w:spacing w:before="120" w:after="120"/>
        <w:jc w:val="both"/>
      </w:pPr>
      <w:r w:rsidRPr="00BB11AF">
        <w:t>Par ailleurs, la croissance est accusée d'être un facteur d'injustices. La critique est triple en fait. Premièrement, cette course à la produ</w:t>
      </w:r>
      <w:r w:rsidRPr="00BB11AF">
        <w:t>c</w:t>
      </w:r>
      <w:r w:rsidRPr="00BB11AF">
        <w:t>tion de marchandises est qualifiée d'inégale, ne favorisant qu'une m</w:t>
      </w:r>
      <w:r w:rsidRPr="00BB11AF">
        <w:t>i</w:t>
      </w:r>
      <w:r w:rsidRPr="00BB11AF">
        <w:t>norité aux dépens de la majorité, que ce soit au sein de nos sociétés ou dans les rapports Nord-Sud (voir notamment les travaux de Juan Ma</w:t>
      </w:r>
      <w:r w:rsidRPr="00BB11AF">
        <w:t>r</w:t>
      </w:r>
      <w:r w:rsidRPr="00BB11AF">
        <w:t>tinez Alier (2011) sur la justice environnementale). Deuxièmement, la de</w:t>
      </w:r>
      <w:r w:rsidRPr="00BB11AF">
        <w:t>s</w:t>
      </w:r>
      <w:r w:rsidRPr="00BB11AF">
        <w:t>truction de la biosphère que suppose la croissance est considérée comme injuste vis-à-vis des générations futures, puisqu'elle fragilise leurs conditions d'existence. Troisièmement, pour certains décroi</w:t>
      </w:r>
      <w:r w:rsidRPr="00BB11AF">
        <w:t>s</w:t>
      </w:r>
      <w:r w:rsidRPr="00BB11AF">
        <w:t>sants au moins, il y a aussi injustice à l'égard des êtres vivants non humains (les animaux en particulier) dont les possibilités d'existence déclinent à mesure que</w:t>
      </w:r>
      <w:r>
        <w:t xml:space="preserve"> </w:t>
      </w:r>
      <w:r w:rsidRPr="00BB11AF">
        <w:t>[222]</w:t>
      </w:r>
      <w:r>
        <w:t xml:space="preserve"> </w:t>
      </w:r>
      <w:r w:rsidRPr="00BB11AF">
        <w:t>l'espèce humaine occupe plus de place sur la planète et dégrade « l'e</w:t>
      </w:r>
      <w:r w:rsidRPr="00BB11AF">
        <w:t>n</w:t>
      </w:r>
      <w:r w:rsidRPr="00BB11AF">
        <w:t>vironnement », deux conséquences de la croissance économique.</w:t>
      </w:r>
    </w:p>
    <w:p w:rsidR="003A3061" w:rsidRPr="00BB11AF" w:rsidRDefault="003A3061" w:rsidP="003A3061">
      <w:pPr>
        <w:spacing w:before="120" w:after="120"/>
        <w:jc w:val="both"/>
      </w:pPr>
      <w:r w:rsidRPr="00BB11AF">
        <w:t>Enfin, une dernière série de critiques consiste à dénoncer le cara</w:t>
      </w:r>
      <w:r w:rsidRPr="00BB11AF">
        <w:t>c</w:t>
      </w:r>
      <w:r w:rsidRPr="00BB11AF">
        <w:t>tère aliénant de la croissance. D'une part, accusent les « décroissants », parce qu'elle est fondée sur le progrès technoscient</w:t>
      </w:r>
      <w:r w:rsidRPr="00BB11AF">
        <w:t>i</w:t>
      </w:r>
      <w:r w:rsidRPr="00BB11AF">
        <w:t>fique, cette course nous rend toujours plus dépendants de la technique et toujours plus soumis aux machines - on peut choisir sa marque de voiture, mais on n'a pas le choix de vivre sans voiture. C'est ce qu'lvan Illich app</w:t>
      </w:r>
      <w:r w:rsidRPr="00BB11AF">
        <w:t>e</w:t>
      </w:r>
      <w:r w:rsidRPr="00BB11AF">
        <w:t>lait le « monopole radical », situation dans laquelle un outil ou une techn</w:t>
      </w:r>
      <w:r w:rsidRPr="00BB11AF">
        <w:t>i</w:t>
      </w:r>
      <w:r w:rsidRPr="00BB11AF">
        <w:t>que industrielle devient incontournable et finit ainsi par réduire notre autonomie (Illich 2003). Cette critique de la techno</w:t>
      </w:r>
      <w:r w:rsidRPr="00BB11AF">
        <w:t>s</w:t>
      </w:r>
      <w:r w:rsidRPr="00BB11AF">
        <w:t>cience est égal</w:t>
      </w:r>
      <w:r w:rsidRPr="00BB11AF">
        <w:t>e</w:t>
      </w:r>
      <w:r w:rsidRPr="00BB11AF">
        <w:t>ment inspirée des travaux de Gunther Anders (2002), Jacques Ellul (2004) ou encore Alain Gras (2003), pour citer un auteur plus récent et lui-même partisan de la décroissance.</w:t>
      </w:r>
    </w:p>
    <w:p w:rsidR="003A3061" w:rsidRPr="00BB11AF" w:rsidRDefault="003A3061" w:rsidP="003A3061">
      <w:pPr>
        <w:spacing w:before="120" w:after="120"/>
        <w:jc w:val="both"/>
      </w:pPr>
      <w:r w:rsidRPr="00BB11AF">
        <w:t>D'autre part, remarquent les objecteurs de croissance, il n'est pas po</w:t>
      </w:r>
      <w:r w:rsidRPr="00BB11AF">
        <w:t>s</w:t>
      </w:r>
      <w:r w:rsidRPr="00BB11AF">
        <w:t>sible de refuser de contribuer à la production de marchandises, sous peine d'être marginalisé ou condamné à des rapports de dépe</w:t>
      </w:r>
      <w:r w:rsidRPr="00BB11AF">
        <w:t>n</w:t>
      </w:r>
      <w:r w:rsidRPr="00BB11AF">
        <w:t>dance très contraignants. « La loi de la valeur », comme disait Marx, s'impose à tous, aux « bourgeois » comme aux « prolétaires ». Impo</w:t>
      </w:r>
      <w:r w:rsidRPr="00BB11AF">
        <w:t>s</w:t>
      </w:r>
      <w:r w:rsidRPr="00BB11AF">
        <w:t>sible de s'y soustraire, comme l'explique dans le passage suivant A</w:t>
      </w:r>
      <w:r w:rsidRPr="00BB11AF">
        <w:t>n</w:t>
      </w:r>
      <w:r w:rsidRPr="00BB11AF">
        <w:t>dré Gorz, autre inspirateur important de la décroissance :</w:t>
      </w:r>
    </w:p>
    <w:p w:rsidR="003A3061" w:rsidRDefault="003A3061" w:rsidP="003A3061">
      <w:pPr>
        <w:pStyle w:val="Grillecouleur-Accent1"/>
      </w:pPr>
    </w:p>
    <w:p w:rsidR="003A3061" w:rsidRDefault="003A3061" w:rsidP="003A3061">
      <w:pPr>
        <w:pStyle w:val="Grillecouleur-Accent1"/>
      </w:pPr>
      <w:r w:rsidRPr="00BB11AF">
        <w:t>Pour pouvoir vendre notre travail, nous avons intériorisé la logique propre au capitalisme : pour celui-ci, ce qui est produit importe pour cela seulement que cela rapporte ; pour nous, en tant que vendeurs de notre tr</w:t>
      </w:r>
      <w:r w:rsidRPr="00BB11AF">
        <w:t>a</w:t>
      </w:r>
      <w:r w:rsidRPr="00BB11AF">
        <w:t>vail, ce qui est produit importe pour autant seulement que cela crée de l'emploi et distribue du salaire. Une complicité structurelle lie le travai</w:t>
      </w:r>
      <w:r w:rsidRPr="00BB11AF">
        <w:t>l</w:t>
      </w:r>
      <w:r w:rsidRPr="00BB11AF">
        <w:t>leur et le capital : pour l'un et pour l'autre, le but déterminant est de « gagner de l'argent », le plus d'argent possible. L'un et l'autre tiennent la « croissance » pour un moyen indispensable d'y parvenir. L'un et l'autre sont assujettis à la contrainte immanente du « toujours plus », « toujours plus vite » (Gorz 2008 : 115).</w:t>
      </w:r>
    </w:p>
    <w:p w:rsidR="003A3061" w:rsidRPr="00BB11AF" w:rsidRDefault="003A3061" w:rsidP="003A3061">
      <w:pPr>
        <w:pStyle w:val="Grillecouleur-Accent1"/>
      </w:pPr>
    </w:p>
    <w:p w:rsidR="003A3061" w:rsidRPr="00BB11AF" w:rsidRDefault="003A3061" w:rsidP="003A3061">
      <w:pPr>
        <w:spacing w:before="120" w:after="120"/>
        <w:jc w:val="both"/>
      </w:pPr>
      <w:r w:rsidRPr="00BB11AF">
        <w:t>Destructrice, injuste et aliénante : telles sont donc, en résumé, les accusations portées contre la croissance par les partisans d'une d</w:t>
      </w:r>
      <w:r w:rsidRPr="00BB11AF">
        <w:t>é</w:t>
      </w:r>
      <w:r w:rsidRPr="00BB11AF">
        <w:t>croissance soutenable. On notera que ces critiques se fondent, en pa</w:t>
      </w:r>
      <w:r w:rsidRPr="00BB11AF">
        <w:t>r</w:t>
      </w:r>
      <w:r w:rsidRPr="00BB11AF">
        <w:t>tie, sur les deux valeurs essentielles de la modernité occidentale : l'égalité et la liberté. Simplement, le souci d'égalité qui anime les o</w:t>
      </w:r>
      <w:r w:rsidRPr="00BB11AF">
        <w:t>b</w:t>
      </w:r>
      <w:r w:rsidRPr="00BB11AF">
        <w:t>jecteurs de croissance ne vise pas seulement les générations actuelles d'êtres h</w:t>
      </w:r>
      <w:r w:rsidRPr="00BB11AF">
        <w:t>u</w:t>
      </w:r>
      <w:r w:rsidRPr="00BB11AF">
        <w:t>mains. Il est étendu aux générations futures et aux autres êtres vivants, aux animaux en particulier. Par ailleurs, la liberté que défendent les partisans de la décroissance n'a rien à voir avec l'égoï</w:t>
      </w:r>
      <w:r w:rsidRPr="00BB11AF">
        <w:t>s</w:t>
      </w:r>
      <w:r w:rsidRPr="00BB11AF">
        <w:t>me que prônent les tenants du libéralisme économique. Il s'agit de la possibilité de se donner, collectivement, ses propres normes, ses pr</w:t>
      </w:r>
      <w:r w:rsidRPr="00BB11AF">
        <w:t>o</w:t>
      </w:r>
      <w:r w:rsidRPr="00BB11AF">
        <w:t>pres lois. À ces deux valeurs classiques s'en ajoute donc une troisi</w:t>
      </w:r>
      <w:r w:rsidRPr="00BB11AF">
        <w:t>è</w:t>
      </w:r>
      <w:r w:rsidRPr="00BB11AF">
        <w:t>me, plus récente celle-là : le souci de conserver le monde,</w:t>
      </w:r>
      <w:r>
        <w:t xml:space="preserve"> </w:t>
      </w:r>
      <w:r w:rsidRPr="00BB11AF">
        <w:t>[223]</w:t>
      </w:r>
      <w:r>
        <w:t xml:space="preserve"> </w:t>
      </w:r>
      <w:r w:rsidRPr="00BB11AF">
        <w:t>« l'amour du monde », comme disait Michel Freitag, qui présupp</w:t>
      </w:r>
      <w:r w:rsidRPr="00BB11AF">
        <w:t>o</w:t>
      </w:r>
      <w:r w:rsidRPr="00BB11AF">
        <w:t>se de remettre en question l'anthropocentrisme caractéristique de la m</w:t>
      </w:r>
      <w:r w:rsidRPr="00BB11AF">
        <w:t>o</w:t>
      </w:r>
      <w:r w:rsidRPr="00BB11AF">
        <w:t>dernité occidentale.</w:t>
      </w:r>
    </w:p>
    <w:p w:rsidR="003A3061" w:rsidRPr="00BB11AF" w:rsidRDefault="003A3061" w:rsidP="003A3061">
      <w:pPr>
        <w:spacing w:before="120" w:after="120"/>
        <w:jc w:val="both"/>
      </w:pPr>
    </w:p>
    <w:p w:rsidR="003A3061" w:rsidRPr="00BB11AF" w:rsidRDefault="003A3061" w:rsidP="003A3061">
      <w:pPr>
        <w:pStyle w:val="planche"/>
      </w:pPr>
      <w:r w:rsidRPr="00BB11AF">
        <w:t>Quelle transition</w:t>
      </w:r>
      <w:r>
        <w:br/>
      </w:r>
      <w:r w:rsidRPr="00BB11AF">
        <w:t>vers une société post-croissance ?</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Les objecteurs de croissance sont régulièrement accusés d'utopi</w:t>
      </w:r>
      <w:r w:rsidRPr="00BB11AF">
        <w:t>s</w:t>
      </w:r>
      <w:r w:rsidRPr="00BB11AF">
        <w:t>me. L'un des arguments les plus fréquents qui leur est opposé peut être formulé comme suit : il est dans la nature de l'être humain que de chercher perpétuellement à améliorer son sort, notamment sur le plan matériel ; la croissance économique est donc un phénomène naturel. Par conséquent, si l'espèce humaine est vraiment en train de détruire la planète, si nous sommes bel et bien entrés dans l'« anthropocène »</w:t>
      </w:r>
      <w:r>
        <w:t> </w:t>
      </w:r>
      <w:r>
        <w:rPr>
          <w:rStyle w:val="Appelnotedebasdep"/>
        </w:rPr>
        <w:footnoteReference w:id="139"/>
      </w:r>
      <w:r w:rsidRPr="00BB11AF">
        <w:t>, il faut réduire le nombre d'humains sur Terre. C'est la seule m</w:t>
      </w:r>
      <w:r w:rsidRPr="00BB11AF">
        <w:t>a</w:t>
      </w:r>
      <w:r w:rsidRPr="00BB11AF">
        <w:t>nière de régler la question écologique.</w:t>
      </w:r>
    </w:p>
    <w:p w:rsidR="003A3061" w:rsidRPr="00BB11AF" w:rsidRDefault="003A3061" w:rsidP="003A3061">
      <w:pPr>
        <w:spacing w:before="120" w:after="120"/>
        <w:jc w:val="both"/>
      </w:pPr>
      <w:r w:rsidRPr="00BB11AF">
        <w:t>À l'accusation d'utopisme, les décroissants ont coutume de répo</w:t>
      </w:r>
      <w:r w:rsidRPr="00BB11AF">
        <w:t>n</w:t>
      </w:r>
      <w:r w:rsidRPr="00BB11AF">
        <w:t>dre que l'utopie est de penser qu'une croissance infinie dans un monde fini est possible. Sans nier les problèmes graves que pose l'actuelle croi</w:t>
      </w:r>
      <w:r w:rsidRPr="00BB11AF">
        <w:t>s</w:t>
      </w:r>
      <w:r w:rsidRPr="00BB11AF">
        <w:t>sance démographique, notamment sur un plan écologique et sur un plan éthique (vis-à-vis des autres êtres vivants), ils s'accordent g</w:t>
      </w:r>
      <w:r w:rsidRPr="00BB11AF">
        <w:t>é</w:t>
      </w:r>
      <w:r w:rsidRPr="00BB11AF">
        <w:t>nér</w:t>
      </w:r>
      <w:r w:rsidRPr="00BB11AF">
        <w:t>a</w:t>
      </w:r>
      <w:r w:rsidRPr="00BB11AF">
        <w:t>lement pour dire que ce n'est pas notre nombre qui constitue la menace essentielle pour l'avenir de l'humanité. « Il n'y a pas trop d'h</w:t>
      </w:r>
      <w:r w:rsidRPr="00BB11AF">
        <w:t>u</w:t>
      </w:r>
      <w:r w:rsidRPr="00BB11AF">
        <w:t>mains sur terre, il y a trop de voitures », comme le disent certain, m</w:t>
      </w:r>
      <w:r w:rsidRPr="00BB11AF">
        <w:t>a</w:t>
      </w:r>
      <w:r w:rsidRPr="00BB11AF">
        <w:t>nière de mettre en cause avant tout un certain mode de vie, et au-delà un mod</w:t>
      </w:r>
      <w:r w:rsidRPr="00BB11AF">
        <w:t>è</w:t>
      </w:r>
      <w:r w:rsidRPr="00BB11AF">
        <w:t>le de société, dont la forte croissance démographique n'est jamais qu'un effet. Selon eux, les humains ne sont pas naturell</w:t>
      </w:r>
      <w:r w:rsidRPr="00BB11AF">
        <w:t>e</w:t>
      </w:r>
      <w:r w:rsidRPr="00BB11AF">
        <w:t>ment ces égoïstes aux besoins infinis que nous avons tendance à être. Ce co</w:t>
      </w:r>
      <w:r w:rsidRPr="00BB11AF">
        <w:t>m</w:t>
      </w:r>
      <w:r w:rsidRPr="00BB11AF">
        <w:t>portement est la conséquence du capitalisme, pas sa cause.</w:t>
      </w:r>
    </w:p>
    <w:p w:rsidR="003A3061" w:rsidRPr="00BB11AF" w:rsidRDefault="003A3061" w:rsidP="003A3061">
      <w:pPr>
        <w:spacing w:before="120" w:after="120"/>
        <w:jc w:val="both"/>
      </w:pPr>
      <w:r w:rsidRPr="00BB11AF">
        <w:t>Une part au moins des objecteurs de croissance s'entendent sur la n</w:t>
      </w:r>
      <w:r w:rsidRPr="00BB11AF">
        <w:t>é</w:t>
      </w:r>
      <w:r w:rsidRPr="00BB11AF">
        <w:t>cessité de mettre un terme à l'augmentation du nombre d'humains sur Terre, à condition toutefois que cela ne se fasse pas de manière autoritaire, mais plutôt en garantissant aux femmes le contrôle vérit</w:t>
      </w:r>
      <w:r w:rsidRPr="00BB11AF">
        <w:t>a</w:t>
      </w:r>
      <w:r w:rsidRPr="00BB11AF">
        <w:t>ble de leur capacité de reproduction. Tous cependant soulignent que l'esse</w:t>
      </w:r>
      <w:r w:rsidRPr="00BB11AF">
        <w:t>n</w:t>
      </w:r>
      <w:r w:rsidRPr="00BB11AF">
        <w:t>tiel n'est pas là : il faut surtout rompre avec notre mode de vie et le modèle de société qui le rend nécessaire. Dans cette perspective, la première exigence à satisfaire est la « décolonisation de notre im</w:t>
      </w:r>
      <w:r w:rsidRPr="00BB11AF">
        <w:t>a</w:t>
      </w:r>
      <w:r w:rsidRPr="00BB11AF">
        <w:t>ginaire », selon une expression chère à Serge Latouche. Autrement dit, il s'agit avant tout de réussir à se libérer de l'idée selon laquelle la croissance économique est une nécessité. C'est la raison pour laquelle les objecteurs de croissance continuent à utiliser le mot « décroi</w:t>
      </w:r>
      <w:r w:rsidRPr="00BB11AF">
        <w:t>s</w:t>
      </w:r>
      <w:r w:rsidRPr="00BB11AF">
        <w:t>sance », qui heurte l'imaginaire occidental, au contraire de la notion de « développement durable ».</w:t>
      </w:r>
    </w:p>
    <w:p w:rsidR="003A3061" w:rsidRPr="00BB11AF" w:rsidRDefault="003A3061" w:rsidP="003A3061">
      <w:pPr>
        <w:spacing w:before="120" w:after="120"/>
        <w:jc w:val="both"/>
      </w:pPr>
      <w:r w:rsidRPr="00BB11AF">
        <w:t>Outre l'idée de « croissance », le travail de décolonisation qu'appe</w:t>
      </w:r>
      <w:r w:rsidRPr="00BB11AF">
        <w:t>l</w:t>
      </w:r>
      <w:r w:rsidRPr="00BB11AF">
        <w:t>lent de leurs vœux les décroissants doit porter sur d'autres évidences constitutives de la vision du monde propre à l'Occident moderne : n</w:t>
      </w:r>
      <w:r w:rsidRPr="00BB11AF">
        <w:t>o</w:t>
      </w:r>
      <w:r w:rsidRPr="00BB11AF">
        <w:t>tre progressisme, notre anthropocentrisme, notre économisme, notre nat</w:t>
      </w:r>
      <w:r w:rsidRPr="00BB11AF">
        <w:t>u</w:t>
      </w:r>
      <w:r w:rsidRPr="00BB11AF">
        <w:t>ralisme, etc.</w:t>
      </w:r>
    </w:p>
    <w:p w:rsidR="003A3061" w:rsidRPr="00BB11AF" w:rsidRDefault="003A3061" w:rsidP="003A3061">
      <w:pPr>
        <w:spacing w:before="120" w:after="120"/>
        <w:jc w:val="both"/>
      </w:pPr>
      <w:r w:rsidRPr="00BB11AF">
        <w:t>[224]</w:t>
      </w:r>
    </w:p>
    <w:p w:rsidR="003A3061" w:rsidRPr="00BB11AF" w:rsidRDefault="003A3061" w:rsidP="003A3061">
      <w:pPr>
        <w:spacing w:before="120" w:after="120"/>
        <w:jc w:val="both"/>
      </w:pPr>
      <w:r w:rsidRPr="00BB11AF">
        <w:t>Pour questionner ces évidences, les théoriciens de la décroissance pratiquent fréquemment ce que Louis Dumont appelait le « détour a</w:t>
      </w:r>
      <w:r w:rsidRPr="00BB11AF">
        <w:t>n</w:t>
      </w:r>
      <w:r w:rsidRPr="00BB11AF">
        <w:t>thropologique », c'est-à-dire la mise en contraste de notre monde avec d'autres mondes humains, non pas en l'occurrence pour les prendre en modèles, mais pour « dénaturaliser » le nôtre. La littérature décroi</w:t>
      </w:r>
      <w:r w:rsidRPr="00BB11AF">
        <w:t>s</w:t>
      </w:r>
      <w:r w:rsidRPr="00BB11AF">
        <w:t>sanciste s'appuie ainsi régulièrement sur des travaux d'anthropologues, provenant en particulier du champ de l'anthropologie économique : Karl Polanyi (1983), Louis Dumont (1985), Pierre Clastres (1974), Marshall Sahlins (1976, 2009) ou plus récemment Philippe Descola (2005).</w:t>
      </w:r>
    </w:p>
    <w:p w:rsidR="003A3061" w:rsidRPr="00BB11AF" w:rsidRDefault="003A3061" w:rsidP="003A3061">
      <w:pPr>
        <w:spacing w:before="120" w:after="120"/>
        <w:jc w:val="both"/>
      </w:pPr>
      <w:r w:rsidRPr="00BB11AF">
        <w:t>Cela dit, même ceux qui soulignement la dimension culturelle de notre croissancisme ne considèrent pas que la transition se jouera un</w:t>
      </w:r>
      <w:r w:rsidRPr="00BB11AF">
        <w:t>i</w:t>
      </w:r>
      <w:r w:rsidRPr="00BB11AF">
        <w:t>quement « dans nos têtes », quoiqu'en disent certains critiques (Jappe 2011). Pour la plupart des objecteurs de croissance, il s'agit de rompre concrètement avec une forme de vie sociale bien réelle : le capitali</w:t>
      </w:r>
      <w:r w:rsidRPr="00BB11AF">
        <w:t>s</w:t>
      </w:r>
      <w:r w:rsidRPr="00BB11AF">
        <w:t>me, que celui-ci soit d'entreprise ou d'État.</w:t>
      </w:r>
    </w:p>
    <w:p w:rsidR="003A3061" w:rsidRPr="00BB11AF" w:rsidRDefault="003A3061" w:rsidP="003A3061">
      <w:pPr>
        <w:spacing w:before="120" w:after="120"/>
        <w:jc w:val="both"/>
      </w:pPr>
      <w:r w:rsidRPr="00BB11AF">
        <w:t>Paul Ariès suggère d'agir à trois niveaux : individuel, avec la « simpl</w:t>
      </w:r>
      <w:r w:rsidRPr="00BB11AF">
        <w:t>i</w:t>
      </w:r>
      <w:r w:rsidRPr="00BB11AF">
        <w:t>cité volontaire » ; local, en participant à des expérimentations colle</w:t>
      </w:r>
      <w:r w:rsidRPr="00BB11AF">
        <w:t>c</w:t>
      </w:r>
      <w:r w:rsidRPr="00BB11AF">
        <w:t>tives plus ou moins en marge de la vie « normale » ; national, dans le cadre des institutions politiques existantes, quelles que soient par ailleurs leurs insuffisances sur le plan démocratique. Cette derni</w:t>
      </w:r>
      <w:r w:rsidRPr="00BB11AF">
        <w:t>è</w:t>
      </w:r>
      <w:r w:rsidRPr="00BB11AF">
        <w:t>re pr</w:t>
      </w:r>
      <w:r w:rsidRPr="00BB11AF">
        <w:t>o</w:t>
      </w:r>
      <w:r w:rsidRPr="00BB11AF">
        <w:t>position ne fait pas l'unanimité chez les décroissants. Certains en effet refusent de considérer la possibilité que nos États puissent être l'in</w:t>
      </w:r>
      <w:r w:rsidRPr="00BB11AF">
        <w:t>s</w:t>
      </w:r>
      <w:r w:rsidRPr="00BB11AF">
        <w:t>trument d'une transition démocratique vers des sociétés post-croissance. Tout le monde s'accorde cependant pour considérer que l'action à mener dans cette direction doit être de type politique. Des ébauches de programmes ont par conséquent été élaborées au cours des dernières années.</w:t>
      </w:r>
    </w:p>
    <w:p w:rsidR="003A3061" w:rsidRPr="00BB11AF" w:rsidRDefault="003A3061" w:rsidP="003A3061">
      <w:pPr>
        <w:spacing w:before="120" w:after="120"/>
        <w:jc w:val="both"/>
      </w:pPr>
      <w:r w:rsidRPr="00BB11AF">
        <w:t>Un certain nombre de propositions concrètes reviennent d'une ébauche à l'autre. Ce qui frappe toutefois à la lecture de ces listes pr</w:t>
      </w:r>
      <w:r w:rsidRPr="00BB11AF">
        <w:t>o</w:t>
      </w:r>
      <w:r w:rsidRPr="00BB11AF">
        <w:t>duites par les objecteurs de croissance, outre une bonne dose de v</w:t>
      </w:r>
      <w:r w:rsidRPr="00BB11AF">
        <w:t>o</w:t>
      </w:r>
      <w:r w:rsidRPr="00BB11AF">
        <w:t>lontarisme, c'est l'absence d'un programme structuré. Les listes en question, qui par leur forme vont parfois jusqu'à ressembler à celles de certains l</w:t>
      </w:r>
      <w:r w:rsidRPr="00BB11AF">
        <w:t>i</w:t>
      </w:r>
      <w:r w:rsidRPr="00BB11AF">
        <w:t>vres de recettes managériales (du type : « Les 5G du bon gestionna</w:t>
      </w:r>
      <w:r w:rsidRPr="00BB11AF">
        <w:t>i</w:t>
      </w:r>
      <w:r w:rsidRPr="00BB11AF">
        <w:t>re », etc.), contiennent des éléments d'importance inégale, ni hiéra</w:t>
      </w:r>
      <w:r w:rsidRPr="00BB11AF">
        <w:t>r</w:t>
      </w:r>
      <w:r w:rsidRPr="00BB11AF">
        <w:t>chisés, ni articulés entre eux. Voici par exemple la liste des 10 propositions qui ont été formulées au terme de la conférence intern</w:t>
      </w:r>
      <w:r w:rsidRPr="00BB11AF">
        <w:t>a</w:t>
      </w:r>
      <w:r w:rsidRPr="00BB11AF">
        <w:t>tionale sur la décroissance de Barcelone au printemps 2008 :</w:t>
      </w:r>
    </w:p>
    <w:p w:rsidR="003A3061" w:rsidRPr="00BB11AF" w:rsidRDefault="003A3061" w:rsidP="003A3061">
      <w:pPr>
        <w:spacing w:before="120" w:after="120"/>
        <w:jc w:val="both"/>
      </w:pPr>
    </w:p>
    <w:p w:rsidR="003A3061" w:rsidRPr="00BB11AF" w:rsidRDefault="003A3061" w:rsidP="003A3061">
      <w:pPr>
        <w:ind w:left="1080" w:hanging="360"/>
        <w:jc w:val="both"/>
      </w:pPr>
      <w:r w:rsidRPr="00BB11AF">
        <w:t>*</w:t>
      </w:r>
      <w:r w:rsidRPr="00BB11AF">
        <w:tab/>
        <w:t>Semaine de travail de trois jours</w:t>
      </w:r>
    </w:p>
    <w:p w:rsidR="003A3061" w:rsidRPr="00BB11AF" w:rsidRDefault="003A3061" w:rsidP="003A3061">
      <w:pPr>
        <w:ind w:left="1080" w:hanging="360"/>
        <w:jc w:val="both"/>
      </w:pPr>
      <w:r w:rsidRPr="00BB11AF">
        <w:t>*</w:t>
      </w:r>
      <w:r w:rsidRPr="00BB11AF">
        <w:tab/>
        <w:t>Revenu inconditionnel</w:t>
      </w:r>
    </w:p>
    <w:p w:rsidR="003A3061" w:rsidRPr="00BB11AF" w:rsidRDefault="003A3061" w:rsidP="003A3061">
      <w:pPr>
        <w:ind w:left="1080" w:hanging="360"/>
        <w:jc w:val="both"/>
      </w:pPr>
      <w:r w:rsidRPr="00BB11AF">
        <w:t>*</w:t>
      </w:r>
      <w:r w:rsidRPr="00BB11AF">
        <w:tab/>
        <w:t>Salaire maximum autorisé</w:t>
      </w:r>
    </w:p>
    <w:p w:rsidR="003A3061" w:rsidRPr="00BB11AF" w:rsidRDefault="003A3061" w:rsidP="003A3061">
      <w:pPr>
        <w:ind w:left="1080" w:hanging="360"/>
        <w:jc w:val="both"/>
      </w:pPr>
      <w:r w:rsidRPr="00BB11AF">
        <w:t>*</w:t>
      </w:r>
      <w:r w:rsidRPr="00BB11AF">
        <w:tab/>
        <w:t>Monnaies locales sans intérêt</w:t>
      </w:r>
    </w:p>
    <w:p w:rsidR="003A3061" w:rsidRPr="00BB11AF" w:rsidRDefault="003A3061" w:rsidP="003A3061">
      <w:pPr>
        <w:ind w:left="1080" w:hanging="360"/>
        <w:jc w:val="both"/>
      </w:pPr>
      <w:r w:rsidRPr="00BB11AF">
        <w:t>*</w:t>
      </w:r>
      <w:r w:rsidRPr="00BB11AF">
        <w:tab/>
        <w:t>Réduction de la publicité</w:t>
      </w:r>
    </w:p>
    <w:p w:rsidR="003A3061" w:rsidRPr="00BB11AF" w:rsidRDefault="003A3061" w:rsidP="003A3061">
      <w:pPr>
        <w:ind w:left="1080" w:hanging="360"/>
        <w:jc w:val="both"/>
      </w:pPr>
      <w:r w:rsidRPr="00BB11AF">
        <w:t>*</w:t>
      </w:r>
      <w:r w:rsidRPr="00BB11AF">
        <w:tab/>
        <w:t>Moratoire sur les méga-infrastructures</w:t>
      </w:r>
    </w:p>
    <w:p w:rsidR="003A3061" w:rsidRPr="00BB11AF" w:rsidRDefault="003A3061" w:rsidP="003A3061">
      <w:pPr>
        <w:ind w:left="1080" w:hanging="360"/>
        <w:jc w:val="both"/>
      </w:pPr>
      <w:r w:rsidRPr="00BB11AF">
        <w:t>*</w:t>
      </w:r>
      <w:r w:rsidRPr="00BB11AF">
        <w:tab/>
        <w:t>Utilisation limitée des ressources naturelles dans le sous-sol</w:t>
      </w:r>
    </w:p>
    <w:p w:rsidR="003A3061" w:rsidRPr="00BB11AF" w:rsidRDefault="003A3061" w:rsidP="003A3061">
      <w:pPr>
        <w:pStyle w:val="p"/>
      </w:pPr>
      <w:r w:rsidRPr="00BB11AF">
        <w:t>[225]</w:t>
      </w:r>
    </w:p>
    <w:p w:rsidR="003A3061" w:rsidRPr="00BB11AF" w:rsidRDefault="003A3061" w:rsidP="003A3061">
      <w:pPr>
        <w:ind w:left="1080" w:hanging="360"/>
        <w:jc w:val="both"/>
      </w:pPr>
      <w:r w:rsidRPr="00BB11AF">
        <w:t>*</w:t>
      </w:r>
      <w:r w:rsidRPr="00BB11AF">
        <w:tab/>
        <w:t>Occupation des maisons vides et cohabitât</w:t>
      </w:r>
    </w:p>
    <w:p w:rsidR="003A3061" w:rsidRPr="00BB11AF" w:rsidRDefault="003A3061" w:rsidP="003A3061">
      <w:pPr>
        <w:ind w:left="1080" w:hanging="360"/>
        <w:jc w:val="both"/>
      </w:pPr>
      <w:r w:rsidRPr="00BB11AF">
        <w:t>*</w:t>
      </w:r>
      <w:r w:rsidRPr="00BB11AF">
        <w:tab/>
        <w:t>Soutien aux innov</w:t>
      </w:r>
      <w:r w:rsidRPr="00BB11AF">
        <w:t>a</w:t>
      </w:r>
      <w:r w:rsidRPr="00BB11AF">
        <w:t>tions frugales</w:t>
      </w:r>
    </w:p>
    <w:p w:rsidR="003A3061" w:rsidRPr="00BB11AF" w:rsidRDefault="003A3061" w:rsidP="003A3061">
      <w:pPr>
        <w:ind w:left="1080" w:hanging="360"/>
        <w:jc w:val="both"/>
      </w:pPr>
      <w:r w:rsidRPr="00BB11AF">
        <w:t>*</w:t>
      </w:r>
      <w:r w:rsidRPr="00BB11AF">
        <w:tab/>
        <w:t>Nouveaux statuts pour l'action collective à but non lucratif</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Et dans un autre style, voici à présent la liste des « 8 R » de Serge L</w:t>
      </w:r>
      <w:r w:rsidRPr="00BB11AF">
        <w:t>a</w:t>
      </w:r>
      <w:r w:rsidRPr="00BB11AF">
        <w:t>touche (2010) :</w:t>
      </w:r>
    </w:p>
    <w:p w:rsidR="003A3061" w:rsidRPr="00BB11AF" w:rsidRDefault="003A3061" w:rsidP="003A3061">
      <w:pPr>
        <w:spacing w:before="120" w:after="120"/>
        <w:jc w:val="both"/>
      </w:pPr>
    </w:p>
    <w:p w:rsidR="003A3061" w:rsidRPr="00BB11AF" w:rsidRDefault="003A3061" w:rsidP="003A3061">
      <w:pPr>
        <w:ind w:left="1080" w:hanging="360"/>
        <w:jc w:val="both"/>
      </w:pPr>
      <w:r w:rsidRPr="00BB11AF">
        <w:t>*</w:t>
      </w:r>
      <w:r w:rsidRPr="00BB11AF">
        <w:tab/>
        <w:t>Réévaluer (croissance, progrès, innovation, etc.)</w:t>
      </w:r>
    </w:p>
    <w:p w:rsidR="003A3061" w:rsidRPr="00BB11AF" w:rsidRDefault="003A3061" w:rsidP="003A3061">
      <w:pPr>
        <w:ind w:left="1080" w:hanging="360"/>
        <w:jc w:val="both"/>
      </w:pPr>
      <w:r w:rsidRPr="00BB11AF">
        <w:t>*</w:t>
      </w:r>
      <w:r w:rsidRPr="00BB11AF">
        <w:tab/>
        <w:t>Reconceptualiser (richesse/pauvreté, rareté/abondance, etc.)</w:t>
      </w:r>
    </w:p>
    <w:p w:rsidR="003A3061" w:rsidRPr="00BB11AF" w:rsidRDefault="003A3061" w:rsidP="003A3061">
      <w:pPr>
        <w:ind w:left="1080" w:hanging="360"/>
        <w:jc w:val="both"/>
      </w:pPr>
      <w:r w:rsidRPr="00BB11AF">
        <w:t>*</w:t>
      </w:r>
      <w:r w:rsidRPr="00BB11AF">
        <w:tab/>
        <w:t>Restructurer (rapports de production, appareil de production, etc.)</w:t>
      </w:r>
    </w:p>
    <w:p w:rsidR="003A3061" w:rsidRPr="00BB11AF" w:rsidRDefault="003A3061" w:rsidP="003A3061">
      <w:pPr>
        <w:ind w:left="1080" w:hanging="360"/>
        <w:jc w:val="both"/>
      </w:pPr>
      <w:r w:rsidRPr="00BB11AF">
        <w:t>*</w:t>
      </w:r>
      <w:r w:rsidRPr="00BB11AF">
        <w:tab/>
        <w:t>Redistribuer (la terre, le travail, les revenus entre génér</w:t>
      </w:r>
      <w:r w:rsidRPr="00BB11AF">
        <w:t>a</w:t>
      </w:r>
      <w:r w:rsidRPr="00BB11AF">
        <w:t>tions)</w:t>
      </w:r>
    </w:p>
    <w:p w:rsidR="003A3061" w:rsidRPr="00BB11AF" w:rsidRDefault="003A3061" w:rsidP="003A3061">
      <w:pPr>
        <w:ind w:left="1080" w:hanging="360"/>
        <w:jc w:val="both"/>
      </w:pPr>
      <w:r w:rsidRPr="00BB11AF">
        <w:t>*</w:t>
      </w:r>
      <w:r w:rsidRPr="00BB11AF">
        <w:tab/>
        <w:t>Relocaliser (le politique et « l'économique »)</w:t>
      </w:r>
    </w:p>
    <w:p w:rsidR="003A3061" w:rsidRPr="00BB11AF" w:rsidRDefault="003A3061" w:rsidP="003A3061">
      <w:pPr>
        <w:ind w:left="1080" w:hanging="360"/>
        <w:jc w:val="both"/>
      </w:pPr>
      <w:r w:rsidRPr="00BB11AF">
        <w:t>*</w:t>
      </w:r>
      <w:r w:rsidRPr="00BB11AF">
        <w:tab/>
        <w:t>Réduire (publicité, déchets, transports, consommation d'énergie, durée du travail, etc.)</w:t>
      </w:r>
    </w:p>
    <w:p w:rsidR="003A3061" w:rsidRPr="00BB11AF" w:rsidRDefault="003A3061" w:rsidP="003A3061">
      <w:pPr>
        <w:ind w:left="1080" w:hanging="360"/>
        <w:jc w:val="both"/>
      </w:pPr>
      <w:r w:rsidRPr="00BB11AF">
        <w:t>*</w:t>
      </w:r>
      <w:r w:rsidRPr="00BB11AF">
        <w:tab/>
        <w:t>Réutiliser (refus du jetable, etc.)</w:t>
      </w:r>
    </w:p>
    <w:p w:rsidR="003A3061" w:rsidRPr="00BB11AF" w:rsidRDefault="003A3061" w:rsidP="003A3061">
      <w:pPr>
        <w:ind w:left="1080" w:hanging="360"/>
        <w:jc w:val="both"/>
      </w:pPr>
      <w:r w:rsidRPr="00BB11AF">
        <w:t>*</w:t>
      </w:r>
      <w:r w:rsidRPr="00BB11AF">
        <w:tab/>
        <w:t>Recycler</w:t>
      </w:r>
    </w:p>
    <w:p w:rsidR="003A3061" w:rsidRPr="00BB11AF" w:rsidRDefault="003A3061" w:rsidP="003A3061">
      <w:pPr>
        <w:ind w:left="1080" w:hanging="360"/>
        <w:jc w:val="both"/>
      </w:pPr>
    </w:p>
    <w:p w:rsidR="003A3061" w:rsidRPr="00BB11AF" w:rsidRDefault="003A3061" w:rsidP="003A3061">
      <w:pPr>
        <w:spacing w:before="120" w:after="120"/>
        <w:jc w:val="both"/>
      </w:pPr>
      <w:r w:rsidRPr="00BB11AF">
        <w:t>Cette absence d'un programme politique élaboré est souvent l'objet de critiques et suscite parfois des frustrations de la part de sympath</w:t>
      </w:r>
      <w:r w:rsidRPr="00BB11AF">
        <w:t>i</w:t>
      </w:r>
      <w:r w:rsidRPr="00BB11AF">
        <w:t>sants ou même de certains militants de la décroissance. La question de s</w:t>
      </w:r>
      <w:r w:rsidRPr="00BB11AF">
        <w:t>a</w:t>
      </w:r>
      <w:r w:rsidRPr="00BB11AF">
        <w:t>voir pourquoi un tel programme n'existe pas reste ouverte. On peut faire l'hypothèse que cette absence est due au fait que l'enjeu ultime ici est de concevoir un modèle de société totalement inédit. Or, co</w:t>
      </w:r>
      <w:r w:rsidRPr="00BB11AF">
        <w:t>m</w:t>
      </w:r>
      <w:r w:rsidRPr="00BB11AF">
        <w:t>ment planifier l'innovation radicale ? N'y a-t-il pas une contradiction fondamentale entre ces deux exigences ? Cela dit, certains théoriciens de la décroissance justifient de manière positive le fait que les obje</w:t>
      </w:r>
      <w:r w:rsidRPr="00BB11AF">
        <w:t>c</w:t>
      </w:r>
      <w:r w:rsidRPr="00BB11AF">
        <w:t>teurs de croissance n'aient pas un programme politique « clef en main » à offrir. Selon eux, il est important de ne pas fixer de solutions uniques et encore moins de les imposer. Les voies de sortie du capit</w:t>
      </w:r>
      <w:r w:rsidRPr="00BB11AF">
        <w:t>a</w:t>
      </w:r>
      <w:r w:rsidRPr="00BB11AF">
        <w:t>lisme seront différentes selon les lieux et les gens qui les habitent et c'est démocratiquement qu'elles devront être choisies. Pas question donc d'élaborer un programme décroissanciste : l'idéologie de la d</w:t>
      </w:r>
      <w:r w:rsidRPr="00BB11AF">
        <w:t>é</w:t>
      </w:r>
      <w:r w:rsidRPr="00BB11AF">
        <w:t>croissance ne doit pas être davantage qu'une « matrice d'alternatives » (Latouche 2010 :149).</w:t>
      </w:r>
    </w:p>
    <w:p w:rsidR="003A3061" w:rsidRPr="00BB11AF" w:rsidRDefault="003A3061" w:rsidP="003A3061">
      <w:pPr>
        <w:spacing w:before="120" w:after="120"/>
        <w:jc w:val="both"/>
      </w:pPr>
    </w:p>
    <w:p w:rsidR="003A3061" w:rsidRPr="00BB11AF" w:rsidRDefault="003A3061" w:rsidP="003A3061">
      <w:pPr>
        <w:pStyle w:val="planche"/>
      </w:pPr>
      <w:r w:rsidRPr="00BB11AF">
        <w:t xml:space="preserve">Principes d'économie politique </w:t>
      </w:r>
      <w:r>
        <w:br/>
      </w:r>
      <w:r w:rsidRPr="00BB11AF">
        <w:t>« décroissante »</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L'analyse des listes existantes de propositions « décroissancistes » permet cependant d'y repérer un certain nombre de principes esse</w:t>
      </w:r>
      <w:r w:rsidRPr="00BB11AF">
        <w:t>n</w:t>
      </w:r>
      <w:r w:rsidRPr="00BB11AF">
        <w:t>tiels, qu'il est dès lors tentant de considérer comme le fondement d'une politique de décroissance. Évidemment, le risque ici, plus encore que dans les descriptions précédentes, est de mettre de l'ordre là où il n'y en a pas forcément et de trancher des questions qui ne le sont pas to</w:t>
      </w:r>
      <w:r w:rsidRPr="00BB11AF">
        <w:t>u</w:t>
      </w:r>
      <w:r w:rsidRPr="00BB11AF">
        <w:t>jours entre « objecteurs de croissance ». Les quatre principes prése</w:t>
      </w:r>
      <w:r w:rsidRPr="00BB11AF">
        <w:t>n</w:t>
      </w:r>
      <w:r w:rsidRPr="00BB11AF">
        <w:t>tés ci-après nous semblent toutefois constituer la base d'une position majoritaire à l'heure actuelle au sein de la</w:t>
      </w:r>
      <w:r>
        <w:t xml:space="preserve"> </w:t>
      </w:r>
      <w:r w:rsidRPr="00BB11AF">
        <w:t>[226]</w:t>
      </w:r>
      <w:r>
        <w:t xml:space="preserve"> </w:t>
      </w:r>
      <w:r w:rsidRPr="00BB11AF">
        <w:t>mouvance « décroissanciste ». Les décrire n'est donc ni illégitime ni artificiel, même si certains des mots que nous utilisons pour ce faire ne sont pas des mots de la « tribu décroissante ».</w:t>
      </w:r>
    </w:p>
    <w:p w:rsidR="003A3061" w:rsidRPr="00BB11AF" w:rsidRDefault="003A3061" w:rsidP="003A3061">
      <w:pPr>
        <w:spacing w:before="120" w:after="120"/>
        <w:jc w:val="both"/>
      </w:pPr>
      <w:r w:rsidRPr="00BB11AF">
        <w:t>Une première série de propositions fréquemment mises en avant par les objecteurs de croissance relèvent de ce que nous proposons d'app</w:t>
      </w:r>
      <w:r w:rsidRPr="00BB11AF">
        <w:t>e</w:t>
      </w:r>
      <w:r w:rsidRPr="00BB11AF">
        <w:t>ler le principe d'« autoproduction ». L'emploi de ce terme ne signifie pas que la décroissance impliquerait que chacun d'entre nous produise lui-même ce qu'il consomme. Ce que préconisent les décroi</w:t>
      </w:r>
      <w:r w:rsidRPr="00BB11AF">
        <w:t>s</w:t>
      </w:r>
      <w:r w:rsidRPr="00BB11AF">
        <w:t>sants, c'est que nous produisions non plus pour gagner de l'argent, mais pour subvenir à nos besoins. En d'autres termes, il s'agit de viser la fin du salariat (ou du moins sa marginalisation), de se libérer du travail, cette activité inventée par les modernes, « que l'on exerce pour le compte d'un tiers, en échange d'un salaire, selon des formes et des horaires fixés par celui qui vous paie, en vue de fins que l'on n'a pas choisies soi-même » (Gorz 1980 :7). Pour saper ce rapport social fo</w:t>
      </w:r>
      <w:r w:rsidRPr="00BB11AF">
        <w:t>n</w:t>
      </w:r>
      <w:r w:rsidRPr="00BB11AF">
        <w:t>dateur du capitalisme, les objecteurs de croissance prônent en partic</w:t>
      </w:r>
      <w:r w:rsidRPr="00BB11AF">
        <w:t>u</w:t>
      </w:r>
      <w:r w:rsidRPr="00BB11AF">
        <w:t>lier une réduction drastique du temps de travail (pas plus de 2 à 3jours de tr</w:t>
      </w:r>
      <w:r w:rsidRPr="00BB11AF">
        <w:t>a</w:t>
      </w:r>
      <w:r w:rsidRPr="00BB11AF">
        <w:t>vail par semaine), et/ou un système de revenu inconditionnel garanti permettant à chacun de vivre sans avoir à vendre sa force de travail. Le temps disponible pourrait ainsi être utilisée à produire, seul et ensemble, ce dont nous avons besoin, dans des limites établies co</w:t>
      </w:r>
      <w:r w:rsidRPr="00BB11AF">
        <w:t>l</w:t>
      </w:r>
      <w:r w:rsidRPr="00BB11AF">
        <w:t>lect</w:t>
      </w:r>
      <w:r w:rsidRPr="00BB11AF">
        <w:t>i</w:t>
      </w:r>
      <w:r w:rsidRPr="00BB11AF">
        <w:t>vement. Un revenu maximum autorisé serait d'ailleurs fixé.</w:t>
      </w:r>
    </w:p>
    <w:p w:rsidR="003A3061" w:rsidRPr="00BB11AF" w:rsidRDefault="003A3061" w:rsidP="003A3061">
      <w:pPr>
        <w:spacing w:before="120" w:after="120"/>
        <w:jc w:val="both"/>
      </w:pPr>
      <w:r w:rsidRPr="00BB11AF">
        <w:t>L'autoproduction n'est envisageable qu'à la condition que les h</w:t>
      </w:r>
      <w:r w:rsidRPr="00BB11AF">
        <w:t>u</w:t>
      </w:r>
      <w:r w:rsidRPr="00BB11AF">
        <w:t>mains aient accès aux moyens matériels et intellectuels de satisfaire leurs besoins. Cela suppose la dé-privatisation du monde et sa « mise en commun », d'où la notion de « communisation » ou de « communal</w:t>
      </w:r>
      <w:r w:rsidRPr="00BB11AF">
        <w:t>i</w:t>
      </w:r>
      <w:r w:rsidRPr="00BB11AF">
        <w:t>sation » que nous proposons d'utiliser pour désigner ce deuxième principe. Il implique le refus de la propriété, qu'elle soit pr</w:t>
      </w:r>
      <w:r w:rsidRPr="00BB11AF">
        <w:t>i</w:t>
      </w:r>
      <w:r w:rsidRPr="00BB11AF">
        <w:t>vée ou co</w:t>
      </w:r>
      <w:r w:rsidRPr="00BB11AF">
        <w:t>l</w:t>
      </w:r>
      <w:r w:rsidRPr="00BB11AF">
        <w:t>lective, ainsi que la limitation de la consommation humaine actuelle, puisque cette mise en commun concerne tout autant les gén</w:t>
      </w:r>
      <w:r w:rsidRPr="00BB11AF">
        <w:t>é</w:t>
      </w:r>
      <w:r w:rsidRPr="00BB11AF">
        <w:t>rations futures que les êtres vivants non humains. S'il faut partager équitablement avec tous ces autres êtres, il n'est plus possible d'explo</w:t>
      </w:r>
      <w:r w:rsidRPr="00BB11AF">
        <w:t>i</w:t>
      </w:r>
      <w:r w:rsidRPr="00BB11AF">
        <w:t>ter la planète et de la polluer comme nous le faisons actuellement. L'espèce humaine doit cesser également de croître. Pratiquement, les objecteurs de croissance privilégient la production de biens et de se</w:t>
      </w:r>
      <w:r w:rsidRPr="00BB11AF">
        <w:t>r</w:t>
      </w:r>
      <w:r w:rsidRPr="00BB11AF">
        <w:t>vices collectifs (habitat, transports, etc.). Ils sont favorables à la gr</w:t>
      </w:r>
      <w:r w:rsidRPr="00BB11AF">
        <w:t>a</w:t>
      </w:r>
      <w:r w:rsidRPr="00BB11AF">
        <w:t>tuité de tout ce qui correspond à un besoin essentiel (l'eau à boire) et au renchérissement de ce qui ne l'est pas (l'eau des piscines). Conce</w:t>
      </w:r>
      <w:r w:rsidRPr="00BB11AF">
        <w:t>r</w:t>
      </w:r>
      <w:r w:rsidRPr="00BB11AF">
        <w:t>nant la terre, un dispositif tel que celui des fiducies foncières, agric</w:t>
      </w:r>
      <w:r w:rsidRPr="00BB11AF">
        <w:t>o</w:t>
      </w:r>
      <w:r w:rsidRPr="00BB11AF">
        <w:t>les notamment, correspond d'assez près à la forme de « possession » que privilégient les décroissants.</w:t>
      </w:r>
    </w:p>
    <w:p w:rsidR="003A3061" w:rsidRPr="00BB11AF" w:rsidRDefault="003A3061" w:rsidP="003A3061">
      <w:pPr>
        <w:spacing w:before="120" w:after="120"/>
        <w:jc w:val="both"/>
      </w:pPr>
      <w:r w:rsidRPr="00BB11AF">
        <w:t>Troisième principe sous-jacent à bon nombre de propositions d</w:t>
      </w:r>
      <w:r w:rsidRPr="00BB11AF">
        <w:t>é</w:t>
      </w:r>
      <w:r w:rsidRPr="00BB11AF">
        <w:t>croissancistes : la « coopération ». Ce qui est visé ici, c'est l'élimin</w:t>
      </w:r>
      <w:r w:rsidRPr="00BB11AF">
        <w:t>a</w:t>
      </w:r>
      <w:r w:rsidRPr="00BB11AF">
        <w:t>tion ou la marginalisation des rapports de concurrence et de compét</w:t>
      </w:r>
      <w:r w:rsidRPr="00BB11AF">
        <w:t>i</w:t>
      </w:r>
      <w:r w:rsidRPr="00BB11AF">
        <w:t>tion entre humains, ainsi que des rapports de domination aussi bien entre h</w:t>
      </w:r>
      <w:r w:rsidRPr="00BB11AF">
        <w:t>u</w:t>
      </w:r>
      <w:r w:rsidRPr="00BB11AF">
        <w:t>mains, que vis-à-vis des non humains. Il s'agit de valoriser et de dév</w:t>
      </w:r>
      <w:r w:rsidRPr="00BB11AF">
        <w:t>e</w:t>
      </w:r>
      <w:r w:rsidRPr="00BB11AF">
        <w:t>lopper des relations de réciprocité entre les êtres vivants,</w:t>
      </w:r>
      <w:r>
        <w:t xml:space="preserve">  </w:t>
      </w:r>
      <w:r w:rsidRPr="00BB11AF">
        <w:t>[227]</w:t>
      </w:r>
      <w:r>
        <w:t xml:space="preserve"> </w:t>
      </w:r>
      <w:r w:rsidRPr="00BB11AF">
        <w:t>fondées autant que faire se peut sur le principe du don/contre don. Cela peut inclure l'échange entre humains sur des marchés, mais exclut le principe de la concurrence généralisée que l'on trouve au fo</w:t>
      </w:r>
      <w:r w:rsidRPr="00BB11AF">
        <w:t>n</w:t>
      </w:r>
      <w:r w:rsidRPr="00BB11AF">
        <w:t>dement de l'idéologie néolibérale. Concrètement, les objecteurs de croissance privilégient, entre humains, l'entraide, le modèle coopér</w:t>
      </w:r>
      <w:r w:rsidRPr="00BB11AF">
        <w:t>a</w:t>
      </w:r>
      <w:r w:rsidRPr="00BB11AF">
        <w:t>tif, de même que ce que l'on appelle aujourd'hui le « travail collabor</w:t>
      </w:r>
      <w:r w:rsidRPr="00BB11AF">
        <w:t>a</w:t>
      </w:r>
      <w:r w:rsidRPr="00BB11AF">
        <w:t>tif ». Ils souhaitent le développement de dispositifs tels que l'Agr</w:t>
      </w:r>
      <w:r w:rsidRPr="00BB11AF">
        <w:t>i</w:t>
      </w:r>
      <w:r w:rsidRPr="00BB11AF">
        <w:t>culture soutenue par la communauté (ASC) ou les Systèmes d'écha</w:t>
      </w:r>
      <w:r w:rsidRPr="00BB11AF">
        <w:t>n</w:t>
      </w:r>
      <w:r w:rsidRPr="00BB11AF">
        <w:t>ges locaux (SEL). Par ailleurs, ce sont de fervents partisans de la pe</w:t>
      </w:r>
      <w:r w:rsidRPr="00BB11AF">
        <w:t>r</w:t>
      </w:r>
      <w:r w:rsidRPr="00BB11AF">
        <w:t>maculture, qui pe</w:t>
      </w:r>
      <w:r w:rsidRPr="00BB11AF">
        <w:t>r</w:t>
      </w:r>
      <w:r w:rsidRPr="00BB11AF">
        <w:t>met de se nourrir abondamment sans « exploiter » la flore et la faune comme dans le cadre de l'agriculture industrielle. Fondée sur l'imitation des processus naturels, la permaculture impl</w:t>
      </w:r>
      <w:r w:rsidRPr="00BB11AF">
        <w:t>i</w:t>
      </w:r>
      <w:r w:rsidRPr="00BB11AF">
        <w:t>que des rapports de réciprocité entre les êtres. Elle satisfait tout à fait aux critères de la convivialité selon Ivan Illich : favorisant l'aut</w:t>
      </w:r>
      <w:r w:rsidRPr="00BB11AF">
        <w:t>o</w:t>
      </w:r>
      <w:r w:rsidRPr="00BB11AF">
        <w:t>nomie personnelle de celui qui la pratique, elle ne suscite ni maître ni esclave (y compris animal).</w:t>
      </w:r>
    </w:p>
    <w:p w:rsidR="003A3061" w:rsidRPr="00BB11AF" w:rsidRDefault="003A3061" w:rsidP="003A3061">
      <w:pPr>
        <w:spacing w:before="120" w:after="120"/>
        <w:jc w:val="both"/>
      </w:pPr>
      <w:r w:rsidRPr="00BB11AF">
        <w:t>La « démocratisation » nous semble être le quatrième et dernier principe que l'on retrouve au fondement de l'idéologie de la décroi</w:t>
      </w:r>
      <w:r w:rsidRPr="00BB11AF">
        <w:t>s</w:t>
      </w:r>
      <w:r w:rsidRPr="00BB11AF">
        <w:t>sance. La plupart des objecteurs de croissance s'entendent pour cons</w:t>
      </w:r>
      <w:r w:rsidRPr="00BB11AF">
        <w:t>i</w:t>
      </w:r>
      <w:r w:rsidRPr="00BB11AF">
        <w:t>dérer que nos sociétés n'ont de démocratiques que le nom, et que nous vivons en réalité dans des oligarchies ploutocratiques et « expertocr</w:t>
      </w:r>
      <w:r w:rsidRPr="00BB11AF">
        <w:t>a</w:t>
      </w:r>
      <w:r w:rsidRPr="00BB11AF">
        <w:t>tiques ». La première urgence donc, et la condition de possibilité d'une transition volontaire vers une société post-croissance, c'est une révol</w:t>
      </w:r>
      <w:r w:rsidRPr="00BB11AF">
        <w:t>u</w:t>
      </w:r>
      <w:r w:rsidRPr="00BB11AF">
        <w:t>tion démocratique. Pour les uns, cette révolution est possible dans le cadre de nos États-nations, pour les autres l'État con</w:t>
      </w:r>
      <w:r w:rsidRPr="00BB11AF">
        <w:t>s</w:t>
      </w:r>
      <w:r w:rsidRPr="00BB11AF">
        <w:t>titue au contraire un obstacle qu'il convient d'abattre ou d'esquiver. Tous soulignent la nécessité que les humains puissent débattre libr</w:t>
      </w:r>
      <w:r w:rsidRPr="00BB11AF">
        <w:t>e</w:t>
      </w:r>
      <w:r w:rsidRPr="00BB11AF">
        <w:t>ment des finalités de la vie collective (en tentant de donner une voix aux non humains) et fixer collectivement les normes d'une « vie bo</w:t>
      </w:r>
      <w:r w:rsidRPr="00BB11AF">
        <w:t>n</w:t>
      </w:r>
      <w:r w:rsidRPr="00BB11AF">
        <w:t>ne ». Ceci justifie le fait de ne pas établir a priori un programme « décroissanciste » complet et implique que les solutions choisies v</w:t>
      </w:r>
      <w:r w:rsidRPr="00BB11AF">
        <w:t>a</w:t>
      </w:r>
      <w:r w:rsidRPr="00BB11AF">
        <w:t>rient selon les endroits et les personnes qui les ont conçues. Plus que</w:t>
      </w:r>
      <w:r w:rsidRPr="00BB11AF">
        <w:t>s</w:t>
      </w:r>
      <w:r w:rsidRPr="00BB11AF">
        <w:t>tion notamment de dicter aux pays du Sud ce qu'ils ont à faire. Il est impératif de laisser enfin leurs habitants décider de leur sort. Au Nord, le débat démocratique exige entre autres choses la limitation de la p</w:t>
      </w:r>
      <w:r w:rsidRPr="00BB11AF">
        <w:t>u</w:t>
      </w:r>
      <w:r w:rsidRPr="00BB11AF">
        <w:t>blicité, véritable outil de propagande capitaliste, et la lutte contre la concentration des médias. En somme, et contrairement à ce que pr</w:t>
      </w:r>
      <w:r w:rsidRPr="00BB11AF">
        <w:t>é</w:t>
      </w:r>
      <w:r w:rsidRPr="00BB11AF">
        <w:t>tendent certains de leurs d</w:t>
      </w:r>
      <w:r w:rsidRPr="00BB11AF">
        <w:t>é</w:t>
      </w:r>
      <w:r w:rsidRPr="00BB11AF">
        <w:t>tracteurs, les objecteurs de croissance ne sont pas du tout favorables aux solutions autoritaires, bien au contra</w:t>
      </w:r>
      <w:r w:rsidRPr="00BB11AF">
        <w:t>i</w:t>
      </w:r>
      <w:r w:rsidRPr="00BB11AF">
        <w:t>re. Ils envisagent le projet de décroissance soutenable comme le moyen d'éviter justement les dérives éco-fascistes que les crises env</w:t>
      </w:r>
      <w:r w:rsidRPr="00BB11AF">
        <w:t>i</w:t>
      </w:r>
      <w:r w:rsidRPr="00BB11AF">
        <w:t>ronnementales risquent de pr</w:t>
      </w:r>
      <w:r w:rsidRPr="00BB11AF">
        <w:t>o</w:t>
      </w:r>
      <w:r w:rsidRPr="00BB11AF">
        <w:t>voquer.</w:t>
      </w:r>
    </w:p>
    <w:p w:rsidR="003A3061" w:rsidRPr="00BB11AF" w:rsidRDefault="003A3061" w:rsidP="003A3061">
      <w:pPr>
        <w:spacing w:before="120" w:after="120"/>
        <w:jc w:val="both"/>
      </w:pPr>
    </w:p>
    <w:p w:rsidR="003A3061" w:rsidRPr="00BB11AF" w:rsidRDefault="003A3061" w:rsidP="003A3061">
      <w:pPr>
        <w:pStyle w:val="planche"/>
      </w:pPr>
      <w:r>
        <w:t>La (décroissance,</w:t>
      </w:r>
      <w:r>
        <w:br/>
      </w:r>
      <w:r w:rsidRPr="00BB11AF">
        <w:t>un conservatisme de gauche ?</w:t>
      </w:r>
    </w:p>
    <w:p w:rsidR="003A3061" w:rsidRPr="00BB11AF" w:rsidRDefault="003A3061" w:rsidP="003A3061">
      <w:pPr>
        <w:spacing w:before="120" w:after="120"/>
        <w:jc w:val="both"/>
        <w:rPr>
          <w:i/>
          <w:iCs/>
        </w:rPr>
      </w:pPr>
    </w:p>
    <w:p w:rsidR="003A3061" w:rsidRPr="00BB11AF" w:rsidRDefault="003A3061" w:rsidP="003A3061">
      <w:pPr>
        <w:spacing w:before="120" w:after="120"/>
        <w:jc w:val="both"/>
      </w:pPr>
      <w:r w:rsidRPr="00BB11AF">
        <w:t>L'idéologie de la décroissance bouscule les lignes habituelles du débat politique en Occident. En effet, il s'agit clairement d'une idéol</w:t>
      </w:r>
      <w:r w:rsidRPr="00BB11AF">
        <w:t>o</w:t>
      </w:r>
      <w:r w:rsidRPr="00BB11AF">
        <w:t>gie de « gauche », mais qui peut séduire, par certains aspects, une droite traditionaliste ou conservatrice - la « nouvelle droite » frança</w:t>
      </w:r>
      <w:r w:rsidRPr="00BB11AF">
        <w:t>i</w:t>
      </w:r>
      <w:r w:rsidRPr="00BB11AF">
        <w:t>se, par exemple, s'est emparée de</w:t>
      </w:r>
      <w:r>
        <w:t xml:space="preserve"> </w:t>
      </w:r>
      <w:r w:rsidRPr="00BB11AF">
        <w:t>[228]</w:t>
      </w:r>
      <w:r>
        <w:t xml:space="preserve"> </w:t>
      </w:r>
      <w:r w:rsidRPr="00BB11AF">
        <w:t>l'idée de décroissance (de B</w:t>
      </w:r>
      <w:r w:rsidRPr="00BB11AF">
        <w:t>e</w:t>
      </w:r>
      <w:r w:rsidRPr="00BB11AF">
        <w:t>noist 2010). Toutefois, cette critique r</w:t>
      </w:r>
      <w:r w:rsidRPr="00BB11AF">
        <w:t>a</w:t>
      </w:r>
      <w:r w:rsidRPr="00BB11AF">
        <w:t>dicale de la modernité et du progrès s'appuie, comme nous l'avons souligné, sur des valeurs m</w:t>
      </w:r>
      <w:r w:rsidRPr="00BB11AF">
        <w:t>o</w:t>
      </w:r>
      <w:r w:rsidRPr="00BB11AF">
        <w:t>dernes et ne débouche généralement pas sur un appel au retour à la tradition et au passé. L'ambition des obje</w:t>
      </w:r>
      <w:r w:rsidRPr="00BB11AF">
        <w:t>c</w:t>
      </w:r>
      <w:r w:rsidRPr="00BB11AF">
        <w:t>teurs de croissance est en quelque sorte d'accomplir les promesses de la modernité, contre les dérives de celle-ci. Ils pourraient faire leur cette phrase d'Adorno et Horkeimer : « Ce qui est en cause ce n'est pas la conservation du pa</w:t>
      </w:r>
      <w:r w:rsidRPr="00BB11AF">
        <w:t>s</w:t>
      </w:r>
      <w:r w:rsidRPr="00BB11AF">
        <w:t>sé, mais la réalisation des espoirs du passé » (1974 :17).</w:t>
      </w:r>
    </w:p>
    <w:p w:rsidR="003A3061" w:rsidRPr="00BB11AF" w:rsidRDefault="003A3061" w:rsidP="003A3061">
      <w:pPr>
        <w:spacing w:before="120" w:after="120"/>
        <w:jc w:val="both"/>
      </w:pPr>
      <w:r w:rsidRPr="00BB11AF">
        <w:t>Par ailleurs, le projet de décroissance soutenable s'oppose en partie aux revendications de la gauche traditionnelle. Bien qu'ils développent une critique radicale du capitalisme, les objecteurs de croissance ne considèrent pas l'exploitation des travailleurs comme le problème clef de cette forme de vie sociale. Pour eux, il ne s'agit pas tant de libérer le Travail du Capital, que de se libérer du travail. Il ne suffit pas de chercher à mieux répartir la « richesse », il faut d'abord et avant tout produire moins de marchandises. Plutôt que de tenter de mettre l'éc</w:t>
      </w:r>
      <w:r w:rsidRPr="00BB11AF">
        <w:t>o</w:t>
      </w:r>
      <w:r w:rsidRPr="00BB11AF">
        <w:t>nomie au service du peuple (ou de « l'humain », comme on dit aujou</w:t>
      </w:r>
      <w:r w:rsidRPr="00BB11AF">
        <w:t>r</w:t>
      </w:r>
      <w:r w:rsidRPr="00BB11AF">
        <w:t>d'hui), on doit « sortir de l'économie », selon une expression souvent utilisée par Serge Latouche et reprise en titre d'une revue décroissa</w:t>
      </w:r>
      <w:r w:rsidRPr="00BB11AF">
        <w:t>n</w:t>
      </w:r>
      <w:r w:rsidRPr="00BB11AF">
        <w:t>ciste publiée sur Internet. Une telle position vient en fait contredire les revendications syndicales classiques, aussi bien que les programmes politiques dits « de gauche », que ceux-ci soient socio-démocrates ou d'inspiration marxiste.</w:t>
      </w:r>
    </w:p>
    <w:p w:rsidR="003A3061" w:rsidRPr="00BB11AF" w:rsidRDefault="003A3061" w:rsidP="003A3061">
      <w:pPr>
        <w:spacing w:before="120" w:after="120"/>
        <w:jc w:val="both"/>
      </w:pPr>
      <w:r w:rsidRPr="00BB11AF">
        <w:t>Pour autant, il n'est pas possible de situer la décroissance du côté droit de l'échiquier politique, ni dans le coin libéral, et encore moins bien sûr dans le coin conservateur. Les actuelles politiques « conse</w:t>
      </w:r>
      <w:r w:rsidRPr="00BB11AF">
        <w:t>r</w:t>
      </w:r>
      <w:r w:rsidRPr="00BB11AF">
        <w:t>vatrices » en Amérique du Nord détruisent à peu près tout ce à quoi tiennent les objecteurs de croissance : la justice sociale, l'éma</w:t>
      </w:r>
      <w:r w:rsidRPr="00BB11AF">
        <w:t>n</w:t>
      </w:r>
      <w:r w:rsidRPr="00BB11AF">
        <w:t>cipation humaine, la préservation de la biosphère. Paradoxalement, les part</w:t>
      </w:r>
      <w:r w:rsidRPr="00BB11AF">
        <w:t>i</w:t>
      </w:r>
      <w:r w:rsidRPr="00BB11AF">
        <w:t>sans de la décroissance apparaissent ainsi finalement comme les seuls vrais « conservateurs » aujourd'hui, mais de gauche !</w:t>
      </w:r>
    </w:p>
    <w:p w:rsidR="003A3061" w:rsidRPr="00BB11AF" w:rsidRDefault="003A3061" w:rsidP="003A3061">
      <w:pPr>
        <w:spacing w:before="120" w:after="120"/>
        <w:jc w:val="both"/>
      </w:pPr>
      <w:r w:rsidRPr="00BB11AF">
        <w:t>[229]</w:t>
      </w:r>
    </w:p>
    <w:p w:rsidR="003A3061" w:rsidRPr="00BB11AF" w:rsidRDefault="003A3061" w:rsidP="003A3061">
      <w:pPr>
        <w:spacing w:before="120" w:after="120"/>
        <w:jc w:val="both"/>
      </w:pPr>
    </w:p>
    <w:p w:rsidR="003A3061" w:rsidRPr="00BB11AF" w:rsidRDefault="003A3061" w:rsidP="003A3061">
      <w:pPr>
        <w:pStyle w:val="planche"/>
      </w:pPr>
      <w:r w:rsidRPr="00BB11AF">
        <w:t>Références</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 xml:space="preserve">Abraham, Y-M., L. Marion et H. Philippe, dir. 2011. </w:t>
      </w:r>
      <w:r w:rsidRPr="0025193D">
        <w:rPr>
          <w:i/>
        </w:rPr>
        <w:t>Décroissance versus développement durable</w:t>
      </w:r>
      <w:r w:rsidRPr="00BB11AF">
        <w:t>. Montréal : Éco-société.</w:t>
      </w:r>
    </w:p>
    <w:p w:rsidR="003A3061" w:rsidRPr="00BB11AF" w:rsidRDefault="003A3061" w:rsidP="003A3061">
      <w:pPr>
        <w:spacing w:before="120" w:after="120"/>
        <w:jc w:val="both"/>
      </w:pPr>
      <w:r w:rsidRPr="00BB11AF">
        <w:t xml:space="preserve">Anders, G. 2002 [1956]. </w:t>
      </w:r>
      <w:r w:rsidRPr="0025193D">
        <w:rPr>
          <w:i/>
        </w:rPr>
        <w:t>L'obsolescence de l'Homme</w:t>
      </w:r>
      <w:r w:rsidRPr="00BB11AF">
        <w:t>. Paris : Enc</w:t>
      </w:r>
      <w:r w:rsidRPr="00BB11AF">
        <w:t>y</w:t>
      </w:r>
      <w:r w:rsidRPr="00BB11AF">
        <w:t>clopédie des nuisances.</w:t>
      </w:r>
    </w:p>
    <w:p w:rsidR="003A3061" w:rsidRPr="00BB11AF" w:rsidRDefault="003A3061" w:rsidP="003A3061">
      <w:pPr>
        <w:spacing w:before="120" w:after="120"/>
        <w:jc w:val="both"/>
      </w:pPr>
      <w:r w:rsidRPr="00BB11AF">
        <w:t xml:space="preserve">Ariès, P. 2008. </w:t>
      </w:r>
      <w:r w:rsidRPr="0025193D">
        <w:rPr>
          <w:i/>
        </w:rPr>
        <w:t>La décroissance. Un nouveau projet politique</w:t>
      </w:r>
      <w:r w:rsidRPr="00BB11AF">
        <w:t>. Lyon : Éditions Golias.</w:t>
      </w:r>
    </w:p>
    <w:p w:rsidR="003A3061" w:rsidRPr="00BB11AF" w:rsidRDefault="003A3061" w:rsidP="003A3061">
      <w:pPr>
        <w:spacing w:before="120" w:after="120"/>
        <w:jc w:val="both"/>
      </w:pPr>
      <w:r w:rsidRPr="00BB11AF">
        <w:t xml:space="preserve">Bayon, D., F. Flipo et F. Schneider. 2010. </w:t>
      </w:r>
      <w:r w:rsidRPr="0025193D">
        <w:rPr>
          <w:i/>
        </w:rPr>
        <w:t>La décroissance. 10 questions pour comprendre et débattre</w:t>
      </w:r>
      <w:r w:rsidRPr="00BB11AF">
        <w:t>. Paris : La Découverte.</w:t>
      </w:r>
    </w:p>
    <w:p w:rsidR="003A3061" w:rsidRPr="00BB11AF" w:rsidRDefault="003A3061" w:rsidP="003A3061">
      <w:pPr>
        <w:spacing w:before="120" w:after="120"/>
        <w:jc w:val="both"/>
      </w:pPr>
      <w:r w:rsidRPr="00BB11AF">
        <w:t xml:space="preserve">Benoist de, A. 2010. </w:t>
      </w:r>
      <w:r w:rsidRPr="0025193D">
        <w:rPr>
          <w:i/>
        </w:rPr>
        <w:t>Demain, la décroissance !</w:t>
      </w:r>
      <w:r w:rsidRPr="00BB11AF">
        <w:t xml:space="preserve"> Paris : E/dite.</w:t>
      </w:r>
    </w:p>
    <w:p w:rsidR="003A3061" w:rsidRPr="00BB11AF" w:rsidRDefault="003A3061" w:rsidP="003A3061">
      <w:pPr>
        <w:spacing w:before="120" w:after="120"/>
        <w:jc w:val="both"/>
      </w:pPr>
      <w:r w:rsidRPr="00BB11AF">
        <w:t xml:space="preserve">Besset, J-P. 2005. </w:t>
      </w:r>
      <w:r w:rsidRPr="0025193D">
        <w:rPr>
          <w:i/>
        </w:rPr>
        <w:t>Comment ne plus être progressiste... sans dev</w:t>
      </w:r>
      <w:r w:rsidRPr="0025193D">
        <w:rPr>
          <w:i/>
        </w:rPr>
        <w:t>e</w:t>
      </w:r>
      <w:r w:rsidRPr="0025193D">
        <w:rPr>
          <w:i/>
        </w:rPr>
        <w:t>nir réactionnaire</w:t>
      </w:r>
      <w:r w:rsidRPr="00BB11AF">
        <w:t xml:space="preserve">. Paris : Fayard. </w:t>
      </w:r>
    </w:p>
    <w:p w:rsidR="003A3061" w:rsidRPr="00BB11AF" w:rsidRDefault="003A3061" w:rsidP="003A3061">
      <w:pPr>
        <w:spacing w:before="120" w:after="120"/>
        <w:jc w:val="both"/>
      </w:pPr>
      <w:r w:rsidRPr="00BB11AF">
        <w:t xml:space="preserve">Cheynet, V et B. Clémentin. 2002. « La décroissance soutenable et conviviale ». </w:t>
      </w:r>
      <w:r w:rsidRPr="0025193D">
        <w:rPr>
          <w:i/>
        </w:rPr>
        <w:t>Silence</w:t>
      </w:r>
      <w:r>
        <w:t>,</w:t>
      </w:r>
      <w:r w:rsidRPr="00BB11AF">
        <w:t xml:space="preserve"> 280 :3-17. </w:t>
      </w:r>
    </w:p>
    <w:p w:rsidR="003A3061" w:rsidRPr="00BB11AF" w:rsidRDefault="003A3061" w:rsidP="003A3061">
      <w:pPr>
        <w:spacing w:before="120" w:after="120"/>
        <w:jc w:val="both"/>
      </w:pPr>
      <w:r w:rsidRPr="00BB11AF">
        <w:t xml:space="preserve">Cheynet, V. 2008. </w:t>
      </w:r>
      <w:r w:rsidRPr="0025193D">
        <w:rPr>
          <w:i/>
        </w:rPr>
        <w:t>Le choc de la d</w:t>
      </w:r>
      <w:r w:rsidRPr="0025193D">
        <w:rPr>
          <w:i/>
        </w:rPr>
        <w:t>é</w:t>
      </w:r>
      <w:r w:rsidRPr="0025193D">
        <w:rPr>
          <w:i/>
        </w:rPr>
        <w:t>croissance</w:t>
      </w:r>
      <w:r w:rsidRPr="00BB11AF">
        <w:t>. Paris : Le Seuil.</w:t>
      </w:r>
    </w:p>
    <w:p w:rsidR="003A3061" w:rsidRPr="00BB11AF" w:rsidRDefault="003A3061" w:rsidP="003A3061">
      <w:pPr>
        <w:spacing w:before="120" w:after="120"/>
        <w:jc w:val="both"/>
      </w:pPr>
      <w:r w:rsidRPr="00BB11AF">
        <w:t xml:space="preserve">Clastres, P. 1974. </w:t>
      </w:r>
      <w:r w:rsidRPr="0025193D">
        <w:rPr>
          <w:i/>
        </w:rPr>
        <w:t>La société contre l’État</w:t>
      </w:r>
      <w:r w:rsidRPr="00BB11AF">
        <w:t>. Paris : Éditions de M</w:t>
      </w:r>
      <w:r w:rsidRPr="00BB11AF">
        <w:t>i</w:t>
      </w:r>
      <w:r w:rsidRPr="00BB11AF">
        <w:t>nuit.</w:t>
      </w:r>
    </w:p>
    <w:p w:rsidR="003A3061" w:rsidRPr="00BB11AF" w:rsidRDefault="003A3061" w:rsidP="003A3061">
      <w:pPr>
        <w:spacing w:before="120" w:after="120"/>
        <w:jc w:val="both"/>
      </w:pPr>
      <w:r w:rsidRPr="00BB11AF">
        <w:t xml:space="preserve">Club de Rome. 1972. </w:t>
      </w:r>
      <w:r w:rsidRPr="0025193D">
        <w:rPr>
          <w:i/>
        </w:rPr>
        <w:t>Halte à la croissance ?</w:t>
      </w:r>
      <w:r w:rsidRPr="00BB11AF">
        <w:t xml:space="preserve"> Paris : Fayard.</w:t>
      </w:r>
    </w:p>
    <w:p w:rsidR="003A3061" w:rsidRPr="00BB11AF" w:rsidRDefault="003A3061" w:rsidP="003A3061">
      <w:pPr>
        <w:spacing w:before="120" w:after="120"/>
        <w:jc w:val="both"/>
      </w:pPr>
      <w:r w:rsidRPr="00BB11AF">
        <w:t xml:space="preserve">Descola, P. 2005. </w:t>
      </w:r>
      <w:r w:rsidRPr="0025193D">
        <w:rPr>
          <w:i/>
        </w:rPr>
        <w:t>Par-delà nature et culture</w:t>
      </w:r>
      <w:r w:rsidRPr="00BB11AF">
        <w:t>. Paris : Gallimard.</w:t>
      </w:r>
    </w:p>
    <w:p w:rsidR="003A3061" w:rsidRPr="00BB11AF" w:rsidRDefault="003A3061" w:rsidP="003A3061">
      <w:pPr>
        <w:spacing w:before="120" w:after="120"/>
        <w:jc w:val="both"/>
      </w:pPr>
      <w:r w:rsidRPr="00BB11AF">
        <w:t xml:space="preserve">Dumont, L. 1985. </w:t>
      </w:r>
      <w:r w:rsidRPr="0025193D">
        <w:rPr>
          <w:i/>
        </w:rPr>
        <w:t>Homo aequalis : genèse et épanouissement de l'idéologie économique</w:t>
      </w:r>
      <w:r w:rsidRPr="00BB11AF">
        <w:t>. Paris : Gallimard.</w:t>
      </w:r>
    </w:p>
    <w:p w:rsidR="003A3061" w:rsidRPr="00BB11AF" w:rsidRDefault="003A3061" w:rsidP="003A3061">
      <w:pPr>
        <w:spacing w:before="120" w:after="120"/>
        <w:jc w:val="both"/>
      </w:pPr>
      <w:r w:rsidRPr="00BB11AF">
        <w:t xml:space="preserve">Duverger, T. 2011. </w:t>
      </w:r>
      <w:r w:rsidRPr="0025193D">
        <w:rPr>
          <w:i/>
        </w:rPr>
        <w:t>La décroissance, une idée pour demain</w:t>
      </w:r>
      <w:r w:rsidRPr="00BB11AF">
        <w:t>. Paris : Sang de la Terre.</w:t>
      </w:r>
    </w:p>
    <w:p w:rsidR="003A3061" w:rsidRPr="00BB11AF" w:rsidRDefault="003A3061" w:rsidP="003A3061">
      <w:pPr>
        <w:spacing w:before="120" w:after="120"/>
        <w:jc w:val="both"/>
      </w:pPr>
      <w:r w:rsidRPr="00BB11AF">
        <w:t xml:space="preserve">Ellul, J. 2004 [1988]. </w:t>
      </w:r>
      <w:r w:rsidRPr="0025193D">
        <w:rPr>
          <w:i/>
        </w:rPr>
        <w:t>Le bluff technologique</w:t>
      </w:r>
      <w:r w:rsidRPr="00BB11AF">
        <w:t>. Paris : Hachette.</w:t>
      </w:r>
    </w:p>
    <w:p w:rsidR="003A3061" w:rsidRPr="00BB11AF" w:rsidRDefault="003A3061" w:rsidP="003A3061">
      <w:pPr>
        <w:spacing w:before="120" w:after="120"/>
        <w:jc w:val="both"/>
      </w:pPr>
      <w:r w:rsidRPr="00BB11AF">
        <w:t xml:space="preserve">Freitag, M. 2002. </w:t>
      </w:r>
      <w:r w:rsidRPr="0025193D">
        <w:rPr>
          <w:i/>
        </w:rPr>
        <w:t>L'oubli de la société</w:t>
      </w:r>
      <w:r w:rsidRPr="00BB11AF">
        <w:t>. Rennes : Presses Univers</w:t>
      </w:r>
      <w:r w:rsidRPr="00BB11AF">
        <w:t>i</w:t>
      </w:r>
      <w:r w:rsidRPr="00BB11AF">
        <w:t>taire de Rennes.</w:t>
      </w:r>
    </w:p>
    <w:p w:rsidR="003A3061" w:rsidRPr="00BB11AF" w:rsidRDefault="003A3061" w:rsidP="003A3061">
      <w:pPr>
        <w:spacing w:before="120" w:after="120"/>
        <w:jc w:val="both"/>
      </w:pPr>
      <w:r w:rsidRPr="00BB11AF">
        <w:t xml:space="preserve">Généreux, J. 2008. </w:t>
      </w:r>
      <w:r w:rsidRPr="0025193D">
        <w:rPr>
          <w:i/>
        </w:rPr>
        <w:t>La dissociété</w:t>
      </w:r>
      <w:r w:rsidRPr="00BB11AF">
        <w:t>. Paris : Le Seuil.</w:t>
      </w:r>
    </w:p>
    <w:p w:rsidR="003A3061" w:rsidRPr="00BB11AF" w:rsidRDefault="003A3061" w:rsidP="003A3061">
      <w:pPr>
        <w:spacing w:before="120" w:after="120"/>
        <w:jc w:val="both"/>
      </w:pPr>
      <w:r w:rsidRPr="00BB11AF">
        <w:t xml:space="preserve">Georgescu-Roegen, N. 1979. </w:t>
      </w:r>
      <w:r w:rsidRPr="0025193D">
        <w:rPr>
          <w:i/>
        </w:rPr>
        <w:t>Demain la décroissance. Entropie, écologie, économie</w:t>
      </w:r>
      <w:r w:rsidRPr="00BB11AF">
        <w:t>. Paris : Sang de la Terre.</w:t>
      </w:r>
    </w:p>
    <w:p w:rsidR="003A3061" w:rsidRPr="00BB11AF" w:rsidRDefault="003A3061" w:rsidP="003A3061">
      <w:pPr>
        <w:spacing w:before="120" w:after="120"/>
        <w:jc w:val="both"/>
      </w:pPr>
      <w:r w:rsidRPr="00BB11AF">
        <w:t xml:space="preserve">Gorz, A. 1980. </w:t>
      </w:r>
      <w:r w:rsidRPr="0025193D">
        <w:rPr>
          <w:i/>
        </w:rPr>
        <w:t>Adieux au prolétariat</w:t>
      </w:r>
      <w:r w:rsidRPr="00BB11AF">
        <w:t>. Paris : Galilée.</w:t>
      </w:r>
    </w:p>
    <w:p w:rsidR="003A3061" w:rsidRPr="00BB11AF" w:rsidRDefault="003A3061" w:rsidP="003A3061">
      <w:pPr>
        <w:spacing w:before="120" w:after="120"/>
        <w:jc w:val="both"/>
      </w:pPr>
      <w:r>
        <w:t xml:space="preserve">_____, </w:t>
      </w:r>
      <w:r w:rsidRPr="00BB11AF">
        <w:t xml:space="preserve">2008. </w:t>
      </w:r>
      <w:r w:rsidRPr="0025193D">
        <w:rPr>
          <w:i/>
        </w:rPr>
        <w:t>Ecologica</w:t>
      </w:r>
      <w:r w:rsidRPr="00BB11AF">
        <w:t>. Paris : Galilée.</w:t>
      </w:r>
    </w:p>
    <w:p w:rsidR="003A3061" w:rsidRPr="00BB11AF" w:rsidRDefault="003A3061" w:rsidP="003A3061">
      <w:pPr>
        <w:spacing w:before="120" w:after="120"/>
        <w:jc w:val="both"/>
      </w:pPr>
      <w:r w:rsidRPr="00BB11AF">
        <w:t xml:space="preserve">Gras, A. 2003. </w:t>
      </w:r>
      <w:r w:rsidRPr="0025193D">
        <w:rPr>
          <w:i/>
        </w:rPr>
        <w:t>La fragilité de la puissance</w:t>
      </w:r>
      <w:r w:rsidRPr="00BB11AF">
        <w:t>. Paris : Fayard.</w:t>
      </w:r>
    </w:p>
    <w:p w:rsidR="003A3061" w:rsidRPr="00BB11AF" w:rsidRDefault="003A3061" w:rsidP="003A3061">
      <w:pPr>
        <w:spacing w:before="120" w:after="120"/>
        <w:jc w:val="both"/>
      </w:pPr>
      <w:r w:rsidRPr="00BB11AF">
        <w:t xml:space="preserve">Horkheimer, M. et T. W. Adorno. 19741[1944]. </w:t>
      </w:r>
      <w:r w:rsidRPr="0025193D">
        <w:rPr>
          <w:i/>
        </w:rPr>
        <w:t>La dialectique de la raison. Fragments philosophiques</w:t>
      </w:r>
      <w:r w:rsidRPr="00BB11AF">
        <w:t>. Paris : Gallimard.</w:t>
      </w:r>
    </w:p>
    <w:p w:rsidR="003A3061" w:rsidRPr="00BB11AF" w:rsidRDefault="003A3061" w:rsidP="003A3061">
      <w:pPr>
        <w:spacing w:before="120" w:after="120"/>
        <w:jc w:val="both"/>
      </w:pPr>
      <w:r w:rsidRPr="00BB11AF">
        <w:t xml:space="preserve">Illich, I. 2003[1973], </w:t>
      </w:r>
      <w:r w:rsidRPr="0025193D">
        <w:rPr>
          <w:i/>
        </w:rPr>
        <w:t>La convivialité</w:t>
      </w:r>
      <w:r w:rsidRPr="00BB11AF">
        <w:t>. Paris : Le Seuil.</w:t>
      </w:r>
    </w:p>
    <w:p w:rsidR="003A3061" w:rsidRPr="00BB11AF" w:rsidRDefault="003A3061" w:rsidP="003A3061">
      <w:pPr>
        <w:spacing w:before="120" w:after="120"/>
        <w:jc w:val="both"/>
      </w:pPr>
      <w:r w:rsidRPr="00BB11AF">
        <w:t xml:space="preserve">Jackson, T. 2010[2009]. </w:t>
      </w:r>
      <w:r w:rsidRPr="0025193D">
        <w:rPr>
          <w:i/>
        </w:rPr>
        <w:t>Prospérité sans croissance</w:t>
      </w:r>
      <w:r w:rsidRPr="00BB11AF">
        <w:t>. Paris : De Boeck-Etopia.</w:t>
      </w:r>
    </w:p>
    <w:p w:rsidR="003A3061" w:rsidRPr="00BB11AF" w:rsidRDefault="003A3061" w:rsidP="003A3061">
      <w:pPr>
        <w:spacing w:before="120" w:after="120"/>
        <w:jc w:val="both"/>
      </w:pPr>
      <w:r w:rsidRPr="00BB11AF">
        <w:t xml:space="preserve">Jappe, A. 2011. </w:t>
      </w:r>
      <w:r w:rsidRPr="0025193D">
        <w:rPr>
          <w:i/>
        </w:rPr>
        <w:t>Crédit à mort</w:t>
      </w:r>
      <w:r w:rsidRPr="00BB11AF">
        <w:t>. Paris : Éditions Lignes.</w:t>
      </w:r>
    </w:p>
    <w:p w:rsidR="003A3061" w:rsidRPr="00BB11AF" w:rsidRDefault="003A3061" w:rsidP="003A3061">
      <w:pPr>
        <w:spacing w:before="120" w:after="120"/>
        <w:jc w:val="both"/>
      </w:pPr>
      <w:r w:rsidRPr="00BB11AF">
        <w:t xml:space="preserve">Latouche, S. 2004. </w:t>
      </w:r>
      <w:r w:rsidRPr="0025193D">
        <w:rPr>
          <w:i/>
        </w:rPr>
        <w:t>Survivre au développement. De la décolonis</w:t>
      </w:r>
      <w:r w:rsidRPr="0025193D">
        <w:rPr>
          <w:i/>
        </w:rPr>
        <w:t>a</w:t>
      </w:r>
      <w:r w:rsidRPr="0025193D">
        <w:rPr>
          <w:i/>
        </w:rPr>
        <w:t>tion de l'imaginaire économique à la construction d'une société alte</w:t>
      </w:r>
      <w:r w:rsidRPr="0025193D">
        <w:rPr>
          <w:i/>
        </w:rPr>
        <w:t>r</w:t>
      </w:r>
      <w:r w:rsidRPr="0025193D">
        <w:rPr>
          <w:i/>
        </w:rPr>
        <w:t>native</w:t>
      </w:r>
      <w:r w:rsidRPr="00BB11AF">
        <w:t>. Paris : Mille et une nuits.</w:t>
      </w:r>
    </w:p>
    <w:p w:rsidR="003A3061" w:rsidRPr="00BB11AF" w:rsidRDefault="003A3061" w:rsidP="003A3061">
      <w:pPr>
        <w:spacing w:before="120" w:after="120"/>
        <w:jc w:val="both"/>
      </w:pPr>
      <w:r>
        <w:t xml:space="preserve">_____, </w:t>
      </w:r>
      <w:r w:rsidRPr="00BB11AF">
        <w:t xml:space="preserve">2010. </w:t>
      </w:r>
      <w:r w:rsidRPr="0025193D">
        <w:rPr>
          <w:i/>
        </w:rPr>
        <w:t>Le pari de la décroissance</w:t>
      </w:r>
      <w:r w:rsidRPr="00BB11AF">
        <w:t>. Paris : Fayard/Pluriel.</w:t>
      </w:r>
    </w:p>
    <w:p w:rsidR="003A3061" w:rsidRPr="00BB11AF" w:rsidRDefault="003A3061" w:rsidP="003A3061">
      <w:pPr>
        <w:spacing w:before="120" w:after="120"/>
        <w:jc w:val="both"/>
      </w:pPr>
      <w:r w:rsidRPr="00BB11AF">
        <w:t>[230]</w:t>
      </w:r>
    </w:p>
    <w:p w:rsidR="003A3061" w:rsidRPr="00BB11AF" w:rsidRDefault="003A3061" w:rsidP="003A3061">
      <w:pPr>
        <w:spacing w:before="120" w:after="120"/>
        <w:jc w:val="both"/>
      </w:pPr>
      <w:r w:rsidRPr="00BB11AF">
        <w:t>Martinez-Alier, J. 2011. « Justice environnementale et décroissa</w:t>
      </w:r>
      <w:r w:rsidRPr="00BB11AF">
        <w:t>n</w:t>
      </w:r>
      <w:r w:rsidRPr="00BB11AF">
        <w:t xml:space="preserve">ce économique ? L'alliance de deux mouvements ». </w:t>
      </w:r>
      <w:r w:rsidRPr="0025193D">
        <w:rPr>
          <w:i/>
        </w:rPr>
        <w:t>Écologie &amp; pol</w:t>
      </w:r>
      <w:r w:rsidRPr="0025193D">
        <w:rPr>
          <w:i/>
        </w:rPr>
        <w:t>i</w:t>
      </w:r>
      <w:r w:rsidRPr="0025193D">
        <w:rPr>
          <w:i/>
        </w:rPr>
        <w:t>tique</w:t>
      </w:r>
      <w:r>
        <w:t>,</w:t>
      </w:r>
      <w:r w:rsidRPr="00BB11AF">
        <w:t xml:space="preserve"> 41 :125-141.</w:t>
      </w:r>
    </w:p>
    <w:p w:rsidR="003A3061" w:rsidRPr="00BB11AF" w:rsidRDefault="003A3061" w:rsidP="003A3061">
      <w:pPr>
        <w:spacing w:before="120" w:after="120"/>
        <w:jc w:val="both"/>
      </w:pPr>
      <w:r w:rsidRPr="00BB11AF">
        <w:t xml:space="preserve">Partant, F. 1982. </w:t>
      </w:r>
      <w:r w:rsidRPr="0025193D">
        <w:rPr>
          <w:i/>
        </w:rPr>
        <w:t>La fin du développement : naissance d'une alte</w:t>
      </w:r>
      <w:r w:rsidRPr="0025193D">
        <w:rPr>
          <w:i/>
        </w:rPr>
        <w:t>r</w:t>
      </w:r>
      <w:r w:rsidRPr="0025193D">
        <w:rPr>
          <w:i/>
        </w:rPr>
        <w:t>native ?</w:t>
      </w:r>
      <w:r w:rsidRPr="00BB11AF">
        <w:t xml:space="preserve"> Paris : La Découverte.</w:t>
      </w:r>
    </w:p>
    <w:p w:rsidR="003A3061" w:rsidRPr="00BB11AF" w:rsidRDefault="003A3061" w:rsidP="003A3061">
      <w:pPr>
        <w:spacing w:before="120" w:after="120"/>
        <w:jc w:val="both"/>
      </w:pPr>
      <w:r w:rsidRPr="00BB11AF">
        <w:t>Pilon-Lé, L., A. Hubert (dir.). 1983</w:t>
      </w:r>
      <w:hyperlink r:id="rId71" w:history="1">
        <w:r w:rsidRPr="0025193D">
          <w:rPr>
            <w:rStyle w:val="Lienhypertexte"/>
            <w:i/>
          </w:rPr>
          <w:t>. Les enjeux sociaux de la d</w:t>
        </w:r>
        <w:r w:rsidRPr="0025193D">
          <w:rPr>
            <w:rStyle w:val="Lienhypertexte"/>
            <w:i/>
          </w:rPr>
          <w:t>é</w:t>
        </w:r>
        <w:r w:rsidRPr="0025193D">
          <w:rPr>
            <w:rStyle w:val="Lienhypertexte"/>
            <w:i/>
          </w:rPr>
          <w:t>croissance</w:t>
        </w:r>
      </w:hyperlink>
      <w:r w:rsidRPr="00BB11AF">
        <w:t>. Actes du colloque de l'ACSALF de 1982. Montréal : Les éditions coopératives Albert Saint-Martin.</w:t>
      </w:r>
    </w:p>
    <w:p w:rsidR="003A3061" w:rsidRPr="00BB11AF" w:rsidRDefault="003A3061" w:rsidP="003A3061">
      <w:pPr>
        <w:spacing w:before="120" w:after="120"/>
        <w:jc w:val="both"/>
      </w:pPr>
      <w:r w:rsidRPr="00BB11AF">
        <w:t xml:space="preserve">Polanyi, K. 1983 [1944]. </w:t>
      </w:r>
      <w:r w:rsidRPr="0025193D">
        <w:rPr>
          <w:i/>
        </w:rPr>
        <w:t>La grande transformation</w:t>
      </w:r>
      <w:r w:rsidRPr="00BB11AF">
        <w:t>. Paris : Gall</w:t>
      </w:r>
      <w:r w:rsidRPr="00BB11AF">
        <w:t>i</w:t>
      </w:r>
      <w:r w:rsidRPr="00BB11AF">
        <w:t>mard.</w:t>
      </w:r>
    </w:p>
    <w:p w:rsidR="003A3061" w:rsidRPr="00BB11AF" w:rsidRDefault="003A3061" w:rsidP="003A3061">
      <w:pPr>
        <w:spacing w:before="120" w:after="120"/>
        <w:jc w:val="both"/>
      </w:pPr>
      <w:r w:rsidRPr="00BB11AF">
        <w:t xml:space="preserve">Ridoux, N. 2006. </w:t>
      </w:r>
      <w:r w:rsidRPr="0025193D">
        <w:rPr>
          <w:i/>
        </w:rPr>
        <w:t>La décroissance pour tous</w:t>
      </w:r>
      <w:r w:rsidRPr="00BB11AF">
        <w:t>. Lyon : Parangon.</w:t>
      </w:r>
    </w:p>
    <w:p w:rsidR="003A3061" w:rsidRPr="00BB11AF" w:rsidRDefault="003A3061" w:rsidP="003A3061">
      <w:pPr>
        <w:spacing w:before="120" w:after="120"/>
        <w:jc w:val="both"/>
      </w:pPr>
      <w:r w:rsidRPr="00BB11AF">
        <w:t xml:space="preserve">Rist, G. 2007. </w:t>
      </w:r>
      <w:r w:rsidRPr="0025193D">
        <w:rPr>
          <w:i/>
        </w:rPr>
        <w:t>Le développement : histoire d'une croyance occide</w:t>
      </w:r>
      <w:r w:rsidRPr="0025193D">
        <w:rPr>
          <w:i/>
        </w:rPr>
        <w:t>n</w:t>
      </w:r>
      <w:r w:rsidRPr="0025193D">
        <w:rPr>
          <w:i/>
        </w:rPr>
        <w:t>tale</w:t>
      </w:r>
      <w:r w:rsidRPr="00BB11AF">
        <w:t xml:space="preserve">. Paris : Les Presses de Science Po. </w:t>
      </w:r>
    </w:p>
    <w:p w:rsidR="003A3061" w:rsidRPr="00BB11AF" w:rsidRDefault="003A3061" w:rsidP="003A3061">
      <w:pPr>
        <w:spacing w:before="120" w:after="120"/>
        <w:jc w:val="both"/>
      </w:pPr>
      <w:r w:rsidRPr="00BB11AF">
        <w:t xml:space="preserve">Sahlins, M. 1976 [1974]. </w:t>
      </w:r>
      <w:r w:rsidRPr="0025193D">
        <w:rPr>
          <w:i/>
        </w:rPr>
        <w:t>Âge de pierre, âge d'abondance</w:t>
      </w:r>
      <w:r w:rsidRPr="00BB11AF">
        <w:t>. Paris : Gallimard.</w:t>
      </w:r>
    </w:p>
    <w:p w:rsidR="003A3061" w:rsidRPr="00BB11AF" w:rsidRDefault="003A3061" w:rsidP="003A3061">
      <w:pPr>
        <w:spacing w:before="120" w:after="120"/>
        <w:jc w:val="both"/>
      </w:pPr>
      <w:r>
        <w:t xml:space="preserve">_____, </w:t>
      </w:r>
      <w:r w:rsidRPr="00BB11AF">
        <w:t xml:space="preserve">2009 [2008]. </w:t>
      </w:r>
      <w:r w:rsidRPr="0025193D">
        <w:rPr>
          <w:i/>
        </w:rPr>
        <w:t>La nature humaine : une illusion occidentale</w:t>
      </w:r>
      <w:r w:rsidRPr="00BB11AF">
        <w:t>. P</w:t>
      </w:r>
      <w:r w:rsidRPr="00BB11AF">
        <w:t>a</w:t>
      </w:r>
      <w:r w:rsidRPr="00BB11AF">
        <w:t>ris : Éditions de l'éclat.</w:t>
      </w:r>
    </w:p>
    <w:p w:rsidR="003A3061" w:rsidRPr="00BB11AF" w:rsidRDefault="003A3061" w:rsidP="003A3061">
      <w:pPr>
        <w:spacing w:before="120" w:after="120"/>
        <w:jc w:val="both"/>
      </w:pPr>
      <w:r w:rsidRPr="00BB11AF">
        <w:t xml:space="preserve">Schneider, F. 2003. « L'effet rebond ». </w:t>
      </w:r>
      <w:r w:rsidRPr="0025193D">
        <w:rPr>
          <w:i/>
        </w:rPr>
        <w:t>L'Écologiste</w:t>
      </w:r>
      <w:r>
        <w:t>,</w:t>
      </w:r>
      <w:r w:rsidRPr="00BB11AF">
        <w:t xml:space="preserve"> 11 :45-46.</w:t>
      </w:r>
    </w:p>
    <w:p w:rsidR="003A3061" w:rsidRPr="00BB11AF" w:rsidRDefault="003A3061" w:rsidP="003A3061">
      <w:pPr>
        <w:spacing w:before="120" w:after="120"/>
        <w:jc w:val="both"/>
      </w:pPr>
      <w:r w:rsidRPr="00BB11AF">
        <w:t xml:space="preserve">Tanuro, D. 2012. </w:t>
      </w:r>
      <w:r w:rsidRPr="0025193D">
        <w:rPr>
          <w:i/>
        </w:rPr>
        <w:t>L'impossible capitalisme vert</w:t>
      </w:r>
      <w:r w:rsidRPr="00BB11AF">
        <w:t>. Paris : La Déco</w:t>
      </w:r>
      <w:r w:rsidRPr="00BB11AF">
        <w:t>u</w:t>
      </w:r>
      <w:r w:rsidRPr="00BB11AF">
        <w:t>verte.</w:t>
      </w:r>
    </w:p>
    <w:p w:rsidR="003A3061" w:rsidRPr="00BB11AF" w:rsidRDefault="003A3061" w:rsidP="003A3061">
      <w:pPr>
        <w:spacing w:before="120" w:after="120"/>
        <w:jc w:val="both"/>
      </w:pPr>
    </w:p>
    <w:p w:rsidR="003A3061" w:rsidRDefault="003A3061" w:rsidP="003A3061">
      <w:pPr>
        <w:jc w:val="both"/>
      </w:pPr>
      <w:r w:rsidRPr="003F76B5">
        <w:rPr>
          <w:b/>
          <w:color w:val="FF0000"/>
        </w:rPr>
        <w:t>NOTES</w:t>
      </w:r>
    </w:p>
    <w:p w:rsidR="003A3061" w:rsidRDefault="003A3061" w:rsidP="003A3061">
      <w:pPr>
        <w:jc w:val="both"/>
      </w:pPr>
    </w:p>
    <w:p w:rsidR="003A3061" w:rsidRPr="00E07116" w:rsidRDefault="003A3061" w:rsidP="003A3061">
      <w:pPr>
        <w:jc w:val="both"/>
      </w:pPr>
      <w:r>
        <w:t>Pour faciliter la consultation des notes en fin de textes, nous les avons toutes converties, dans cette édition numérique des Classiques des sciences sociales, en notes de bas de page. JMT.</w:t>
      </w:r>
    </w:p>
    <w:p w:rsidR="003A3061" w:rsidRPr="00BB11AF" w:rsidRDefault="003A3061" w:rsidP="003A3061">
      <w:pPr>
        <w:spacing w:before="120" w:after="120"/>
        <w:jc w:val="both"/>
      </w:pPr>
    </w:p>
    <w:p w:rsidR="003A3061" w:rsidRPr="00BB11AF" w:rsidRDefault="003A3061" w:rsidP="003A3061">
      <w:pPr>
        <w:pStyle w:val="p"/>
      </w:pPr>
      <w:r w:rsidRPr="00BB11AF">
        <w:t>[231]</w:t>
      </w:r>
    </w:p>
    <w:p w:rsidR="003A3061" w:rsidRPr="00BB11AF" w:rsidRDefault="003A3061" w:rsidP="003A3061">
      <w:pPr>
        <w:pStyle w:val="p"/>
      </w:pPr>
      <w:r w:rsidRPr="00BB11AF">
        <w:t>[232]</w:t>
      </w:r>
    </w:p>
    <w:p w:rsidR="003A3061" w:rsidRPr="00BB11AF" w:rsidRDefault="003A3061" w:rsidP="003A3061">
      <w:pPr>
        <w:spacing w:before="120" w:after="120"/>
        <w:jc w:val="both"/>
      </w:pPr>
    </w:p>
    <w:p w:rsidR="003A3061" w:rsidRPr="00BB11AF" w:rsidRDefault="003A3061" w:rsidP="003A3061">
      <w:pPr>
        <w:pStyle w:val="p"/>
      </w:pPr>
      <w:r w:rsidRPr="00BB11AF">
        <w:br w:type="page"/>
        <w:t>[233]</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hanging="20"/>
        <w:jc w:val="center"/>
        <w:rPr>
          <w:b/>
          <w:sz w:val="24"/>
        </w:rPr>
      </w:pPr>
      <w:r w:rsidRPr="00BB11AF">
        <w:rPr>
          <w:b/>
          <w:i/>
          <w:color w:val="FF0000"/>
          <w:sz w:val="24"/>
        </w:rPr>
        <w:t>Crise</w:t>
      </w:r>
      <w:r w:rsidRPr="00BB11AF">
        <w:rPr>
          <w:b/>
          <w:sz w:val="24"/>
        </w:rPr>
        <w:t xml:space="preserve"> et mise en </w:t>
      </w:r>
      <w:r w:rsidRPr="00BB11AF">
        <w:rPr>
          <w:b/>
          <w:i/>
          <w:color w:val="FF0000"/>
          <w:sz w:val="24"/>
        </w:rPr>
        <w:t>crise</w:t>
      </w:r>
      <w:r w:rsidRPr="00BB11AF">
        <w:rPr>
          <w:b/>
          <w:sz w:val="24"/>
        </w:rPr>
        <w:t>.</w:t>
      </w:r>
    </w:p>
    <w:p w:rsidR="003A3061" w:rsidRPr="00BB11AF" w:rsidRDefault="003A3061" w:rsidP="003A3061">
      <w:pPr>
        <w:jc w:val="center"/>
        <w:rPr>
          <w:sz w:val="24"/>
        </w:rPr>
      </w:pPr>
      <w:r w:rsidRPr="00BB11AF">
        <w:rPr>
          <w:sz w:val="24"/>
        </w:rPr>
        <w:t>Actes du colloque annuel de l’ACSALF 2012.</w:t>
      </w:r>
    </w:p>
    <w:p w:rsidR="003A3061" w:rsidRPr="00BB11AF" w:rsidRDefault="003A3061" w:rsidP="003A3061">
      <w:pPr>
        <w:pStyle w:val="planchest"/>
      </w:pPr>
      <w:r w:rsidRPr="00BB11AF">
        <w:t>REMERCIEMENTS</w:t>
      </w:r>
    </w:p>
    <w:p w:rsidR="003A3061" w:rsidRPr="00BB11AF" w:rsidRDefault="003A3061" w:rsidP="003A3061">
      <w:pPr>
        <w:jc w:val="both"/>
      </w:pPr>
    </w:p>
    <w:p w:rsidR="003A3061" w:rsidRPr="00BB11AF" w:rsidRDefault="003A3061" w:rsidP="003A3061">
      <w:pPr>
        <w:jc w:val="both"/>
      </w:pPr>
    </w:p>
    <w:p w:rsidR="003A3061" w:rsidRPr="00BB11AF" w:rsidRDefault="003A3061" w:rsidP="003A3061">
      <w:pPr>
        <w:jc w:val="both"/>
      </w:pPr>
    </w:p>
    <w:p w:rsidR="003A3061" w:rsidRPr="00BB11AF" w:rsidRDefault="003A3061" w:rsidP="003A3061">
      <w:pPr>
        <w:jc w:val="both"/>
      </w:pPr>
    </w:p>
    <w:p w:rsidR="003A3061" w:rsidRPr="00BB11AF" w:rsidRDefault="003A3061" w:rsidP="003A3061">
      <w:pPr>
        <w:jc w:val="both"/>
      </w:pPr>
    </w:p>
    <w:p w:rsidR="003A3061" w:rsidRPr="00BB11AF" w:rsidRDefault="003A3061" w:rsidP="003A3061">
      <w:pPr>
        <w:ind w:right="90" w:firstLine="0"/>
        <w:jc w:val="both"/>
        <w:rPr>
          <w:sz w:val="20"/>
        </w:rPr>
      </w:pPr>
      <w:hyperlink w:anchor="tdm" w:history="1">
        <w:r w:rsidRPr="00BB11AF">
          <w:rPr>
            <w:rStyle w:val="Lienhypertexte"/>
            <w:sz w:val="20"/>
          </w:rPr>
          <w:t>Retour à la table des matières</w:t>
        </w:r>
      </w:hyperlink>
    </w:p>
    <w:p w:rsidR="003A3061" w:rsidRPr="00BB11AF" w:rsidRDefault="00356B29" w:rsidP="003A3061">
      <w:pPr>
        <w:spacing w:before="120" w:after="120"/>
        <w:jc w:val="both"/>
      </w:pPr>
      <w:r w:rsidRPr="00BB11AF">
        <w:rPr>
          <w:noProof/>
          <w:lang w:val="fr-FR" w:eastAsia="fr-FR"/>
        </w:rPr>
        <w:drawing>
          <wp:anchor distT="0" distB="0" distL="63500" distR="182880" simplePos="0" relativeHeight="251663872" behindDoc="1" locked="0" layoutInCell="1" allowOverlap="0">
            <wp:simplePos x="0" y="0"/>
            <wp:positionH relativeFrom="margin">
              <wp:posOffset>165735</wp:posOffset>
            </wp:positionH>
            <wp:positionV relativeFrom="margin">
              <wp:posOffset>2974340</wp:posOffset>
            </wp:positionV>
            <wp:extent cx="1130300" cy="787400"/>
            <wp:effectExtent l="25400" t="25400" r="12700" b="12700"/>
            <wp:wrapTight wrapText="bothSides">
              <wp:wrapPolygon edited="0">
                <wp:start x="-485" y="-697"/>
                <wp:lineTo x="-485" y="21948"/>
                <wp:lineTo x="21843" y="21948"/>
                <wp:lineTo x="21843" y="-697"/>
                <wp:lineTo x="-485" y="-697"/>
              </wp:wrapPolygon>
            </wp:wrapTight>
            <wp:docPr id="21" name="Image 21" descr="imag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image6"/>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0300" cy="787400"/>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3A3061" w:rsidRPr="00BB11AF">
        <w:t>Le projet des actes du colloque Crise et mise en crise est l'abouti</w:t>
      </w:r>
      <w:r w:rsidR="003A3061" w:rsidRPr="00BB11AF">
        <w:t>s</w:t>
      </w:r>
      <w:r w:rsidR="003A3061" w:rsidRPr="00BB11AF">
        <w:t>s</w:t>
      </w:r>
      <w:r w:rsidR="003A3061" w:rsidRPr="00BB11AF">
        <w:t>e</w:t>
      </w:r>
      <w:r w:rsidR="003A3061" w:rsidRPr="00BB11AF">
        <w:t>ment de plusieurs années de travail ayant débuté avec la tenue du colloque lui-même. Plusieurs organismes ont contr</w:t>
      </w:r>
      <w:r w:rsidR="003A3061" w:rsidRPr="00BB11AF">
        <w:t>i</w:t>
      </w:r>
      <w:r w:rsidR="003A3061" w:rsidRPr="00BB11AF">
        <w:t>bué à son succès.</w:t>
      </w:r>
    </w:p>
    <w:p w:rsidR="003A3061" w:rsidRPr="00BB11AF" w:rsidRDefault="003A3061" w:rsidP="003A3061">
      <w:pPr>
        <w:spacing w:before="120" w:after="120"/>
        <w:jc w:val="both"/>
      </w:pPr>
      <w:r w:rsidRPr="00BB11AF">
        <w:t>Le Conseil de recherches en scie</w:t>
      </w:r>
      <w:r w:rsidRPr="00BB11AF">
        <w:t>n</w:t>
      </w:r>
      <w:r w:rsidRPr="00BB11AF">
        <w:t>ces humaines du Canada (CRSH), de par son programme Connexion, nous a permis de donner à ce colloque tout son caractère professio</w:t>
      </w:r>
      <w:r w:rsidRPr="00BB11AF">
        <w:t>n</w:t>
      </w:r>
      <w:r w:rsidRPr="00BB11AF">
        <w:t>nel.</w:t>
      </w:r>
    </w:p>
    <w:p w:rsidR="003A3061" w:rsidRPr="00BB11AF" w:rsidRDefault="003A3061" w:rsidP="003A3061">
      <w:pPr>
        <w:spacing w:before="120" w:after="120"/>
        <w:jc w:val="both"/>
      </w:pPr>
      <w:r w:rsidRPr="00BB11AF">
        <w:t>La Wenner-Gren Foundation nous a accordé une subvention qui nous a permis de faire venir un nombre s</w:t>
      </w:r>
      <w:r w:rsidRPr="00BB11AF">
        <w:t>i</w:t>
      </w:r>
      <w:r w:rsidRPr="00BB11AF">
        <w:t>gnificatif de chercheurs du Sud, parmi lesquels Zakaria Rhani, un des contr</w:t>
      </w:r>
      <w:r w:rsidRPr="00BB11AF">
        <w:t>i</w:t>
      </w:r>
      <w:r w:rsidRPr="00BB11AF">
        <w:t>buteurs aux actes.</w:t>
      </w:r>
    </w:p>
    <w:p w:rsidR="003A3061" w:rsidRPr="00BB11AF" w:rsidRDefault="003A3061" w:rsidP="003A3061">
      <w:pPr>
        <w:spacing w:before="120" w:after="120"/>
        <w:jc w:val="both"/>
      </w:pPr>
      <w:r w:rsidRPr="00BB11AF">
        <w:t>Plusieurs départements, facultés et groupes de recherche nous ont également accordé un appui significatif. L'Université d'Ottawa nous a fourni une aide sub</w:t>
      </w:r>
      <w:r w:rsidRPr="00BB11AF">
        <w:t>s</w:t>
      </w:r>
      <w:r w:rsidRPr="00BB11AF">
        <w:t>tantielle qui a permis d'assurer le bon déroulement du colloque. Nous remercions principalement la Faculté des sciences sociales, le Dépa</w:t>
      </w:r>
      <w:r w:rsidRPr="00BB11AF">
        <w:t>r</w:t>
      </w:r>
      <w:r w:rsidRPr="00BB11AF">
        <w:t>tement de sociologie et d'anthropologie ainsi que le Centre interdisciplinaire de recherche sur la citoyenneté et les minor</w:t>
      </w:r>
      <w:r w:rsidRPr="00BB11AF">
        <w:t>i</w:t>
      </w:r>
      <w:r w:rsidRPr="00BB11AF">
        <w:t>tés (CIRCEM). La Faculté et le Département de sociologie de l'UQAM, la Chaire de recherche en immigration, ethnicité et citoye</w:t>
      </w:r>
      <w:r w:rsidRPr="00BB11AF">
        <w:t>n</w:t>
      </w:r>
      <w:r w:rsidRPr="00BB11AF">
        <w:t>neté (CRIEC), ainsi que l'Institut d'études internationales de Montréal UQAM (IEIM) nous ont aidés tant au plan financier que du point de vue des ressources huma</w:t>
      </w:r>
      <w:r w:rsidRPr="00BB11AF">
        <w:t>i</w:t>
      </w:r>
      <w:r w:rsidRPr="00BB11AF">
        <w:t>nes.</w:t>
      </w:r>
    </w:p>
    <w:p w:rsidR="003A3061" w:rsidRPr="00BB11AF" w:rsidRDefault="003A3061" w:rsidP="003A3061">
      <w:pPr>
        <w:spacing w:before="120" w:after="120"/>
        <w:jc w:val="both"/>
      </w:pPr>
      <w:r w:rsidRPr="00BB11AF">
        <w:t>Le Consulat général de France à Montréal a encore joué un rôle culturel fondamental finançant la venue de Monsieur Alain Gresh du Monde diplomatique.</w:t>
      </w:r>
    </w:p>
    <w:p w:rsidR="003A3061" w:rsidRPr="00BB11AF" w:rsidRDefault="003A3061" w:rsidP="003A3061">
      <w:pPr>
        <w:spacing w:before="120" w:after="120"/>
        <w:jc w:val="both"/>
      </w:pPr>
      <w:r w:rsidRPr="00BB11AF">
        <w:t>L'INRS - Urbanisation Culture Société et sa directrice, Madame Claire Poitras, nous ont ouvert toutes grandes leurs portes comme e</w:t>
      </w:r>
      <w:r w:rsidRPr="00BB11AF">
        <w:t>l</w:t>
      </w:r>
      <w:r w:rsidRPr="00BB11AF">
        <w:t>les le font depuis quelques années en hébergeant le siège de l'associ</w:t>
      </w:r>
      <w:r w:rsidRPr="00BB11AF">
        <w:t>a</w:t>
      </w:r>
      <w:r w:rsidRPr="00BB11AF">
        <w:t>tion aussi bien qu'un bon nombre de ses activités.</w:t>
      </w:r>
    </w:p>
    <w:p w:rsidR="003A3061" w:rsidRPr="00BB11AF" w:rsidRDefault="003A3061" w:rsidP="003A3061">
      <w:pPr>
        <w:spacing w:before="120" w:after="120"/>
        <w:jc w:val="both"/>
      </w:pPr>
      <w:r w:rsidRPr="00BB11AF">
        <w:t>[234]</w:t>
      </w:r>
    </w:p>
    <w:p w:rsidR="003A3061" w:rsidRPr="00BB11AF" w:rsidRDefault="003A3061" w:rsidP="003A3061">
      <w:pPr>
        <w:spacing w:before="120" w:after="120"/>
        <w:jc w:val="both"/>
      </w:pPr>
      <w:r w:rsidRPr="00BB11AF">
        <w:t>Nous tenons également à remercier Madame Gabriela Coman, qui a été coordonnatrice de l'ACSALF jusqu'en 2013 et qui dans le cadre de ses fonctions a joué un rôle décisif tant sur le plan de l'organisation du colloque que de la mise en branle du projet des actes de colloques.</w:t>
      </w:r>
    </w:p>
    <w:p w:rsidR="003A3061" w:rsidRPr="00BB11AF" w:rsidRDefault="003A3061" w:rsidP="003A3061">
      <w:pPr>
        <w:spacing w:before="120" w:after="120"/>
        <w:jc w:val="both"/>
      </w:pPr>
      <w:r w:rsidRPr="00BB11AF">
        <w:t>Nous voulons aussi souligner le travail des autres membres du c</w:t>
      </w:r>
      <w:r w:rsidRPr="00BB11AF">
        <w:t>o</w:t>
      </w:r>
      <w:r w:rsidRPr="00BB11AF">
        <w:t>m</w:t>
      </w:r>
      <w:r w:rsidRPr="00BB11AF">
        <w:t>i</w:t>
      </w:r>
      <w:r w:rsidRPr="00BB11AF">
        <w:t>té d'organisation du colloque Crise et mise en crise, soit Mesdames H</w:t>
      </w:r>
      <w:r w:rsidRPr="00BB11AF">
        <w:t>é</w:t>
      </w:r>
      <w:r w:rsidRPr="00BB11AF">
        <w:t>lène Charon et Nancy Couture et Monsieur Frédéric Parent.</w:t>
      </w:r>
    </w:p>
    <w:p w:rsidR="003A3061" w:rsidRPr="00BB11AF" w:rsidRDefault="003A3061" w:rsidP="003A3061">
      <w:pPr>
        <w:spacing w:before="120" w:after="120"/>
        <w:jc w:val="both"/>
      </w:pPr>
      <w:r w:rsidRPr="00BB11AF">
        <w:t>Nous tenons à remercier également tous les sociologues et les a</w:t>
      </w:r>
      <w:r w:rsidRPr="00BB11AF">
        <w:t>n</w:t>
      </w:r>
      <w:r w:rsidRPr="00BB11AF">
        <w:t>thropologues qui ont contribué à la formulation du colloque en part</w:t>
      </w:r>
      <w:r w:rsidRPr="00BB11AF">
        <w:t>i</w:t>
      </w:r>
      <w:r w:rsidRPr="00BB11AF">
        <w:t>cipant à des ateliers de réflexion et en commentant nos propositions.</w:t>
      </w:r>
    </w:p>
    <w:p w:rsidR="003A3061" w:rsidRPr="00BB11AF" w:rsidRDefault="003A3061" w:rsidP="003A3061">
      <w:pPr>
        <w:spacing w:before="120" w:after="120"/>
        <w:jc w:val="both"/>
      </w:pPr>
      <w:r w:rsidRPr="00BB11AF">
        <w:t>Enfin, les actes de colloque n'auraient pu voir le jour sans le d</w:t>
      </w:r>
      <w:r w:rsidRPr="00BB11AF">
        <w:t>é</w:t>
      </w:r>
      <w:r w:rsidRPr="00BB11AF">
        <w:t>vouement des nombreux évaluateurs externes qui, de par la qualité et la justesse de leurs commentaires, ont permis de bonifier les textes ici présentés. En terminant, nous tenons à remercier Madame Hélène Barbe pour son aide précieuse quant à la révision linguistique.</w:t>
      </w:r>
    </w:p>
    <w:p w:rsidR="003A3061" w:rsidRPr="00BB11AF" w:rsidRDefault="003A3061" w:rsidP="003A3061">
      <w:pPr>
        <w:spacing w:before="120" w:after="120"/>
        <w:jc w:val="both"/>
      </w:pPr>
      <w:r w:rsidRPr="00BB11AF">
        <w:br w:type="page"/>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Quatrième de couverture</w:t>
      </w:r>
    </w:p>
    <w:p w:rsidR="003A3061" w:rsidRPr="00BB11AF" w:rsidRDefault="003A3061" w:rsidP="003A3061">
      <w:pPr>
        <w:spacing w:before="120" w:after="120"/>
        <w:jc w:val="both"/>
      </w:pPr>
    </w:p>
    <w:p w:rsidR="003A3061" w:rsidRPr="00BB11AF" w:rsidRDefault="003A3061" w:rsidP="003A3061">
      <w:pPr>
        <w:spacing w:before="120" w:after="120"/>
        <w:jc w:val="both"/>
      </w:pPr>
      <w:r w:rsidRPr="00BB11AF">
        <w:t>La crise - en tant qu’ethos, discours ou technologie de gouvern</w:t>
      </w:r>
      <w:r w:rsidRPr="00BB11AF">
        <w:t>e</w:t>
      </w:r>
      <w:r w:rsidRPr="00BB11AF">
        <w:t>ment - est une question d’une actualité prégnante qui a néanmoins toujours été centrale à l’analyse sociale. Les textes publiés dans les actes du colloque « Crise et mise en crise » visent à fournir une co</w:t>
      </w:r>
      <w:r w:rsidRPr="00BB11AF">
        <w:t>m</w:t>
      </w:r>
      <w:r w:rsidRPr="00BB11AF">
        <w:t>préhension fine des sens, fonctions, structures et effets de phénomènes archétypaux de la crise globale actuelle, notamment les révoltes ar</w:t>
      </w:r>
      <w:r w:rsidRPr="00BB11AF">
        <w:t>a</w:t>
      </w:r>
      <w:r w:rsidRPr="00BB11AF">
        <w:t>bes ou encore les mouvements d’indignation et de protestation comme les Carrés rouges québécois. Nous ambitionnons d’offrir une meille</w:t>
      </w:r>
      <w:r w:rsidRPr="00BB11AF">
        <w:t>u</w:t>
      </w:r>
      <w:r w:rsidRPr="00BB11AF">
        <w:t>re compréhension de la dialectique induite par le processus transfo</w:t>
      </w:r>
      <w:r w:rsidRPr="00BB11AF">
        <w:t>r</w:t>
      </w:r>
      <w:r w:rsidRPr="00BB11AF">
        <w:t>mation /crise /contrainte /émancipation, notamment en les e</w:t>
      </w:r>
      <w:r w:rsidRPr="00BB11AF">
        <w:t>x</w:t>
      </w:r>
      <w:r w:rsidRPr="00BB11AF">
        <w:t>tirpant de leur réalité empirique afin de les réinscrire, plus largement, dans des théorisations ayant trait au changement social, culturel et p</w:t>
      </w:r>
      <w:r w:rsidRPr="00BB11AF">
        <w:t>o</w:t>
      </w:r>
      <w:r w:rsidRPr="00BB11AF">
        <w:t>litique. Pour ce faire, nous proposons des analyses alliant perspectives à la fois théoriques et empiriques, de même que des cas d’étude ou des analyses comparées sous la forme d’une mise en commun des débats autour du thème de la crise.</w:t>
      </w:r>
    </w:p>
    <w:p w:rsidR="003A3061" w:rsidRPr="00BB11AF" w:rsidRDefault="003A3061" w:rsidP="003A3061">
      <w:pPr>
        <w:spacing w:before="120" w:after="120"/>
        <w:ind w:firstLine="0"/>
        <w:jc w:val="both"/>
      </w:pPr>
    </w:p>
    <w:p w:rsidR="003A3061" w:rsidRPr="00BB11AF" w:rsidRDefault="003A3061" w:rsidP="003A3061">
      <w:pPr>
        <w:spacing w:before="120" w:after="120"/>
        <w:ind w:firstLine="0"/>
        <w:jc w:val="both"/>
      </w:pPr>
    </w:p>
    <w:p w:rsidR="003A3061" w:rsidRPr="00BB11AF" w:rsidRDefault="003A3061" w:rsidP="003A3061">
      <w:pPr>
        <w:pStyle w:val="p"/>
      </w:pPr>
    </w:p>
    <w:sectPr w:rsidR="003A3061" w:rsidRPr="00BB11AF" w:rsidSect="003A3061">
      <w:headerReference w:type="default" r:id="rId7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13B" w:rsidRDefault="005C513B">
      <w:r>
        <w:separator/>
      </w:r>
    </w:p>
  </w:endnote>
  <w:endnote w:type="continuationSeparator" w:id="0">
    <w:p w:rsidR="005C513B" w:rsidRDefault="005C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AppleGothic">
    <w:panose1 w:val="00000000000000000000"/>
    <w:charset w:val="81"/>
    <w:family w:val="auto"/>
    <w:pitch w:val="variable"/>
    <w:sig w:usb0="00000001" w:usb1="09060000" w:usb2="00000010" w:usb3="00000000" w:csb0="00280001"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panose1 w:val="020B0502020104020203"/>
    <w:charset w:val="B1"/>
    <w:family w:val="swiss"/>
    <w:pitch w:val="variable"/>
    <w:sig w:usb0="80000A67" w:usb1="00000000" w:usb2="00000000" w:usb3="00000000" w:csb0="000001F7" w:csb1="00000000"/>
  </w:font>
  <w:font w:name="B Times Bold">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13B" w:rsidRDefault="005C513B">
      <w:pPr>
        <w:ind w:firstLine="0"/>
      </w:pPr>
      <w:r>
        <w:separator/>
      </w:r>
    </w:p>
  </w:footnote>
  <w:footnote w:type="continuationSeparator" w:id="0">
    <w:p w:rsidR="005C513B" w:rsidRDefault="005C513B">
      <w:pPr>
        <w:ind w:firstLine="0"/>
      </w:pPr>
      <w:r>
        <w:separator/>
      </w:r>
    </w:p>
  </w:footnote>
  <w:footnote w:id="1">
    <w:p w:rsidR="003A3061" w:rsidRDefault="003A3061">
      <w:pPr>
        <w:pStyle w:val="Notedebasdepage"/>
      </w:pPr>
      <w:r>
        <w:rPr>
          <w:rStyle w:val="Appelnotedebasdep"/>
        </w:rPr>
        <w:footnoteRef/>
      </w:r>
      <w:r>
        <w:t xml:space="preserve"> </w:t>
      </w:r>
      <w:r>
        <w:tab/>
      </w:r>
      <w:r w:rsidRPr="00BB11AF">
        <w:t>II est à noter que ce texte n'a pas été réactualisé depuis son écr</w:t>
      </w:r>
      <w:r w:rsidRPr="00BB11AF">
        <w:t>i</w:t>
      </w:r>
      <w:r w:rsidRPr="00BB11AF">
        <w:t>ture dans le cadre du colloque qui a eu lieu à la fin octobre 2012.</w:t>
      </w:r>
    </w:p>
  </w:footnote>
  <w:footnote w:id="2">
    <w:p w:rsidR="003A3061" w:rsidRDefault="003A3061">
      <w:pPr>
        <w:pStyle w:val="Notedebasdepage"/>
      </w:pPr>
      <w:r>
        <w:rPr>
          <w:rStyle w:val="Appelnotedebasdep"/>
        </w:rPr>
        <w:footnoteRef/>
      </w:r>
      <w:r>
        <w:t xml:space="preserve"> </w:t>
      </w:r>
      <w:r>
        <w:tab/>
      </w:r>
      <w:r w:rsidRPr="00BB11AF">
        <w:t>Conférence de Habib Touhami ayant eu lieu le 7 mars 2012 au Club des économètres tunisiens.</w:t>
      </w:r>
    </w:p>
  </w:footnote>
  <w:footnote w:id="3">
    <w:p w:rsidR="003A3061" w:rsidRDefault="003A3061">
      <w:pPr>
        <w:pStyle w:val="Notedebasdepage"/>
      </w:pPr>
      <w:r>
        <w:rPr>
          <w:rStyle w:val="Appelnotedebasdep"/>
        </w:rPr>
        <w:footnoteRef/>
      </w:r>
      <w:r>
        <w:t xml:space="preserve"> </w:t>
      </w:r>
      <w:r>
        <w:tab/>
      </w:r>
      <w:r w:rsidRPr="00BB11AF">
        <w:t>C'est à la place de la Kasbah à Tunis qu'est situé le siège du gouvernement. Cette place a été occupée à deux reprises en janvier et en février par des m</w:t>
      </w:r>
      <w:r w:rsidRPr="00BB11AF">
        <w:t>a</w:t>
      </w:r>
      <w:r w:rsidRPr="00BB11AF">
        <w:t>nifestants -dont une majorité de jeunes- d'origines régionales et d'appart</w:t>
      </w:r>
      <w:r w:rsidRPr="00BB11AF">
        <w:t>e</w:t>
      </w:r>
      <w:r w:rsidRPr="00BB11AF">
        <w:t>nances politiques différentes pour récl</w:t>
      </w:r>
      <w:r w:rsidRPr="00BB11AF">
        <w:t>a</w:t>
      </w:r>
      <w:r w:rsidRPr="00BB11AF">
        <w:t>mer le départ des deux premiers gouvernements composés en majorité de personnalités ayant servi sous l'a</w:t>
      </w:r>
      <w:r w:rsidRPr="00BB11AF">
        <w:t>n</w:t>
      </w:r>
      <w:r w:rsidRPr="00BB11AF">
        <w:t>cien régime.</w:t>
      </w:r>
    </w:p>
  </w:footnote>
  <w:footnote w:id="4">
    <w:p w:rsidR="003A3061" w:rsidRDefault="003A3061">
      <w:pPr>
        <w:pStyle w:val="Notedebasdepage"/>
      </w:pPr>
      <w:r>
        <w:rPr>
          <w:rStyle w:val="Appelnotedebasdep"/>
        </w:rPr>
        <w:footnoteRef/>
      </w:r>
      <w:r>
        <w:t xml:space="preserve"> </w:t>
      </w:r>
      <w:r>
        <w:tab/>
      </w:r>
      <w:r w:rsidRPr="00BB11AF">
        <w:t>Parmi la centaine de partis politiques existant aujourd'hui, l'un s'est donné le nom de « conservateur progressiste ». L'appe</w:t>
      </w:r>
      <w:r w:rsidRPr="00BB11AF">
        <w:t>l</w:t>
      </w:r>
      <w:r w:rsidRPr="00BB11AF">
        <w:t>lation est moins farfelue qu'on ne pourrait le croire, tant sont grandes aujou</w:t>
      </w:r>
      <w:r w:rsidRPr="00BB11AF">
        <w:t>r</w:t>
      </w:r>
      <w:r w:rsidRPr="00BB11AF">
        <w:t>d'hui les contradictions vécues par les Tunisiens.</w:t>
      </w:r>
    </w:p>
  </w:footnote>
  <w:footnote w:id="5">
    <w:p w:rsidR="003A3061" w:rsidRDefault="003A3061">
      <w:pPr>
        <w:pStyle w:val="Notedebasdepage"/>
      </w:pPr>
      <w:r>
        <w:rPr>
          <w:rStyle w:val="Appelnotedebasdep"/>
        </w:rPr>
        <w:footnoteRef/>
      </w:r>
      <w:r>
        <w:t xml:space="preserve"> </w:t>
      </w:r>
      <w:r>
        <w:tab/>
      </w:r>
      <w:r w:rsidRPr="00BB11AF">
        <w:t xml:space="preserve">Le mariage </w:t>
      </w:r>
      <w:r w:rsidRPr="00BB11AF">
        <w:rPr>
          <w:i/>
        </w:rPr>
        <w:t>orfi</w:t>
      </w:r>
      <w:r w:rsidRPr="00BB11AF">
        <w:t xml:space="preserve"> est bien connu, c'est un mariage coutumier co</w:t>
      </w:r>
      <w:r w:rsidRPr="00BB11AF">
        <w:t>n</w:t>
      </w:r>
      <w:r w:rsidRPr="00BB11AF">
        <w:t>tracté devant une autorité religieuse. Il n'est pas légalement valable en Tunisie où seul le mariage devant un officier d'état-civil est reco</w:t>
      </w:r>
      <w:r w:rsidRPr="00BB11AF">
        <w:t>n</w:t>
      </w:r>
      <w:r w:rsidRPr="00BB11AF">
        <w:t xml:space="preserve">nu. Le mariage </w:t>
      </w:r>
      <w:r w:rsidRPr="00BB11AF">
        <w:rPr>
          <w:i/>
        </w:rPr>
        <w:t>orfi</w:t>
      </w:r>
      <w:r w:rsidRPr="00BB11AF">
        <w:t xml:space="preserve"> n'est pas le mariage "moutaa" ou provisoire, su</w:t>
      </w:r>
      <w:r w:rsidRPr="00BB11AF">
        <w:t>r</w:t>
      </w:r>
      <w:r w:rsidRPr="00BB11AF">
        <w:t>tout pratiqué en contexte chiite.</w:t>
      </w:r>
    </w:p>
  </w:footnote>
  <w:footnote w:id="6">
    <w:p w:rsidR="003A3061" w:rsidRDefault="003A3061">
      <w:pPr>
        <w:pStyle w:val="Notedebasdepage"/>
      </w:pPr>
      <w:r>
        <w:rPr>
          <w:rStyle w:val="Appelnotedebasdep"/>
        </w:rPr>
        <w:footnoteRef/>
      </w:r>
      <w:r>
        <w:tab/>
      </w:r>
      <w:r w:rsidRPr="00BB11AF">
        <w:t>Voir par exemple le livre de Bradley (2012) dont le titre est fort évocateur : After the Arab Spring : How Islamists Hijacked  the Mi</w:t>
      </w:r>
      <w:r w:rsidRPr="00BB11AF">
        <w:t>d</w:t>
      </w:r>
      <w:r w:rsidRPr="00BB11AF">
        <w:t>dle East Revolts.</w:t>
      </w:r>
    </w:p>
  </w:footnote>
  <w:footnote w:id="7">
    <w:p w:rsidR="003A3061" w:rsidRDefault="003A3061">
      <w:pPr>
        <w:pStyle w:val="Notedebasdepage"/>
      </w:pPr>
      <w:r>
        <w:rPr>
          <w:rStyle w:val="Appelnotedebasdep"/>
        </w:rPr>
        <w:footnoteRef/>
      </w:r>
      <w:r>
        <w:t xml:space="preserve"> </w:t>
      </w:r>
      <w:r>
        <w:tab/>
      </w:r>
      <w:r w:rsidRPr="00BB11AF">
        <w:t>« The Iranian Revolution presents itself in terms of Islam, that is to say, as a religion movement with a religious leadership, a religiously formulated cr</w:t>
      </w:r>
      <w:r w:rsidRPr="00BB11AF">
        <w:t>i</w:t>
      </w:r>
      <w:r w:rsidRPr="00BB11AF">
        <w:t>tique of the old order, and religiously expressed plans for the new. While the Jacobins thought of themselves as Roman R</w:t>
      </w:r>
      <w:r w:rsidRPr="00BB11AF">
        <w:t>e</w:t>
      </w:r>
      <w:r w:rsidRPr="00BB11AF">
        <w:t>publican, and the Bolsheviks were concemed to repeat or to avoid the French revolution, Muslim revol</w:t>
      </w:r>
      <w:r w:rsidRPr="00BB11AF">
        <w:t>u</w:t>
      </w:r>
      <w:r w:rsidRPr="00BB11AF">
        <w:t>tionaries looked to the birth of Islam as their paradigm, and saw themselves as engaged in a struggle against paganism, oppression, and empire, to est</w:t>
      </w:r>
      <w:r w:rsidRPr="00BB11AF">
        <w:t>a</w:t>
      </w:r>
      <w:r w:rsidRPr="00BB11AF">
        <w:t>blish, or rather rest</w:t>
      </w:r>
      <w:r w:rsidRPr="00BB11AF">
        <w:t>o</w:t>
      </w:r>
      <w:r w:rsidRPr="00BB11AF">
        <w:t>re, a true Islamic order » (Lewis 1988 :1).</w:t>
      </w:r>
    </w:p>
  </w:footnote>
  <w:footnote w:id="8">
    <w:p w:rsidR="003A3061" w:rsidRDefault="003A3061">
      <w:pPr>
        <w:pStyle w:val="Notedebasdepage"/>
      </w:pPr>
      <w:r>
        <w:rPr>
          <w:rStyle w:val="Appelnotedebasdep"/>
        </w:rPr>
        <w:footnoteRef/>
      </w:r>
      <w:r>
        <w:t xml:space="preserve"> </w:t>
      </w:r>
      <w:r>
        <w:tab/>
      </w:r>
      <w:r w:rsidRPr="00BB11AF">
        <w:t>Al-Azmeh (1997 :6) écrit à ce propos : « They were, first of all, the bearers by inheritance of the vast répertoire of political concepts common in the Semitic polities of the Near East, in which civilisation they continued through their use of Akkadian. Secondly, because of their influence upon Graecophone polities, Hellenistic and Byzantine, no less than on the cal</w:t>
      </w:r>
      <w:r w:rsidRPr="00BB11AF">
        <w:t>i</w:t>
      </w:r>
      <w:r w:rsidRPr="00BB11AF">
        <w:t>phate, they gave their name to the vast heritage of political notions and ic</w:t>
      </w:r>
      <w:r w:rsidRPr="00BB11AF">
        <w:t>o</w:t>
      </w:r>
      <w:r w:rsidRPr="00BB11AF">
        <w:t>nographies of the Near East, which they claimed to represent. Thirdly, they were the intermediary which reciprocally conne</w:t>
      </w:r>
      <w:r w:rsidRPr="00BB11AF">
        <w:t>c</w:t>
      </w:r>
      <w:r w:rsidRPr="00BB11AF">
        <w:t>ted Indic polities and those to the west of the Iranian plateau. And, finally, they added doctrinal el</w:t>
      </w:r>
      <w:r w:rsidRPr="00BB11AF">
        <w:t>e</w:t>
      </w:r>
      <w:r w:rsidRPr="00BB11AF">
        <w:t>ments, derived from Z</w:t>
      </w:r>
      <w:r w:rsidRPr="00BB11AF">
        <w:t>o</w:t>
      </w:r>
      <w:r w:rsidRPr="00BB11AF">
        <w:t>roastrianism, which were to influence greatly the elaboration of mon</w:t>
      </w:r>
      <w:r w:rsidRPr="00BB11AF">
        <w:t>o</w:t>
      </w:r>
      <w:r w:rsidRPr="00BB11AF">
        <w:t>theism of the Muslims without reference to their point of origin ».</w:t>
      </w:r>
    </w:p>
  </w:footnote>
  <w:footnote w:id="9">
    <w:p w:rsidR="003A3061" w:rsidRDefault="003A3061">
      <w:pPr>
        <w:pStyle w:val="Notedebasdepage"/>
      </w:pPr>
      <w:r>
        <w:rPr>
          <w:rStyle w:val="Appelnotedebasdep"/>
        </w:rPr>
        <w:footnoteRef/>
      </w:r>
      <w:r>
        <w:t xml:space="preserve"> </w:t>
      </w:r>
      <w:r>
        <w:tab/>
      </w:r>
      <w:r w:rsidRPr="00BB11AF">
        <w:t>« Même quand ils semblent occupés à se transformer, eux et les choses, à créer quelque chose de tout à fait nouveau », écrit Marx, « c'est précisément à ces époques de crise révolutionnaire qu'ils évoquent craintivement les e</w:t>
      </w:r>
      <w:r w:rsidRPr="00BB11AF">
        <w:t>s</w:t>
      </w:r>
      <w:r w:rsidRPr="00BB11AF">
        <w:t>prits du passé, qu'ils leur empruntent leurs noms, leurs mots d'ordre, leurs costumes, pour apparaître sur la nouvelle scène de l'histoire sous ce dégu</w:t>
      </w:r>
      <w:r w:rsidRPr="00BB11AF">
        <w:t>i</w:t>
      </w:r>
      <w:r w:rsidRPr="00BB11AF">
        <w:t>sement respectable et avec ce langage emprunté. C'est ainsi que Luther prit le masque de l'apôtre Paul, que la révolution de 1789 à 1814 se drapa su</w:t>
      </w:r>
      <w:r w:rsidRPr="00BB11AF">
        <w:t>c</w:t>
      </w:r>
      <w:r w:rsidRPr="00BB11AF">
        <w:t>cessivement dans le costume de la République romaine, puis dans celui de l'Empire romain, et que la rév</w:t>
      </w:r>
      <w:r w:rsidRPr="00BB11AF">
        <w:t>o</w:t>
      </w:r>
      <w:r w:rsidRPr="00BB11AF">
        <w:t>lution de 1848 ne sut rien faire de mieux que de parodier tantôt 1789, tantôt la tradition révolutionnaire de 1793 à 1795. C'est ainsi que le débutant qui apprend une nouvelle langue la retraduit to</w:t>
      </w:r>
      <w:r w:rsidRPr="00BB11AF">
        <w:t>u</w:t>
      </w:r>
      <w:r w:rsidRPr="00BB11AF">
        <w:t>jours dans sa langue maternelle, mais qu'il ne réussit à s'assimiler l'esprit de cette nouvelle langue et à s'en servir librement que quand il arrive à la m</w:t>
      </w:r>
      <w:r w:rsidRPr="00BB11AF">
        <w:t>a</w:t>
      </w:r>
      <w:r w:rsidRPr="00BB11AF">
        <w:t>nier sans se rappeler sa langue maternelle et qu'il parvient même à oublier complètement cette dernière » (1969[1951] : 13-14).</w:t>
      </w:r>
    </w:p>
  </w:footnote>
  <w:footnote w:id="10">
    <w:p w:rsidR="003A3061" w:rsidRDefault="003A3061">
      <w:pPr>
        <w:pStyle w:val="Notedebasdepage"/>
      </w:pPr>
      <w:r>
        <w:rPr>
          <w:rStyle w:val="Appelnotedebasdep"/>
        </w:rPr>
        <w:footnoteRef/>
      </w:r>
      <w:r>
        <w:t xml:space="preserve"> </w:t>
      </w:r>
      <w:r>
        <w:tab/>
      </w:r>
      <w:r w:rsidRPr="00BB11AF">
        <w:t>Qui a vu, pendant cinq ans et même davantage, se déchirer la communauté musulmane. Elle se déroule de la seconde moitié du cal</w:t>
      </w:r>
      <w:r w:rsidRPr="00BB11AF">
        <w:t>i</w:t>
      </w:r>
      <w:r w:rsidRPr="00BB11AF">
        <w:t>fat de 'Uthman à l'assassinat de 'Ali et, peu de temps après, à l'élévation de Mu'awiya au cal</w:t>
      </w:r>
      <w:r w:rsidRPr="00BB11AF">
        <w:t>i</w:t>
      </w:r>
      <w:r w:rsidRPr="00BB11AF">
        <w:t>fat islamique, donc ju</w:t>
      </w:r>
      <w:r w:rsidRPr="00BB11AF">
        <w:t>s</w:t>
      </w:r>
      <w:r w:rsidRPr="00BB11AF">
        <w:t>qu'à la fondation de la dynastie Omeyyade (29-41H/650-661).</w:t>
      </w:r>
    </w:p>
  </w:footnote>
  <w:footnote w:id="11">
    <w:p w:rsidR="003A3061" w:rsidRDefault="003A3061">
      <w:pPr>
        <w:pStyle w:val="Notedebasdepage"/>
      </w:pPr>
      <w:r>
        <w:rPr>
          <w:rStyle w:val="Appelnotedebasdep"/>
        </w:rPr>
        <w:footnoteRef/>
      </w:r>
      <w:r>
        <w:t xml:space="preserve"> </w:t>
      </w:r>
      <w:r>
        <w:tab/>
      </w:r>
      <w:r w:rsidRPr="00BB11AF">
        <w:t>Dont certaines versions sont encore présentes aujourd'hui en Tun</w:t>
      </w:r>
      <w:r w:rsidRPr="00BB11AF">
        <w:t>i</w:t>
      </w:r>
      <w:r w:rsidRPr="00BB11AF">
        <w:t>sie, en Algérie, en Libye et à Oman.</w:t>
      </w:r>
    </w:p>
  </w:footnote>
  <w:footnote w:id="12">
    <w:p w:rsidR="003A3061" w:rsidRDefault="003A3061">
      <w:pPr>
        <w:pStyle w:val="Notedebasdepage"/>
      </w:pPr>
      <w:r>
        <w:rPr>
          <w:rStyle w:val="Appelnotedebasdep"/>
        </w:rPr>
        <w:footnoteRef/>
      </w:r>
      <w:r>
        <w:t xml:space="preserve"> </w:t>
      </w:r>
      <w:r>
        <w:tab/>
      </w:r>
      <w:r w:rsidRPr="00BB11AF">
        <w:t>Sur le conflit politique entre 'Ali et Mu'awiya se greffèrent par la suite toutes sortes de mouvements religieux dissidents ou non, ainsi que de nombreuses controverses théologico-politiques, notamment la querelle de l'imamat. Le chiisme et le sunnisme ne sont pas sortis tout formés de cette discorde, mais il a fallu attendre encore près de deux siècles avant de voir se constituer les deux grandes branches de l'islam. Il faut aussi so</w:t>
      </w:r>
      <w:r w:rsidRPr="00BB11AF">
        <w:t>u</w:t>
      </w:r>
      <w:r w:rsidRPr="00BB11AF">
        <w:t>ligner que le conflit, au IX</w:t>
      </w:r>
      <w:r w:rsidRPr="00BB11AF">
        <w:rPr>
          <w:vertAlign w:val="superscript"/>
        </w:rPr>
        <w:t>e</w:t>
      </w:r>
      <w:r w:rsidRPr="00BB11AF">
        <w:t xml:space="preserve"> siècle, autour de la nature du Coran ou celui, au XIII</w:t>
      </w:r>
      <w:r w:rsidRPr="00BB11AF">
        <w:rPr>
          <w:vertAlign w:val="superscript"/>
        </w:rPr>
        <w:t>e</w:t>
      </w:r>
      <w:r w:rsidRPr="00BB11AF">
        <w:t xml:space="preserve"> siècle autour de la « sainteté » ont été aussi décisifs dans l'histoire des processus politico-religieux du mo</w:t>
      </w:r>
      <w:r w:rsidRPr="00BB11AF">
        <w:t>n</w:t>
      </w:r>
      <w:r w:rsidRPr="00BB11AF">
        <w:t>de islamique (Djaït 1989).</w:t>
      </w:r>
    </w:p>
  </w:footnote>
  <w:footnote w:id="13">
    <w:p w:rsidR="003A3061" w:rsidRDefault="003A3061">
      <w:pPr>
        <w:pStyle w:val="Notedebasdepage"/>
      </w:pPr>
      <w:r>
        <w:rPr>
          <w:rStyle w:val="Appelnotedebasdep"/>
        </w:rPr>
        <w:footnoteRef/>
      </w:r>
      <w:r>
        <w:t xml:space="preserve"> </w:t>
      </w:r>
      <w:r>
        <w:tab/>
      </w:r>
      <w:r w:rsidRPr="00BB11AF">
        <w:t>Voir à ce sujet la critique d'Abou El Fadl (2001).</w:t>
      </w:r>
    </w:p>
  </w:footnote>
  <w:footnote w:id="14">
    <w:p w:rsidR="003A3061" w:rsidRDefault="003A3061">
      <w:pPr>
        <w:pStyle w:val="Notedebasdepage"/>
      </w:pPr>
      <w:r>
        <w:rPr>
          <w:rStyle w:val="Appelnotedebasdep"/>
        </w:rPr>
        <w:footnoteRef/>
      </w:r>
      <w:r>
        <w:t xml:space="preserve"> </w:t>
      </w:r>
      <w:r>
        <w:tab/>
      </w:r>
      <w:r w:rsidRPr="00BB11AF">
        <w:t>'Aïcha (d. 58/678), Talha b. 'Ubayda Allah (d. 36/656) et al-Zubayr b. al-'Awwâm (d. 36/661) contre 'Ali ; al-Husayn b. 'Ali (d. 61/680) contre les Omeyyades.</w:t>
      </w:r>
    </w:p>
  </w:footnote>
  <w:footnote w:id="15">
    <w:p w:rsidR="003A3061" w:rsidRDefault="003A3061">
      <w:pPr>
        <w:pStyle w:val="Notedebasdepage"/>
      </w:pPr>
      <w:r>
        <w:rPr>
          <w:rStyle w:val="Appelnotedebasdep"/>
        </w:rPr>
        <w:footnoteRef/>
      </w:r>
      <w:r>
        <w:t xml:space="preserve"> </w:t>
      </w:r>
      <w:r>
        <w:tab/>
      </w:r>
      <w:r w:rsidRPr="00BB11AF">
        <w:t>Coran, sourate 49 : 9-10.</w:t>
      </w:r>
    </w:p>
  </w:footnote>
  <w:footnote w:id="16">
    <w:p w:rsidR="003A3061" w:rsidRDefault="003A3061">
      <w:pPr>
        <w:pStyle w:val="Notedebasdepage"/>
      </w:pPr>
      <w:r>
        <w:rPr>
          <w:rStyle w:val="Appelnotedebasdep"/>
        </w:rPr>
        <w:footnoteRef/>
      </w:r>
      <w:r>
        <w:t xml:space="preserve"> </w:t>
      </w:r>
      <w:r>
        <w:tab/>
      </w:r>
      <w:r w:rsidRPr="00BB11AF">
        <w:t>Le prophète dit à Yâssir b. 'Ammâr : « sataqtuluka al-fi'atu al-bâghiya » (Tu seras tué par le groupe séditieux). Yassir qui a été tué dans la bataille de Si</w:t>
      </w:r>
      <w:r w:rsidRPr="00BB11AF">
        <w:t>f</w:t>
      </w:r>
      <w:r w:rsidRPr="00BB11AF">
        <w:t>fin par les soldats de Mu'awiya. Ce qui implique que Mu'awiya est bâghi, un factieux, doit en conséquence être co</w:t>
      </w:r>
      <w:r w:rsidRPr="00BB11AF">
        <w:t>m</w:t>
      </w:r>
      <w:r w:rsidRPr="00BB11AF">
        <w:t>battu et qu'Ali doit être soutenu.</w:t>
      </w:r>
    </w:p>
  </w:footnote>
  <w:footnote w:id="17">
    <w:p w:rsidR="003A3061" w:rsidRDefault="003A3061">
      <w:pPr>
        <w:pStyle w:val="Notedebasdepage"/>
      </w:pPr>
      <w:r>
        <w:rPr>
          <w:rStyle w:val="Appelnotedebasdep"/>
        </w:rPr>
        <w:footnoteRef/>
      </w:r>
      <w:r>
        <w:t xml:space="preserve"> </w:t>
      </w:r>
      <w:r>
        <w:tab/>
      </w:r>
      <w:r w:rsidRPr="00BB11AF">
        <w:t>Al-ifsâd fi al-ard.</w:t>
      </w:r>
    </w:p>
  </w:footnote>
  <w:footnote w:id="18">
    <w:p w:rsidR="003A3061" w:rsidRDefault="003A3061">
      <w:pPr>
        <w:pStyle w:val="Notedebasdepage"/>
      </w:pPr>
      <w:r>
        <w:rPr>
          <w:rStyle w:val="Appelnotedebasdep"/>
        </w:rPr>
        <w:footnoteRef/>
      </w:r>
      <w:r>
        <w:t xml:space="preserve"> </w:t>
      </w:r>
      <w:r>
        <w:tab/>
      </w:r>
      <w:r w:rsidRPr="00BB11AF">
        <w:t>Sans compter certaines traditions prophétiques qui encouragent à la rébe</w:t>
      </w:r>
      <w:r w:rsidRPr="00BB11AF">
        <w:t>l</w:t>
      </w:r>
      <w:r w:rsidRPr="00BB11AF">
        <w:t>lion face à un pouvoir injuste.</w:t>
      </w:r>
    </w:p>
  </w:footnote>
  <w:footnote w:id="19">
    <w:p w:rsidR="003A3061" w:rsidRDefault="003A3061">
      <w:pPr>
        <w:pStyle w:val="Notedebasdepage"/>
      </w:pPr>
      <w:r>
        <w:rPr>
          <w:rStyle w:val="Appelnotedebasdep"/>
        </w:rPr>
        <w:footnoteRef/>
      </w:r>
      <w:r>
        <w:t xml:space="preserve"> </w:t>
      </w:r>
      <w:r>
        <w:tab/>
      </w:r>
      <w:r w:rsidRPr="00BB11AF">
        <w:t>Abu Ja'far al-Tusi (d. 406/1067) notamment.</w:t>
      </w:r>
    </w:p>
  </w:footnote>
  <w:footnote w:id="20">
    <w:p w:rsidR="003A3061" w:rsidRDefault="003A3061">
      <w:pPr>
        <w:pStyle w:val="Notedebasdepage"/>
      </w:pPr>
      <w:r>
        <w:rPr>
          <w:rStyle w:val="Appelnotedebasdep"/>
        </w:rPr>
        <w:footnoteRef/>
      </w:r>
      <w:r>
        <w:t xml:space="preserve"> </w:t>
      </w:r>
      <w:r>
        <w:tab/>
      </w:r>
      <w:r w:rsidRPr="00BB11AF">
        <w:t>À ce sujet, voir aussi Mervin (2004).</w:t>
      </w:r>
    </w:p>
  </w:footnote>
  <w:footnote w:id="21">
    <w:p w:rsidR="003A3061" w:rsidRDefault="003A3061">
      <w:pPr>
        <w:pStyle w:val="Notedebasdepage"/>
      </w:pPr>
      <w:r>
        <w:rPr>
          <w:rStyle w:val="Appelnotedebasdep"/>
        </w:rPr>
        <w:footnoteRef/>
      </w:r>
      <w:r>
        <w:t xml:space="preserve"> </w:t>
      </w:r>
      <w:r>
        <w:tab/>
      </w:r>
      <w:r w:rsidRPr="00BB11AF">
        <w:t>Le grand marja' Kho'i, qui fut le rival de Khomeiny, était non seulement comme lui, issu d'une famille religieuse, mais il exe</w:t>
      </w:r>
      <w:r w:rsidRPr="00BB11AF">
        <w:t>r</w:t>
      </w:r>
      <w:r w:rsidRPr="00BB11AF">
        <w:t>ça ses fonctions sans vraiment s'intéresser aux questions et aux débats du rapport du religieux au politique. Dans la période prérévolutionnaire et même après, deux conce</w:t>
      </w:r>
      <w:r w:rsidRPr="00BB11AF">
        <w:t>p</w:t>
      </w:r>
      <w:r w:rsidRPr="00BB11AF">
        <w:t>tions du rôle et de la fonction de marja' se dégagent ainsi : le modèle class</w:t>
      </w:r>
      <w:r w:rsidRPr="00BB11AF">
        <w:t>i</w:t>
      </w:r>
      <w:r w:rsidRPr="00BB11AF">
        <w:t>que attentiste, apolitique et traditionnel et le paradigme nouveau qui s'impl</w:t>
      </w:r>
      <w:r w:rsidRPr="00BB11AF">
        <w:t>i</w:t>
      </w:r>
      <w:r w:rsidRPr="00BB11AF">
        <w:t>que en politique, se veut à l'écoute des changements sociaux, et s'engage dans la réforme des idées et des institutions religie</w:t>
      </w:r>
      <w:r w:rsidRPr="00BB11AF">
        <w:t>u</w:t>
      </w:r>
      <w:r w:rsidRPr="00BB11AF">
        <w:t>ses (Khosrokhavar et Roy 1999 :72).</w:t>
      </w:r>
    </w:p>
  </w:footnote>
  <w:footnote w:id="22">
    <w:p w:rsidR="003A3061" w:rsidRDefault="003A3061">
      <w:pPr>
        <w:pStyle w:val="Notedebasdepage"/>
      </w:pPr>
      <w:r>
        <w:rPr>
          <w:rStyle w:val="Appelnotedebasdep"/>
        </w:rPr>
        <w:footnoteRef/>
      </w:r>
      <w:r>
        <w:t xml:space="preserve"> </w:t>
      </w:r>
      <w:r>
        <w:tab/>
      </w:r>
      <w:r w:rsidRPr="00BB11AF">
        <w:t>Selon le chiisme duodécimain, le douzième imam « disparut » en 874 et entra en occultation. Vivant, mais caché, il continua, dans un premier temps, à communiquer ses prescri</w:t>
      </w:r>
      <w:r w:rsidRPr="00BB11AF">
        <w:t>p</w:t>
      </w:r>
      <w:r w:rsidRPr="00BB11AF">
        <w:t>tions aux fidèles. Mais, à partir de 941, le lien avec ses adeptes fut rompu, ce que l'on désigne par l'occultation majeure au terme de laquelle, l'imam attendu reviendra sur terre pour y restaurer la ju</w:t>
      </w:r>
      <w:r w:rsidRPr="00BB11AF">
        <w:t>s</w:t>
      </w:r>
      <w:r w:rsidRPr="00BB11AF">
        <w:t>tice. Aussi, en attendant, la co</w:t>
      </w:r>
      <w:r w:rsidRPr="00BB11AF">
        <w:t>m</w:t>
      </w:r>
      <w:r w:rsidRPr="00BB11AF">
        <w:t>munauté des croyants se retrouva-t-elle sans guide, tant dans le d</w:t>
      </w:r>
      <w:r w:rsidRPr="00BB11AF">
        <w:t>o</w:t>
      </w:r>
      <w:r w:rsidRPr="00BB11AF">
        <w:t>maine spirituel que pour les affaires temporelles. Et des questions ce</w:t>
      </w:r>
      <w:r w:rsidRPr="00BB11AF">
        <w:t>n</w:t>
      </w:r>
      <w:r w:rsidRPr="00BB11AF">
        <w:t>trales, d'ordre politico-religieux, restaient sans réponse : qui, en l'a</w:t>
      </w:r>
      <w:r w:rsidRPr="00BB11AF">
        <w:t>b</w:t>
      </w:r>
      <w:r w:rsidRPr="00BB11AF">
        <w:t>sence de l'imam, détient le pouvoir de statuer, déjuger, d'arbitrer les conflits et de faire appliquer les peines ? Tardivement, les autorités rel</w:t>
      </w:r>
      <w:r w:rsidRPr="00BB11AF">
        <w:t>i</w:t>
      </w:r>
      <w:r w:rsidRPr="00BB11AF">
        <w:t>gieuses procédèrent à une élaboration doctrinale, afin de s'attribuer les fon</w:t>
      </w:r>
      <w:r w:rsidRPr="00BB11AF">
        <w:t>c</w:t>
      </w:r>
      <w:r w:rsidRPr="00BB11AF">
        <w:t>tions et les pouvoirs de l'imam, et d'agir en son nom en tant que des dél</w:t>
      </w:r>
      <w:r w:rsidRPr="00BB11AF">
        <w:t>é</w:t>
      </w:r>
      <w:r w:rsidRPr="00BB11AF">
        <w:t>gués. Ils impulsèrent, ainsi, un processus de « rationalisation » des doctrines qui s'effectua par étapes successives, au moyen, notamment, de l'introdu</w:t>
      </w:r>
      <w:r w:rsidRPr="00BB11AF">
        <w:t>c</w:t>
      </w:r>
      <w:r w:rsidRPr="00BB11AF">
        <w:t>tion de différents concepts clefs. C'est ce long processus qui allait permettre à Khomeiny de concevoir sa théorie de velayat-e faqih (Mervin 2004). Ai</w:t>
      </w:r>
      <w:r w:rsidRPr="00BB11AF">
        <w:t>n</w:t>
      </w:r>
      <w:r w:rsidRPr="00BB11AF">
        <w:t>si, la vision traditionnelle de l'imamat, qui suppose que tout pouvoir polit</w:t>
      </w:r>
      <w:r w:rsidRPr="00BB11AF">
        <w:t>i</w:t>
      </w:r>
      <w:r w:rsidRPr="00BB11AF">
        <w:t>que est inique et illégitime tant que le douzième imam n'est pas sorti de son occult</w:t>
      </w:r>
      <w:r w:rsidRPr="00BB11AF">
        <w:t>a</w:t>
      </w:r>
      <w:r w:rsidRPr="00BB11AF">
        <w:t>tion, est loin de la tendance révolutionnaire qu'on lui attribue. Au contraire, elle s'est souvent traduite par un quiétisme politique qui a</w:t>
      </w:r>
      <w:r w:rsidRPr="00BB11AF">
        <w:t>c</w:t>
      </w:r>
      <w:r w:rsidRPr="00BB11AF">
        <w:t>cepte le pouvoir établi. « Khomeiny, qualifié d'imam, a joué sur cette ambiguïté : sans le dire explicitement, il annonce qu'un régime islam</w:t>
      </w:r>
      <w:r w:rsidRPr="00BB11AF">
        <w:t>i</w:t>
      </w:r>
      <w:r w:rsidRPr="00BB11AF">
        <w:t>que authentique est possible parce que le faqih est lui-même le représe</w:t>
      </w:r>
      <w:r w:rsidRPr="00BB11AF">
        <w:t>n</w:t>
      </w:r>
      <w:r w:rsidRPr="00BB11AF">
        <w:t>tant du douzième imam » (Khosrokhavar et Roy 1999 :51, note 1).</w:t>
      </w:r>
    </w:p>
  </w:footnote>
  <w:footnote w:id="23">
    <w:p w:rsidR="003A3061" w:rsidRDefault="003A3061">
      <w:pPr>
        <w:pStyle w:val="Notedebasdepage"/>
      </w:pPr>
      <w:r>
        <w:rPr>
          <w:rStyle w:val="Appelnotedebasdep"/>
        </w:rPr>
        <w:footnoteRef/>
      </w:r>
      <w:r>
        <w:t xml:space="preserve"> </w:t>
      </w:r>
      <w:r>
        <w:tab/>
      </w:r>
      <w:r w:rsidRPr="00BB11AF">
        <w:t>Sur ce processus de « sécularisation », voir Khosrokhavar et Roy (1999 :50-74).</w:t>
      </w:r>
    </w:p>
  </w:footnote>
  <w:footnote w:id="24">
    <w:p w:rsidR="003A3061" w:rsidRDefault="003A3061">
      <w:pPr>
        <w:pStyle w:val="Notedebasdepage"/>
      </w:pPr>
      <w:r>
        <w:rPr>
          <w:rStyle w:val="Appelnotedebasdep"/>
        </w:rPr>
        <w:footnoteRef/>
      </w:r>
      <w:r>
        <w:t xml:space="preserve"> </w:t>
      </w:r>
      <w:r>
        <w:tab/>
      </w:r>
      <w:r w:rsidRPr="00BB11AF">
        <w:t>II n'y a aucune raison, par exemple, d'attribuer aux Alides du premier âge les notions tardives de l'imamat dont la genèse était très lo</w:t>
      </w:r>
      <w:r w:rsidRPr="00BB11AF">
        <w:t>n</w:t>
      </w:r>
      <w:r w:rsidRPr="00BB11AF">
        <w:t>gue.</w:t>
      </w:r>
    </w:p>
  </w:footnote>
  <w:footnote w:id="25">
    <w:p w:rsidR="003A3061" w:rsidRDefault="003A3061">
      <w:pPr>
        <w:pStyle w:val="Notedebasdepage"/>
      </w:pPr>
      <w:r>
        <w:rPr>
          <w:rStyle w:val="Appelnotedebasdep"/>
        </w:rPr>
        <w:footnoteRef/>
      </w:r>
      <w:r>
        <w:t xml:space="preserve"> </w:t>
      </w:r>
      <w:r>
        <w:tab/>
      </w:r>
      <w:r w:rsidRPr="00BB11AF">
        <w:t>Voir aussi la lecture critique de ce livre dans Rhani (2012).</w:t>
      </w:r>
    </w:p>
  </w:footnote>
  <w:footnote w:id="26">
    <w:p w:rsidR="003A3061" w:rsidRDefault="003A3061">
      <w:pPr>
        <w:pStyle w:val="Notedebasdepage"/>
      </w:pPr>
      <w:r>
        <w:rPr>
          <w:rStyle w:val="Appelnotedebasdep"/>
        </w:rPr>
        <w:footnoteRef/>
      </w:r>
      <w:r>
        <w:t xml:space="preserve"> </w:t>
      </w:r>
      <w:r>
        <w:tab/>
      </w:r>
      <w:r w:rsidRPr="00BB11AF">
        <w:t>Apparu au VIII</w:t>
      </w:r>
      <w:r w:rsidRPr="00BB11AF">
        <w:rPr>
          <w:vertAlign w:val="superscript"/>
        </w:rPr>
        <w:t>e</w:t>
      </w:r>
      <w:r w:rsidRPr="00BB11AF">
        <w:t xml:space="preserve"> siècle, le mu’Tazilisme est une école de pe</w:t>
      </w:r>
      <w:r w:rsidRPr="00BB11AF">
        <w:t>n</w:t>
      </w:r>
      <w:r w:rsidRPr="00BB11AF">
        <w:t>sée théologique musulmane qui prône une explication rationaliste des doctrines islamiques. Le principe d’al-manzila bayn al-manzilatayn (l'entre-deux), fut le premier à distinguer les mutazilites. Il désigne une position intermédiaire qu'occup</w:t>
      </w:r>
      <w:r w:rsidRPr="00BB11AF">
        <w:t>e</w:t>
      </w:r>
      <w:r w:rsidRPr="00BB11AF">
        <w:t>rait un musulman qui commet un grand péché : il n'est considéré ni comme croyant ni comme mécréant.</w:t>
      </w:r>
    </w:p>
  </w:footnote>
  <w:footnote w:id="27">
    <w:p w:rsidR="003A3061" w:rsidRDefault="003A3061">
      <w:pPr>
        <w:pStyle w:val="Notedebasdepage"/>
      </w:pPr>
      <w:r>
        <w:rPr>
          <w:rStyle w:val="Appelnotedebasdep"/>
        </w:rPr>
        <w:footnoteRef/>
      </w:r>
      <w:r>
        <w:t xml:space="preserve"> </w:t>
      </w:r>
      <w:r>
        <w:tab/>
      </w:r>
      <w:r w:rsidRPr="00BB11AF">
        <w:t>Sur ce mouvement de protestation, voir, entre autres, Hibou (2011), Bylocq et Granci (2012) et Tourabi (2012).</w:t>
      </w:r>
    </w:p>
  </w:footnote>
  <w:footnote w:id="28">
    <w:p w:rsidR="003A3061" w:rsidRDefault="003A3061">
      <w:pPr>
        <w:pStyle w:val="Notedebasdepage"/>
      </w:pPr>
      <w:r>
        <w:rPr>
          <w:rStyle w:val="Appelnotedebasdep"/>
        </w:rPr>
        <w:footnoteRef/>
      </w:r>
      <w:r>
        <w:t xml:space="preserve"> </w:t>
      </w:r>
      <w:r>
        <w:tab/>
      </w:r>
      <w:r w:rsidRPr="00BB11AF">
        <w:t>Entretien avec un membre de JAWI, le 20 avril 2012. Les extraits d'entr</w:t>
      </w:r>
      <w:r w:rsidRPr="00BB11AF">
        <w:t>e</w:t>
      </w:r>
      <w:r w:rsidRPr="00BB11AF">
        <w:t>tiens cités dans le texte sont des traductions libres de l'arabe marocain.</w:t>
      </w:r>
    </w:p>
  </w:footnote>
  <w:footnote w:id="29">
    <w:p w:rsidR="003A3061" w:rsidRDefault="003A3061">
      <w:pPr>
        <w:pStyle w:val="Notedebasdepage"/>
      </w:pPr>
      <w:r>
        <w:rPr>
          <w:rStyle w:val="Appelnotedebasdep"/>
        </w:rPr>
        <w:footnoteRef/>
      </w:r>
      <w:r>
        <w:t xml:space="preserve"> </w:t>
      </w:r>
      <w:r>
        <w:tab/>
      </w:r>
      <w:r w:rsidRPr="00BB11AF">
        <w:t>L'expression est celle de mes interlocuteurs.</w:t>
      </w:r>
    </w:p>
  </w:footnote>
  <w:footnote w:id="30">
    <w:p w:rsidR="003A3061" w:rsidRDefault="003A3061">
      <w:pPr>
        <w:pStyle w:val="Notedebasdepage"/>
      </w:pPr>
      <w:r>
        <w:rPr>
          <w:rStyle w:val="Appelnotedebasdep"/>
        </w:rPr>
        <w:footnoteRef/>
      </w:r>
      <w:r>
        <w:t xml:space="preserve"> </w:t>
      </w:r>
      <w:r>
        <w:tab/>
      </w:r>
      <w:r w:rsidRPr="00BB11AF">
        <w:t>Extrait d'un entretien avec un militant de JAWI.</w:t>
      </w:r>
    </w:p>
  </w:footnote>
  <w:footnote w:id="31">
    <w:p w:rsidR="003A3061" w:rsidRDefault="003A3061">
      <w:pPr>
        <w:pStyle w:val="Notedebasdepage"/>
      </w:pPr>
      <w:r>
        <w:rPr>
          <w:rStyle w:val="Appelnotedebasdep"/>
        </w:rPr>
        <w:footnoteRef/>
      </w:r>
      <w:r>
        <w:t xml:space="preserve"> </w:t>
      </w:r>
      <w:r>
        <w:tab/>
      </w:r>
      <w:r w:rsidRPr="00BB11AF">
        <w:t>Ce qui revient à dire, toujours selon Bayat (2010), que contra</w:t>
      </w:r>
      <w:r w:rsidRPr="00BB11AF">
        <w:t>i</w:t>
      </w:r>
      <w:r w:rsidRPr="00BB11AF">
        <w:t>rement à l'islamisme qui est marqué par la fusion de la religion et de la responsabilité, le post-islamisme met, quant à lui, l'accent sur la rel</w:t>
      </w:r>
      <w:r w:rsidRPr="00BB11AF">
        <w:t>i</w:t>
      </w:r>
      <w:r w:rsidRPr="00BB11AF">
        <w:t>giosité et les droits.</w:t>
      </w:r>
    </w:p>
  </w:footnote>
  <w:footnote w:id="32">
    <w:p w:rsidR="003A3061" w:rsidRDefault="003A3061">
      <w:pPr>
        <w:pStyle w:val="Notedebasdepage"/>
      </w:pPr>
      <w:r>
        <w:rPr>
          <w:rStyle w:val="Appelnotedebasdep"/>
        </w:rPr>
        <w:footnoteRef/>
      </w:r>
      <w:r>
        <w:t xml:space="preserve"> </w:t>
      </w:r>
      <w:r>
        <w:tab/>
      </w:r>
      <w:r w:rsidRPr="00BB11AF">
        <w:t>« Réfolution » est une contraction de réforme et révolution.</w:t>
      </w:r>
    </w:p>
  </w:footnote>
  <w:footnote w:id="33">
    <w:p w:rsidR="003A3061" w:rsidRDefault="003A3061">
      <w:pPr>
        <w:pStyle w:val="Notedebasdepage"/>
      </w:pPr>
      <w:r>
        <w:rPr>
          <w:rStyle w:val="Appelnotedebasdep"/>
        </w:rPr>
        <w:footnoteRef/>
      </w:r>
      <w:r>
        <w:t xml:space="preserve"> </w:t>
      </w:r>
      <w:r>
        <w:tab/>
      </w:r>
      <w:r w:rsidRPr="00BB11AF">
        <w:t>Dont une autre version de l'islam politique : c'est-à-dire le ha</w:t>
      </w:r>
      <w:r w:rsidRPr="00BB11AF">
        <w:t>n</w:t>
      </w:r>
      <w:r w:rsidRPr="00BB11AF">
        <w:t>balo-wahhabisme saoudien. Le coup d'État en Égypte l'illu</w:t>
      </w:r>
      <w:r w:rsidRPr="00BB11AF">
        <w:t>s</w:t>
      </w:r>
      <w:r w:rsidRPr="00BB11AF">
        <w:t>tre très bien.</w:t>
      </w:r>
    </w:p>
  </w:footnote>
  <w:footnote w:id="34">
    <w:p w:rsidR="003A3061" w:rsidRDefault="003A3061">
      <w:pPr>
        <w:pStyle w:val="Notedebasdepage"/>
      </w:pPr>
      <w:r>
        <w:rPr>
          <w:rStyle w:val="Appelnotedebasdep"/>
        </w:rPr>
        <w:footnoteRef/>
      </w:r>
      <w:r>
        <w:t xml:space="preserve"> </w:t>
      </w:r>
      <w:r>
        <w:tab/>
      </w:r>
      <w:r w:rsidRPr="00BB11AF">
        <w:t>Si chaque fois qu'un parti élu tente d'appliquer son progra</w:t>
      </w:r>
      <w:r w:rsidRPr="00BB11AF">
        <w:t>m</w:t>
      </w:r>
      <w:r w:rsidRPr="00BB11AF">
        <w:t>me à la base duquel il est élu - tout le monde savait que les isl</w:t>
      </w:r>
      <w:r w:rsidRPr="00BB11AF">
        <w:t>a</w:t>
      </w:r>
      <w:r w:rsidRPr="00BB11AF">
        <w:t>mistes sont des islamistes</w:t>
      </w:r>
      <w:r>
        <w:t xml:space="preserve"> </w:t>
      </w:r>
      <w:r w:rsidRPr="00BB11AF">
        <w:t>-</w:t>
      </w:r>
      <w:r>
        <w:t xml:space="preserve"> </w:t>
      </w:r>
      <w:r w:rsidRPr="00BB11AF">
        <w:t>ou qu'il échoue à améliorer la vie économique, en un temps record, on i</w:t>
      </w:r>
      <w:r w:rsidRPr="00BB11AF">
        <w:t>n</w:t>
      </w:r>
      <w:r w:rsidRPr="00BB11AF">
        <w:t>tervient par tous les moyens pour interrompre le processus démocratique, il serait très difficile de réaliser une quelconque transition sociopolit</w:t>
      </w:r>
      <w:r w:rsidRPr="00BB11AF">
        <w:t>i</w:t>
      </w:r>
      <w:r w:rsidRPr="00BB11AF">
        <w:t>que.</w:t>
      </w:r>
    </w:p>
  </w:footnote>
  <w:footnote w:id="35">
    <w:p w:rsidR="003A3061" w:rsidRDefault="003A3061">
      <w:pPr>
        <w:pStyle w:val="Notedebasdepage"/>
      </w:pPr>
      <w:r>
        <w:rPr>
          <w:rStyle w:val="Appelnotedebasdep"/>
        </w:rPr>
        <w:footnoteRef/>
      </w:r>
      <w:r>
        <w:t xml:space="preserve"> </w:t>
      </w:r>
      <w:r>
        <w:tab/>
      </w:r>
      <w:r w:rsidRPr="00BB11AF">
        <w:t>Cette section est un portrait introductif au sujet du texte. Dans l'abondante historiographie, voir, entre autres, Owen (1969), Tignor (1984), Davis (1982), Riad (1964), Mabro (1974), Mabro et Radwan (1976), Waterbury (1983) et Blin (</w:t>
      </w:r>
      <w:r w:rsidRPr="00BB11AF">
        <w:rPr>
          <w:rStyle w:val="Corpsdutexte22TimesNewRomanGras"/>
          <w:rFonts w:eastAsia="Arial"/>
          <w:b w:val="0"/>
          <w:sz w:val="28"/>
          <w:lang w:val="fr-CA"/>
        </w:rPr>
        <w:t>1993</w:t>
      </w:r>
      <w:r w:rsidRPr="00BB11AF">
        <w:t>).</w:t>
      </w:r>
    </w:p>
  </w:footnote>
  <w:footnote w:id="36">
    <w:p w:rsidR="003A3061" w:rsidRDefault="003A3061">
      <w:pPr>
        <w:pStyle w:val="Notedebasdepage"/>
      </w:pPr>
      <w:r>
        <w:rPr>
          <w:rStyle w:val="Appelnotedebasdep"/>
        </w:rPr>
        <w:footnoteRef/>
      </w:r>
      <w:r>
        <w:t xml:space="preserve"> </w:t>
      </w:r>
      <w:r>
        <w:tab/>
      </w:r>
      <w:r w:rsidRPr="00BB11AF">
        <w:t>Plus de 4 millions d'égyptiens (soit 5% de la population de 2007) sont exp</w:t>
      </w:r>
      <w:r w:rsidRPr="00BB11AF">
        <w:t>a</w:t>
      </w:r>
      <w:r w:rsidRPr="00BB11AF">
        <w:t>triés et l'Égypte est le septième récipiendaire de rem</w:t>
      </w:r>
      <w:r w:rsidRPr="00BB11AF">
        <w:t>i</w:t>
      </w:r>
      <w:r w:rsidRPr="00BB11AF">
        <w:t>ses au monde (African Development Bank 2009 :68 ; Booz 2009 :12).</w:t>
      </w:r>
    </w:p>
  </w:footnote>
  <w:footnote w:id="37">
    <w:p w:rsidR="003A3061" w:rsidRDefault="003A3061">
      <w:pPr>
        <w:pStyle w:val="Notedebasdepage"/>
      </w:pPr>
      <w:r>
        <w:rPr>
          <w:rStyle w:val="Appelnotedebasdep"/>
        </w:rPr>
        <w:footnoteRef/>
      </w:r>
      <w:r>
        <w:t xml:space="preserve"> </w:t>
      </w:r>
      <w:r>
        <w:tab/>
      </w:r>
      <w:r w:rsidRPr="00BB11AF">
        <w:t>Deux exemples : l'Irak et l'Algérie.</w:t>
      </w:r>
    </w:p>
  </w:footnote>
  <w:footnote w:id="38">
    <w:p w:rsidR="003A3061" w:rsidRDefault="003A3061">
      <w:pPr>
        <w:pStyle w:val="Notedebasdepage"/>
      </w:pPr>
      <w:r>
        <w:rPr>
          <w:rStyle w:val="Appelnotedebasdep"/>
        </w:rPr>
        <w:footnoteRef/>
      </w:r>
      <w:r>
        <w:t xml:space="preserve"> </w:t>
      </w:r>
      <w:r>
        <w:tab/>
      </w:r>
      <w:r w:rsidRPr="00BB11AF">
        <w:t>On estimait en 2006 que 61% de l'emploi total était informel (Snodgrass 2009 : 2).</w:t>
      </w:r>
    </w:p>
  </w:footnote>
  <w:footnote w:id="39">
    <w:p w:rsidR="003A3061" w:rsidRDefault="003A3061">
      <w:pPr>
        <w:pStyle w:val="Notedebasdepage"/>
      </w:pPr>
      <w:r>
        <w:rPr>
          <w:rStyle w:val="Appelnotedebasdep"/>
        </w:rPr>
        <w:footnoteRef/>
      </w:r>
      <w:r>
        <w:t xml:space="preserve"> </w:t>
      </w:r>
      <w:r>
        <w:tab/>
      </w:r>
      <w:r w:rsidRPr="00BB11AF">
        <w:t xml:space="preserve">Voir le tableau 18.5 du </w:t>
      </w:r>
      <w:r w:rsidRPr="00BB11AF">
        <w:rPr>
          <w:bCs/>
          <w:i/>
        </w:rPr>
        <w:t>Statistical Yearbook of Japan</w:t>
      </w:r>
      <w:r w:rsidRPr="00BB11AF">
        <w:rPr>
          <w:bCs/>
        </w:rPr>
        <w:t>,</w:t>
      </w:r>
      <w:r w:rsidRPr="00BB11AF">
        <w:t xml:space="preserve"> 2012.</w:t>
      </w:r>
    </w:p>
  </w:footnote>
  <w:footnote w:id="40">
    <w:p w:rsidR="003A3061" w:rsidRDefault="003A3061">
      <w:pPr>
        <w:pStyle w:val="Notedebasdepage"/>
      </w:pPr>
      <w:r>
        <w:rPr>
          <w:rStyle w:val="Appelnotedebasdep"/>
        </w:rPr>
        <w:footnoteRef/>
      </w:r>
      <w:r>
        <w:t xml:space="preserve"> </w:t>
      </w:r>
      <w:r>
        <w:tab/>
      </w:r>
      <w:r w:rsidRPr="00BB11AF">
        <w:t>À la fin de la Seconde Guerre mondiale, le gouvernement jap</w:t>
      </w:r>
      <w:r w:rsidRPr="00BB11AF">
        <w:t>o</w:t>
      </w:r>
      <w:r w:rsidRPr="00BB11AF">
        <w:t>nais, dans une situation tout à fait catastrophique, avait unilatéralement éliminé sa dette a</w:t>
      </w:r>
      <w:r w:rsidRPr="00BB11AF">
        <w:t>c</w:t>
      </w:r>
      <w:r w:rsidRPr="00BB11AF">
        <w:t>cumulée. On pourrait suggérer que le gouve</w:t>
      </w:r>
      <w:r w:rsidRPr="00BB11AF">
        <w:t>r</w:t>
      </w:r>
      <w:r w:rsidRPr="00BB11AF">
        <w:t>nement pourrait faire la même chose en 2014, mais la situation est complètement différente. Premièrement, le gouve</w:t>
      </w:r>
      <w:r w:rsidRPr="00BB11AF">
        <w:t>r</w:t>
      </w:r>
      <w:r w:rsidRPr="00BB11AF">
        <w:t>nement actuel est un gouvernement élu, ce qui n'était pas le cas en 1945. S’il abolissait unilatéralement sa dette, il perdrait automat</w:t>
      </w:r>
      <w:r w:rsidRPr="00BB11AF">
        <w:t>i</w:t>
      </w:r>
      <w:r w:rsidRPr="00BB11AF">
        <w:t>quement les prochaines élections, étant donné que plusieurs ménages, et non pas seul</w:t>
      </w:r>
      <w:r w:rsidRPr="00BB11AF">
        <w:t>e</w:t>
      </w:r>
      <w:r w:rsidRPr="00BB11AF">
        <w:t>ment les entreprises, possèdent des obligations du gouvernement. Deuxi</w:t>
      </w:r>
      <w:r w:rsidRPr="00BB11AF">
        <w:t>è</w:t>
      </w:r>
      <w:r w:rsidRPr="00BB11AF">
        <w:t>mement, la situation actuelle ne peut se comparer à celle qui a suivi la défa</w:t>
      </w:r>
      <w:r w:rsidRPr="00BB11AF">
        <w:t>i</w:t>
      </w:r>
      <w:r w:rsidRPr="00BB11AF">
        <w:t>te en 1945, situation dans laquelle la société et les entreprises étaient en grande partie désorganisées.</w:t>
      </w:r>
    </w:p>
  </w:footnote>
  <w:footnote w:id="41">
    <w:p w:rsidR="003A3061" w:rsidRDefault="003A3061">
      <w:pPr>
        <w:pStyle w:val="Notedebasdepage"/>
      </w:pPr>
      <w:r>
        <w:rPr>
          <w:rStyle w:val="Appelnotedebasdep"/>
        </w:rPr>
        <w:footnoteRef/>
      </w:r>
      <w:r>
        <w:t xml:space="preserve"> </w:t>
      </w:r>
      <w:r>
        <w:tab/>
      </w:r>
      <w:r w:rsidRPr="00BB11AF">
        <w:t>Les statistiques officielles sur ce point sont trompeuses. Elles considèrent comme employés réguliers tous ceux qui travaillent pour une période de plus de six mois consécutifs, quel que soit leur statut. Or, plusieurs de ces employés dits</w:t>
      </w:r>
      <w:r>
        <w:t xml:space="preserve"> </w:t>
      </w:r>
      <w:r w:rsidRPr="00BB11AF">
        <w:t>réguliers ont en réalité, dans les grandes entreprises, le statut d'e</w:t>
      </w:r>
      <w:r w:rsidRPr="00BB11AF">
        <w:t>m</w:t>
      </w:r>
      <w:r w:rsidRPr="00BB11AF">
        <w:t>ployé temporaire ne bénéficiant pas de la sécurité d'emploi même si l'entreprise peut les garder pendant de nombreuses années. Quant aux e</w:t>
      </w:r>
      <w:r w:rsidRPr="00BB11AF">
        <w:t>m</w:t>
      </w:r>
      <w:r w:rsidRPr="00BB11AF">
        <w:t>ployés réguliers des PME, bien que la loi réglemente leur situation, ils pe</w:t>
      </w:r>
      <w:r w:rsidRPr="00BB11AF">
        <w:t>u</w:t>
      </w:r>
      <w:r w:rsidRPr="00BB11AF">
        <w:t>vent être mis à pied dans des conjonctures difficiles. La littérature académ</w:t>
      </w:r>
      <w:r w:rsidRPr="00BB11AF">
        <w:t>i</w:t>
      </w:r>
      <w:r w:rsidRPr="00BB11AF">
        <w:t>que sur ce sujet est claire : sont consid</w:t>
      </w:r>
      <w:r w:rsidRPr="00BB11AF">
        <w:t>é</w:t>
      </w:r>
      <w:r w:rsidRPr="00BB11AF">
        <w:t>rés réellement comme travailleurs réguliers seulement ceux qui ont une véritable sécurité d'emploi, soit les s</w:t>
      </w:r>
      <w:r w:rsidRPr="00BB11AF">
        <w:t>a</w:t>
      </w:r>
      <w:r w:rsidRPr="00BB11AF">
        <w:t>lariés réguliers (</w:t>
      </w:r>
      <w:r w:rsidRPr="00BB11AF">
        <w:rPr>
          <w:i/>
        </w:rPr>
        <w:t>kaishain</w:t>
      </w:r>
      <w:r w:rsidRPr="00BB11AF">
        <w:t>) des grandes entr</w:t>
      </w:r>
      <w:r w:rsidRPr="00BB11AF">
        <w:t>e</w:t>
      </w:r>
      <w:r w:rsidRPr="00BB11AF">
        <w:t>prises. Voir, entre autres, Cole (1979) et Totsuka et Hyôdô (2001).</w:t>
      </w:r>
    </w:p>
  </w:footnote>
  <w:footnote w:id="42">
    <w:p w:rsidR="003A3061" w:rsidRDefault="003A3061">
      <w:pPr>
        <w:pStyle w:val="Notedebasdepage"/>
      </w:pPr>
      <w:r>
        <w:rPr>
          <w:rStyle w:val="Appelnotedebasdep"/>
        </w:rPr>
        <w:footnoteRef/>
      </w:r>
      <w:r>
        <w:t xml:space="preserve"> </w:t>
      </w:r>
      <w:r>
        <w:tab/>
      </w:r>
      <w:r w:rsidRPr="00BB11AF">
        <w:t>Au sujet « des » crises, voir l'article de Bernard Bernier dans cet ouvrage.</w:t>
      </w:r>
    </w:p>
  </w:footnote>
  <w:footnote w:id="43">
    <w:p w:rsidR="003A3061" w:rsidRDefault="003A3061">
      <w:pPr>
        <w:pStyle w:val="Notedebasdepage"/>
      </w:pPr>
      <w:r>
        <w:rPr>
          <w:rStyle w:val="Appelnotedebasdep"/>
        </w:rPr>
        <w:footnoteRef/>
      </w:r>
      <w:r>
        <w:t xml:space="preserve"> </w:t>
      </w:r>
      <w:r>
        <w:tab/>
      </w:r>
      <w:r w:rsidRPr="00BB11AF">
        <w:t>La recherche a été rendue possible grâce à une subvention du Conseil de recherches en sciences humaines du Canada (CRSH, 2010-2013).</w:t>
      </w:r>
    </w:p>
  </w:footnote>
  <w:footnote w:id="44">
    <w:p w:rsidR="003A3061" w:rsidRDefault="003A3061">
      <w:pPr>
        <w:pStyle w:val="Notedebasdepage"/>
      </w:pPr>
      <w:r>
        <w:rPr>
          <w:rStyle w:val="Appelnotedebasdep"/>
        </w:rPr>
        <w:footnoteRef/>
      </w:r>
      <w:r>
        <w:t xml:space="preserve"> </w:t>
      </w:r>
      <w:r>
        <w:tab/>
      </w:r>
      <w:r w:rsidRPr="00BB11AF">
        <w:t>Précisons qu'au Japon un emploi à temps partiel est en fait un travail à plein temps, mais sans sécurité d'emploi.</w:t>
      </w:r>
    </w:p>
  </w:footnote>
  <w:footnote w:id="45">
    <w:p w:rsidR="003A3061" w:rsidRDefault="003A3061">
      <w:pPr>
        <w:pStyle w:val="Notedebasdepage"/>
      </w:pPr>
      <w:r>
        <w:rPr>
          <w:rStyle w:val="Appelnotedebasdep"/>
        </w:rPr>
        <w:footnoteRef/>
      </w:r>
      <w:r>
        <w:t xml:space="preserve"> </w:t>
      </w:r>
      <w:r>
        <w:tab/>
      </w:r>
      <w:r w:rsidRPr="00BB11AF">
        <w:t>Les Comaroff définissent l'hégémonie de la manière suivante : « that order of signs and practices, relations and distinctions, images and espistemol</w:t>
      </w:r>
      <w:r w:rsidRPr="00BB11AF">
        <w:t>o</w:t>
      </w:r>
      <w:r w:rsidRPr="00BB11AF">
        <w:t>gies-drawn from a historically s</w:t>
      </w:r>
      <w:r>
        <w:t>ituated cultural field-that com</w:t>
      </w:r>
      <w:r w:rsidRPr="00BB11AF">
        <w:t>e taken for granted as the natural and rece</w:t>
      </w:r>
      <w:r w:rsidRPr="00BB11AF">
        <w:t>i</w:t>
      </w:r>
      <w:r w:rsidRPr="00BB11AF">
        <w:t>ved shape of the world and everything that inhabits it » (Comaroff et Comaroff 1991 :23).</w:t>
      </w:r>
    </w:p>
  </w:footnote>
  <w:footnote w:id="46">
    <w:p w:rsidR="003A3061" w:rsidRDefault="003A3061">
      <w:pPr>
        <w:pStyle w:val="Notedebasdepage"/>
      </w:pPr>
      <w:r>
        <w:rPr>
          <w:rStyle w:val="Appelnotedebasdep"/>
        </w:rPr>
        <w:footnoteRef/>
      </w:r>
      <w:r>
        <w:t xml:space="preserve"> </w:t>
      </w:r>
      <w:r>
        <w:tab/>
      </w:r>
      <w:r w:rsidRPr="00BB11AF">
        <w:t xml:space="preserve">Le </w:t>
      </w:r>
      <w:r w:rsidRPr="00BB11AF">
        <w:rPr>
          <w:bCs/>
        </w:rPr>
        <w:t>sarariiman</w:t>
      </w:r>
      <w:r w:rsidRPr="00BB11AF">
        <w:t xml:space="preserve"> est un bon exemple de construction hégémonique et de typif</w:t>
      </w:r>
      <w:r w:rsidRPr="00BB11AF">
        <w:t>i</w:t>
      </w:r>
      <w:r w:rsidRPr="00BB11AF">
        <w:t>cation, en ce qu'il incarne l'employé régulier qui après être sorti d'une bonne université est recruté par une grande entreprise et se sacrifie pour elle en échange d'un bon salaire, d'une sécurité d'emploi, mais qui privilégie aussi un ensemble de valeurs « typiques » de la classe moyenne qui s'articule a</w:t>
      </w:r>
      <w:r w:rsidRPr="00BB11AF">
        <w:t>u</w:t>
      </w:r>
      <w:r w:rsidRPr="00BB11AF">
        <w:t>tour de la consommation, la sécurité, etc.</w:t>
      </w:r>
    </w:p>
  </w:footnote>
  <w:footnote w:id="47">
    <w:p w:rsidR="003A3061" w:rsidRDefault="003A3061">
      <w:pPr>
        <w:pStyle w:val="Notedebasdepage"/>
      </w:pPr>
      <w:r>
        <w:rPr>
          <w:rStyle w:val="Appelnotedebasdep"/>
        </w:rPr>
        <w:footnoteRef/>
      </w:r>
      <w:r>
        <w:t xml:space="preserve"> </w:t>
      </w:r>
      <w:r>
        <w:tab/>
      </w:r>
      <w:r w:rsidRPr="00BB11AF">
        <w:t xml:space="preserve">II faut aussi souligner que </w:t>
      </w:r>
      <w:r w:rsidRPr="00BB11AF">
        <w:rPr>
          <w:bCs/>
        </w:rPr>
        <w:t>shûryû</w:t>
      </w:r>
      <w:r w:rsidRPr="00BB11AF">
        <w:t xml:space="preserve"> désigne dans le discours une conception généralisée de l'appartenance à la norme (au courant pri</w:t>
      </w:r>
      <w:r w:rsidRPr="00BB11AF">
        <w:t>n</w:t>
      </w:r>
      <w:r w:rsidRPr="00BB11AF">
        <w:t>cipal : « </w:t>
      </w:r>
      <w:r w:rsidRPr="00BB11AF">
        <w:rPr>
          <w:bCs/>
        </w:rPr>
        <w:t>mainstream society »)</w:t>
      </w:r>
      <w:r w:rsidRPr="00BB11AF">
        <w:t xml:space="preserve"> plus que de classe moyenne (Taira 1993 ; Kelly 2002).</w:t>
      </w:r>
    </w:p>
  </w:footnote>
  <w:footnote w:id="48">
    <w:p w:rsidR="003A3061" w:rsidRDefault="003A3061">
      <w:pPr>
        <w:pStyle w:val="Notedebasdepage"/>
      </w:pPr>
      <w:r>
        <w:rPr>
          <w:rStyle w:val="Appelnotedebasdep"/>
        </w:rPr>
        <w:footnoteRef/>
      </w:r>
      <w:r>
        <w:t xml:space="preserve"> </w:t>
      </w:r>
      <w:r>
        <w:tab/>
      </w:r>
      <w:r w:rsidRPr="00BB11AF">
        <w:t xml:space="preserve">Ici, il s'agit d'une allusion à la notion de </w:t>
      </w:r>
      <w:r w:rsidRPr="00BB11AF">
        <w:rPr>
          <w:bCs/>
        </w:rPr>
        <w:t>« liquid life</w:t>
      </w:r>
      <w:r w:rsidRPr="00BB11AF">
        <w:t> » de Zy</w:t>
      </w:r>
      <w:r w:rsidRPr="00BB11AF">
        <w:t>g</w:t>
      </w:r>
      <w:r w:rsidRPr="00BB11AF">
        <w:t>munt Bauman (2005). Bauman insiste beaucoup sur la consomm</w:t>
      </w:r>
      <w:r w:rsidRPr="00BB11AF">
        <w:t>a</w:t>
      </w:r>
      <w:r w:rsidRPr="00BB11AF">
        <w:t>tion alors que je voudrais plutôt mettre l'accent sur le régime de tr</w:t>
      </w:r>
      <w:r w:rsidRPr="00BB11AF">
        <w:t>a</w:t>
      </w:r>
      <w:r w:rsidRPr="00BB11AF">
        <w:t>vail.</w:t>
      </w:r>
    </w:p>
  </w:footnote>
  <w:footnote w:id="49">
    <w:p w:rsidR="003A3061" w:rsidRDefault="003A3061">
      <w:pPr>
        <w:pStyle w:val="Notedebasdepage"/>
      </w:pPr>
      <w:r>
        <w:rPr>
          <w:rStyle w:val="Appelnotedebasdep"/>
        </w:rPr>
        <w:footnoteRef/>
      </w:r>
      <w:r>
        <w:t xml:space="preserve"> </w:t>
      </w:r>
      <w:r>
        <w:tab/>
      </w:r>
      <w:r w:rsidRPr="00BB11AF">
        <w:t>II existe de nombreuses publications qui traitent de l'idéologie de l'entrepr</w:t>
      </w:r>
      <w:r w:rsidRPr="00BB11AF">
        <w:t>i</w:t>
      </w:r>
      <w:r w:rsidRPr="00BB11AF">
        <w:t>se-communauté et le système d'emplois. Voir nota</w:t>
      </w:r>
      <w:r w:rsidRPr="00BB11AF">
        <w:t>m</w:t>
      </w:r>
      <w:r w:rsidRPr="00BB11AF">
        <w:t>ment Bernard Bernier (1994) et Sheldon Garon (1997).</w:t>
      </w:r>
    </w:p>
  </w:footnote>
  <w:footnote w:id="50">
    <w:p w:rsidR="003A3061" w:rsidRDefault="003A3061">
      <w:pPr>
        <w:pStyle w:val="Notedebasdepage"/>
      </w:pPr>
      <w:r>
        <w:rPr>
          <w:rStyle w:val="Appelnotedebasdep"/>
        </w:rPr>
        <w:footnoteRef/>
      </w:r>
      <w:r>
        <w:t xml:space="preserve"> </w:t>
      </w:r>
      <w:r>
        <w:tab/>
      </w:r>
      <w:r w:rsidRPr="00BB11AF">
        <w:t>Bien que je ne traite pas du retour au travail, ce dernier devrait être pris en compte en tant que facteur jouant un rôle dans les stratégies et les représe</w:t>
      </w:r>
      <w:r w:rsidRPr="00BB11AF">
        <w:t>n</w:t>
      </w:r>
      <w:r w:rsidRPr="00BB11AF">
        <w:t>tations de la carrière chez les jeunes femmes.</w:t>
      </w:r>
    </w:p>
  </w:footnote>
  <w:footnote w:id="51">
    <w:p w:rsidR="003A3061" w:rsidRDefault="003A3061">
      <w:pPr>
        <w:pStyle w:val="Notedebasdepage"/>
      </w:pPr>
      <w:r>
        <w:rPr>
          <w:rStyle w:val="Appelnotedebasdep"/>
        </w:rPr>
        <w:footnoteRef/>
      </w:r>
      <w:r>
        <w:t xml:space="preserve"> </w:t>
      </w:r>
      <w:r>
        <w:tab/>
      </w:r>
      <w:r w:rsidRPr="00BB11AF">
        <w:rPr>
          <w:bCs/>
        </w:rPr>
        <w:t>Yarigai</w:t>
      </w:r>
      <w:r w:rsidRPr="00BB11AF">
        <w:t xml:space="preserve"> : mot composé de « yari » (faire) et « gai » qui signifie l'efficacité ou la valeur du résultat de l'action décrite par le verbe. </w:t>
      </w:r>
      <w:r w:rsidRPr="00BB11AF">
        <w:rPr>
          <w:bCs/>
        </w:rPr>
        <w:t>Y</w:t>
      </w:r>
      <w:r w:rsidRPr="00BB11AF">
        <w:rPr>
          <w:bCs/>
        </w:rPr>
        <w:t>a</w:t>
      </w:r>
      <w:r w:rsidRPr="00BB11AF">
        <w:rPr>
          <w:bCs/>
        </w:rPr>
        <w:t>rigai</w:t>
      </w:r>
      <w:r w:rsidRPr="00BB11AF">
        <w:t xml:space="preserve"> signifie donc « valoir la peine d'être fait », « mériter d'être fait ». Cette utilisation de « gai » n'a rien de particulier en japonais. Elle d</w:t>
      </w:r>
      <w:r w:rsidRPr="00BB11AF">
        <w:t>é</w:t>
      </w:r>
      <w:r w:rsidRPr="00BB11AF">
        <w:t>note par contre le sentiment de donner de la valeur à son propre travail et non pas à l'entreprise, ce qui est nouveau au Japon.</w:t>
      </w:r>
    </w:p>
  </w:footnote>
  <w:footnote w:id="52">
    <w:p w:rsidR="003A3061" w:rsidRDefault="003A3061">
      <w:pPr>
        <w:pStyle w:val="Notedebasdepage"/>
      </w:pPr>
      <w:r>
        <w:rPr>
          <w:rStyle w:val="Appelnotedebasdep"/>
        </w:rPr>
        <w:footnoteRef/>
      </w:r>
      <w:r>
        <w:t xml:space="preserve"> </w:t>
      </w:r>
      <w:r>
        <w:tab/>
      </w:r>
      <w:r w:rsidRPr="00BB11AF">
        <w:t>Afin de préserver l'anonymat et la confidentialité des personnes, je ne me</w:t>
      </w:r>
      <w:r w:rsidRPr="00BB11AF">
        <w:t>n</w:t>
      </w:r>
      <w:r w:rsidRPr="00BB11AF">
        <w:t>tionne pas le nom des entreprises, ni des personnes. J'ai cepe</w:t>
      </w:r>
      <w:r w:rsidRPr="00BB11AF">
        <w:t>n</w:t>
      </w:r>
      <w:r w:rsidRPr="00BB11AF">
        <w:t xml:space="preserve">dant, gardé le préfixe </w:t>
      </w:r>
      <w:r w:rsidRPr="00BB11AF">
        <w:rPr>
          <w:bCs/>
          <w:i/>
        </w:rPr>
        <w:t>san</w:t>
      </w:r>
      <w:r w:rsidRPr="00BB11AF">
        <w:t xml:space="preserve"> comme il est d'usage au Japon et qui, dans ce contexte, remplace monsieur ou madame.</w:t>
      </w:r>
    </w:p>
  </w:footnote>
  <w:footnote w:id="53">
    <w:p w:rsidR="003A3061" w:rsidRDefault="003A3061">
      <w:pPr>
        <w:pStyle w:val="Notedebasdepage"/>
      </w:pPr>
      <w:r>
        <w:rPr>
          <w:rStyle w:val="Appelnotedebasdep"/>
        </w:rPr>
        <w:footnoteRef/>
      </w:r>
      <w:r>
        <w:t xml:space="preserve"> </w:t>
      </w:r>
      <w:r>
        <w:tab/>
      </w:r>
      <w:r w:rsidRPr="00BB11AF">
        <w:t>Rappelons que toutes n'ont pas cette possibilité, notamment les femmes qui travaillent en usine ou qui sont dans de petites entr</w:t>
      </w:r>
      <w:r w:rsidRPr="00BB11AF">
        <w:t>e</w:t>
      </w:r>
      <w:r w:rsidRPr="00BB11AF">
        <w:t>prises. Rappelons aussi que les jeunes femmes interviewées vie</w:t>
      </w:r>
      <w:r w:rsidRPr="00BB11AF">
        <w:t>n</w:t>
      </w:r>
      <w:r w:rsidRPr="00BB11AF">
        <w:t>nent d'un milieu relativement aisé.</w:t>
      </w:r>
    </w:p>
  </w:footnote>
  <w:footnote w:id="54">
    <w:p w:rsidR="003A3061" w:rsidRDefault="003A3061">
      <w:pPr>
        <w:pStyle w:val="Notedebasdepage"/>
      </w:pPr>
      <w:r>
        <w:rPr>
          <w:rStyle w:val="Appelnotedebasdep"/>
        </w:rPr>
        <w:footnoteRef/>
      </w:r>
      <w:r>
        <w:t xml:space="preserve"> </w:t>
      </w:r>
      <w:r>
        <w:tab/>
      </w:r>
      <w:r w:rsidRPr="00BB11AF">
        <w:t>Abréviation d</w:t>
      </w:r>
      <w:r w:rsidRPr="00BB11AF">
        <w:rPr>
          <w:bCs/>
        </w:rPr>
        <w:t>'Office Ladies</w:t>
      </w:r>
      <w:r w:rsidRPr="00BB11AF">
        <w:t xml:space="preserve"> qui désigne des employées régulières qui s'o</w:t>
      </w:r>
      <w:r w:rsidRPr="00BB11AF">
        <w:t>c</w:t>
      </w:r>
      <w:r w:rsidRPr="00BB11AF">
        <w:t>cupent des tâches de bureau (servir le thé, faire les phot</w:t>
      </w:r>
      <w:r w:rsidRPr="00BB11AF">
        <w:t>o</w:t>
      </w:r>
      <w:r w:rsidRPr="00BB11AF">
        <w:t>copies, l'accueil à la réception, etc.).</w:t>
      </w:r>
    </w:p>
  </w:footnote>
  <w:footnote w:id="55">
    <w:p w:rsidR="003A3061" w:rsidRDefault="003A3061">
      <w:pPr>
        <w:pStyle w:val="Notedebasdepage"/>
      </w:pPr>
      <w:r>
        <w:rPr>
          <w:rStyle w:val="Appelnotedebasdep"/>
        </w:rPr>
        <w:footnoteRef/>
      </w:r>
      <w:r>
        <w:t xml:space="preserve"> </w:t>
      </w:r>
      <w:r>
        <w:tab/>
      </w:r>
      <w:r w:rsidRPr="00BB11AF">
        <w:t>Au sujet du capitalisme flexible, voir par exemple Luc Bo</w:t>
      </w:r>
      <w:r w:rsidRPr="00BB11AF">
        <w:t>l</w:t>
      </w:r>
      <w:r w:rsidRPr="00BB11AF">
        <w:t>tanski et Ève Chiappelo (1999) ou David Harvey (2005).</w:t>
      </w:r>
    </w:p>
  </w:footnote>
  <w:footnote w:id="56">
    <w:p w:rsidR="003A3061" w:rsidRDefault="003A3061">
      <w:pPr>
        <w:pStyle w:val="Notedebasdepage"/>
      </w:pPr>
      <w:r>
        <w:rPr>
          <w:rStyle w:val="Appelnotedebasdep"/>
        </w:rPr>
        <w:footnoteRef/>
      </w:r>
      <w:r>
        <w:t xml:space="preserve"> </w:t>
      </w:r>
      <w:r>
        <w:tab/>
      </w:r>
      <w:r w:rsidRPr="00BB11AF">
        <w:t xml:space="preserve">II s'agit de la traduction française du roman </w:t>
      </w:r>
      <w:r w:rsidRPr="00BB11AF">
        <w:rPr>
          <w:bCs/>
        </w:rPr>
        <w:t>From a Crooked Rib</w:t>
      </w:r>
      <w:r w:rsidRPr="00BB11AF">
        <w:t xml:space="preserve"> publié en 1970. Pour éviter la confusion et maintenir l'ordre chronologique de public</w:t>
      </w:r>
      <w:r w:rsidRPr="00BB11AF">
        <w:t>a</w:t>
      </w:r>
      <w:r w:rsidRPr="00BB11AF">
        <w:t>tion des romans, les dates de publication sont celles des premières parutions en anglais dans l'ensemble du texte. Pour les dates de publications des ve</w:t>
      </w:r>
      <w:r w:rsidRPr="00BB11AF">
        <w:t>r</w:t>
      </w:r>
      <w:r w:rsidRPr="00BB11AF">
        <w:t>sions françaises, consulter les références en bibliographie</w:t>
      </w:r>
    </w:p>
  </w:footnote>
  <w:footnote w:id="57">
    <w:p w:rsidR="003A3061" w:rsidRDefault="003A3061">
      <w:pPr>
        <w:pStyle w:val="Notedebasdepage"/>
      </w:pPr>
      <w:r>
        <w:rPr>
          <w:rStyle w:val="Appelnotedebasdep"/>
        </w:rPr>
        <w:footnoteRef/>
      </w:r>
      <w:r>
        <w:t xml:space="preserve"> </w:t>
      </w:r>
      <w:r>
        <w:tab/>
      </w:r>
      <w:r w:rsidRPr="00BB11AF">
        <w:t xml:space="preserve">À notre connaissance, les livres </w:t>
      </w:r>
      <w:r w:rsidRPr="00BB11AF">
        <w:rPr>
          <w:bCs/>
        </w:rPr>
        <w:t>Knots</w:t>
      </w:r>
      <w:r w:rsidRPr="00BB11AF">
        <w:t xml:space="preserve"> (2007) et </w:t>
      </w:r>
      <w:r w:rsidRPr="00BB11AF">
        <w:rPr>
          <w:bCs/>
        </w:rPr>
        <w:t>Crossbones</w:t>
      </w:r>
      <w:r w:rsidRPr="00BB11AF">
        <w:t xml:space="preserve"> (2011) sont, jusqu'au moment de notre étude, seulement publiés en anglais.</w:t>
      </w:r>
    </w:p>
  </w:footnote>
  <w:footnote w:id="58">
    <w:p w:rsidR="003A3061" w:rsidRDefault="003A3061">
      <w:pPr>
        <w:pStyle w:val="Notedebasdepage"/>
      </w:pPr>
      <w:r>
        <w:rPr>
          <w:rStyle w:val="Appelnotedebasdep"/>
        </w:rPr>
        <w:footnoteRef/>
      </w:r>
      <w:r>
        <w:t xml:space="preserve"> </w:t>
      </w:r>
      <w:r>
        <w:tab/>
      </w:r>
      <w:r w:rsidRPr="00BB11AF">
        <w:t xml:space="preserve">Notre étude traite de tous les romans sauf trois : </w:t>
      </w:r>
      <w:r w:rsidRPr="00BB11AF">
        <w:rPr>
          <w:bCs/>
        </w:rPr>
        <w:t>Une aiguille nue</w:t>
      </w:r>
      <w:r w:rsidRPr="00BB11AF">
        <w:t xml:space="preserve"> (1975), </w:t>
      </w:r>
      <w:r w:rsidRPr="00BB11AF">
        <w:rPr>
          <w:bCs/>
        </w:rPr>
        <w:t>Du lait aigre-doux</w:t>
      </w:r>
      <w:r w:rsidRPr="00BB11AF">
        <w:t xml:space="preserve"> (1979) et </w:t>
      </w:r>
      <w:r w:rsidRPr="00BB11AF">
        <w:rPr>
          <w:bCs/>
        </w:rPr>
        <w:t>Crossbones</w:t>
      </w:r>
      <w:r w:rsidRPr="00BB11AF">
        <w:t xml:space="preserve"> (2011), qui n'étaient pas à notre portée pendant la période de recherche.</w:t>
      </w:r>
    </w:p>
  </w:footnote>
  <w:footnote w:id="59">
    <w:p w:rsidR="003A3061" w:rsidRDefault="003A3061">
      <w:pPr>
        <w:pStyle w:val="Notedebasdepage"/>
      </w:pPr>
      <w:r>
        <w:rPr>
          <w:rStyle w:val="Appelnotedebasdep"/>
        </w:rPr>
        <w:footnoteRef/>
      </w:r>
      <w:r>
        <w:t xml:space="preserve"> </w:t>
      </w:r>
      <w:r>
        <w:tab/>
      </w:r>
      <w:r w:rsidRPr="00BB11AF">
        <w:t>Voir le portrait de Farah brossé par M. Jaggi (2012).</w:t>
      </w:r>
    </w:p>
  </w:footnote>
  <w:footnote w:id="60">
    <w:p w:rsidR="003A3061" w:rsidRDefault="003A3061">
      <w:pPr>
        <w:pStyle w:val="Notedebasdepage"/>
      </w:pPr>
      <w:r>
        <w:rPr>
          <w:rStyle w:val="Appelnotedebasdep"/>
        </w:rPr>
        <w:footnoteRef/>
      </w:r>
      <w:r>
        <w:t xml:space="preserve"> </w:t>
      </w:r>
      <w:r>
        <w:tab/>
      </w:r>
      <w:r w:rsidRPr="00BB11AF">
        <w:t>Consulter Kyalo (2005).</w:t>
      </w:r>
    </w:p>
  </w:footnote>
  <w:footnote w:id="61">
    <w:p w:rsidR="003A3061" w:rsidRDefault="003A3061">
      <w:pPr>
        <w:pStyle w:val="Notedebasdepage"/>
      </w:pPr>
      <w:r>
        <w:rPr>
          <w:rStyle w:val="Appelnotedebasdep"/>
        </w:rPr>
        <w:footnoteRef/>
      </w:r>
      <w:r>
        <w:t xml:space="preserve"> </w:t>
      </w:r>
      <w:r>
        <w:tab/>
      </w:r>
      <w:r w:rsidRPr="00BB11AF">
        <w:t>Voir à ce sujet l'interview réalisée par S. Gray (2000).</w:t>
      </w:r>
    </w:p>
  </w:footnote>
  <w:footnote w:id="62">
    <w:p w:rsidR="003A3061" w:rsidRDefault="003A3061">
      <w:pPr>
        <w:pStyle w:val="Notedebasdepage"/>
      </w:pPr>
      <w:r>
        <w:rPr>
          <w:rStyle w:val="Appelnotedebasdep"/>
        </w:rPr>
        <w:footnoteRef/>
      </w:r>
      <w:r>
        <w:t xml:space="preserve"> </w:t>
      </w:r>
      <w:r>
        <w:tab/>
      </w:r>
      <w:r w:rsidRPr="00BB11AF">
        <w:t>Voir, à titre d'exemple, les études de Turfan (2002), Bardolph (1998) et H</w:t>
      </w:r>
      <w:r w:rsidRPr="00BB11AF">
        <w:t>a</w:t>
      </w:r>
      <w:r w:rsidRPr="00BB11AF">
        <w:t>wly (2002).</w:t>
      </w:r>
    </w:p>
  </w:footnote>
  <w:footnote w:id="63">
    <w:p w:rsidR="003A3061" w:rsidRDefault="003A3061">
      <w:pPr>
        <w:pStyle w:val="Notedebasdepage"/>
      </w:pPr>
      <w:r>
        <w:rPr>
          <w:rStyle w:val="Appelnotedebasdep"/>
        </w:rPr>
        <w:footnoteRef/>
      </w:r>
      <w:r>
        <w:t xml:space="preserve"> </w:t>
      </w:r>
      <w:r>
        <w:tab/>
      </w:r>
      <w:r w:rsidRPr="00BB11AF">
        <w:t>Voir par exemple les travaux de Mirmotahari (2011) et d'Okonkwo (1984).</w:t>
      </w:r>
    </w:p>
  </w:footnote>
  <w:footnote w:id="64">
    <w:p w:rsidR="003A3061" w:rsidRDefault="003A3061">
      <w:pPr>
        <w:pStyle w:val="Notedebasdepage"/>
      </w:pPr>
      <w:r>
        <w:rPr>
          <w:rStyle w:val="Appelnotedebasdep"/>
        </w:rPr>
        <w:footnoteRef/>
      </w:r>
      <w:r>
        <w:t xml:space="preserve"> </w:t>
      </w:r>
      <w:r>
        <w:tab/>
      </w:r>
      <w:r w:rsidRPr="00BB11AF">
        <w:t>Consulter Moore (2002).</w:t>
      </w:r>
    </w:p>
  </w:footnote>
  <w:footnote w:id="65">
    <w:p w:rsidR="003A3061" w:rsidRDefault="003A3061">
      <w:pPr>
        <w:pStyle w:val="Notedebasdepage"/>
      </w:pPr>
      <w:r>
        <w:rPr>
          <w:rStyle w:val="Appelnotedebasdep"/>
        </w:rPr>
        <w:footnoteRef/>
      </w:r>
      <w:r>
        <w:t xml:space="preserve"> </w:t>
      </w:r>
      <w:r>
        <w:tab/>
      </w:r>
      <w:r w:rsidRPr="00BB11AF">
        <w:t>Voir Hart et Saed (2010).</w:t>
      </w:r>
    </w:p>
  </w:footnote>
  <w:footnote w:id="66">
    <w:p w:rsidR="003A3061" w:rsidRDefault="003A3061">
      <w:pPr>
        <w:pStyle w:val="Notedebasdepage"/>
      </w:pPr>
      <w:r>
        <w:rPr>
          <w:rStyle w:val="Appelnotedebasdep"/>
        </w:rPr>
        <w:footnoteRef/>
      </w:r>
      <w:r>
        <w:t xml:space="preserve"> </w:t>
      </w:r>
      <w:r>
        <w:tab/>
      </w:r>
      <w:r w:rsidRPr="00BB11AF">
        <w:t xml:space="preserve">Voir Abdi </w:t>
      </w:r>
      <w:r w:rsidRPr="00BB11AF">
        <w:rPr>
          <w:bCs/>
        </w:rPr>
        <w:t>et al.</w:t>
      </w:r>
      <w:r w:rsidRPr="00BB11AF">
        <w:t xml:space="preserve"> cité dans Hart et Saed (2010).</w:t>
      </w:r>
    </w:p>
  </w:footnote>
  <w:footnote w:id="67">
    <w:p w:rsidR="003A3061" w:rsidRDefault="003A3061">
      <w:pPr>
        <w:pStyle w:val="Notedebasdepage"/>
      </w:pPr>
      <w:r>
        <w:rPr>
          <w:rStyle w:val="Appelnotedebasdep"/>
        </w:rPr>
        <w:footnoteRef/>
      </w:r>
      <w:r>
        <w:t xml:space="preserve"> </w:t>
      </w:r>
      <w:r>
        <w:tab/>
      </w:r>
      <w:r w:rsidRPr="00BB11AF">
        <w:t>Consulter le document de l'United Nations Operations in S</w:t>
      </w:r>
      <w:r w:rsidRPr="00BB11AF">
        <w:t>o</w:t>
      </w:r>
      <w:r w:rsidRPr="00BB11AF">
        <w:t>malia 1(1997).</w:t>
      </w:r>
    </w:p>
  </w:footnote>
  <w:footnote w:id="68">
    <w:p w:rsidR="003A3061" w:rsidRDefault="003A3061">
      <w:pPr>
        <w:pStyle w:val="Notedebasdepage"/>
      </w:pPr>
      <w:r>
        <w:rPr>
          <w:rStyle w:val="Appelnotedebasdep"/>
        </w:rPr>
        <w:footnoteRef/>
      </w:r>
      <w:r>
        <w:t xml:space="preserve"> </w:t>
      </w:r>
      <w:r>
        <w:tab/>
      </w:r>
      <w:r w:rsidRPr="00BB11AF">
        <w:t>Voir Fund for Peace (2011).</w:t>
      </w:r>
    </w:p>
  </w:footnote>
  <w:footnote w:id="69">
    <w:p w:rsidR="003A3061" w:rsidRDefault="003A3061">
      <w:pPr>
        <w:pStyle w:val="Notedebasdepage"/>
      </w:pPr>
      <w:r>
        <w:rPr>
          <w:rStyle w:val="Appelnotedebasdep"/>
        </w:rPr>
        <w:footnoteRef/>
      </w:r>
      <w:r>
        <w:t xml:space="preserve"> </w:t>
      </w:r>
      <w:r>
        <w:tab/>
      </w:r>
      <w:r w:rsidRPr="00BB11AF">
        <w:t>Se référer au document « Somali's President Quits Office » produit par BBC News Africa (2008).</w:t>
      </w:r>
    </w:p>
  </w:footnote>
  <w:footnote w:id="70">
    <w:p w:rsidR="003A3061" w:rsidRDefault="003A3061">
      <w:pPr>
        <w:pStyle w:val="Notedebasdepage"/>
      </w:pPr>
      <w:r>
        <w:rPr>
          <w:rStyle w:val="Appelnotedebasdep"/>
        </w:rPr>
        <w:footnoteRef/>
      </w:r>
      <w:r>
        <w:t xml:space="preserve"> </w:t>
      </w:r>
      <w:r>
        <w:tab/>
      </w:r>
      <w:r w:rsidRPr="00BB11AF">
        <w:t>Consulter le document « Somali Election : Hassan Sheikh Elected as Pres</w:t>
      </w:r>
      <w:r w:rsidRPr="00BB11AF">
        <w:t>i</w:t>
      </w:r>
      <w:r w:rsidRPr="00BB11AF">
        <w:t>dent » préparé par BBC News Africa (2012).</w:t>
      </w:r>
    </w:p>
  </w:footnote>
  <w:footnote w:id="71">
    <w:p w:rsidR="003A3061" w:rsidRDefault="003A3061">
      <w:pPr>
        <w:pStyle w:val="Notedebasdepage"/>
      </w:pPr>
      <w:r>
        <w:rPr>
          <w:rStyle w:val="Appelnotedebasdep"/>
        </w:rPr>
        <w:footnoteRef/>
      </w:r>
      <w:r>
        <w:t xml:space="preserve"> </w:t>
      </w:r>
      <w:r>
        <w:tab/>
      </w:r>
      <w:r w:rsidRPr="00BB11AF">
        <w:t>II est à noter que tôt dans l'histoire de l'Islam, les Musulmans se sont divisés en deux camps sur la question de la succession du le</w:t>
      </w:r>
      <w:r w:rsidRPr="00BB11AF">
        <w:t>a</w:t>
      </w:r>
      <w:r w:rsidRPr="00BB11AF">
        <w:t>dership : sunnites et chiites. Les sunnites croient que la succe</w:t>
      </w:r>
      <w:r w:rsidRPr="00BB11AF">
        <w:t>s</w:t>
      </w:r>
      <w:r w:rsidRPr="00BB11AF">
        <w:t>sion devrait se faire par élection des dirigeants alors que les chiites croient que la succession se faire selon des lignes de descendance de la famille du prophète. Les Somaliens appa</w:t>
      </w:r>
      <w:r w:rsidRPr="00BB11AF">
        <w:t>r</w:t>
      </w:r>
      <w:r w:rsidRPr="00BB11AF">
        <w:t>tiennent à la branche sunnite de l'Islam, comme un grande majorité de m</w:t>
      </w:r>
      <w:r w:rsidRPr="00BB11AF">
        <w:t>u</w:t>
      </w:r>
      <w:r w:rsidRPr="00BB11AF">
        <w:t>sulmans. En outre, les Somaliens adhèrent à l'école chaféite et donc, les S</w:t>
      </w:r>
      <w:r w:rsidRPr="00BB11AF">
        <w:t>o</w:t>
      </w:r>
      <w:r w:rsidRPr="00BB11AF">
        <w:t>maliens pratique un Islam sunnite chaféite (Abdullahi 2001).</w:t>
      </w:r>
    </w:p>
  </w:footnote>
  <w:footnote w:id="72">
    <w:p w:rsidR="003A3061" w:rsidRDefault="003A3061">
      <w:pPr>
        <w:pStyle w:val="Notedebasdepage"/>
      </w:pPr>
      <w:r>
        <w:rPr>
          <w:rStyle w:val="Appelnotedebasdep"/>
        </w:rPr>
        <w:footnoteRef/>
      </w:r>
      <w:r>
        <w:t xml:space="preserve"> </w:t>
      </w:r>
      <w:r>
        <w:tab/>
      </w:r>
      <w:r w:rsidRPr="00BB11AF">
        <w:t>Par exemple, à ce sujet le Coran, (Sourate 49, verset 13) soul</w:t>
      </w:r>
      <w:r w:rsidRPr="00BB11AF">
        <w:t>i</w:t>
      </w:r>
      <w:r w:rsidRPr="00BB11AF">
        <w:t>gne ceci : « Oh l’humanité ! Nous vous avons créés d'un mâle et d'une femelle, et Nous vous avons fait de vous des nations et des tr</w:t>
      </w:r>
      <w:r w:rsidRPr="00BB11AF">
        <w:t>i</w:t>
      </w:r>
      <w:r w:rsidRPr="00BB11AF">
        <w:t>bus, pour que vous vous connaissiez. En vérité, le plus noble d'entre vous, auprès d'Allah est le (croyant) plus pieux. En vérité, Allah est Omni</w:t>
      </w:r>
      <w:r w:rsidRPr="00BB11AF">
        <w:t>s</w:t>
      </w:r>
      <w:r w:rsidRPr="00BB11AF">
        <w:t>cient et Connaisseur parfait » ; et cet autre passage (Sourate 40, verset 40) qui stipule : « Quiconque agit mal sera rétr</w:t>
      </w:r>
      <w:r w:rsidRPr="00BB11AF">
        <w:t>i</w:t>
      </w:r>
      <w:r w:rsidRPr="00BB11AF">
        <w:t>bué en fonction de sa mauvaise action, et quiconque agit bien, homme ou femme et est un vrai croyant (en l'Unicité d'Allah), entrera au Paradis [...] » (Notre tr</w:t>
      </w:r>
      <w:r w:rsidRPr="00BB11AF">
        <w:t>a</w:t>
      </w:r>
      <w:r w:rsidRPr="00BB11AF">
        <w:t>duction de la version anglaise du Coran de Al-Hîlâl et Khan, 1998).</w:t>
      </w:r>
    </w:p>
  </w:footnote>
  <w:footnote w:id="73">
    <w:p w:rsidR="003A3061" w:rsidRDefault="003A3061">
      <w:pPr>
        <w:pStyle w:val="Notedebasdepage"/>
      </w:pPr>
      <w:r>
        <w:rPr>
          <w:rStyle w:val="Appelnotedebasdep"/>
        </w:rPr>
        <w:footnoteRef/>
      </w:r>
      <w:r>
        <w:t xml:space="preserve"> </w:t>
      </w:r>
      <w:r>
        <w:tab/>
      </w:r>
      <w:r w:rsidRPr="00BB11AF">
        <w:t>Dans le Coran (Sourate 4, verset 3), il est écrit que : « [...] alors épousez d'autres (femmes) de votre choix, deux ou trois, ou quatre, mais si vous craignez de ne pas être juste avec elles, alors une se</w:t>
      </w:r>
      <w:r w:rsidRPr="00BB11AF">
        <w:t>u</w:t>
      </w:r>
      <w:r w:rsidRPr="00BB11AF">
        <w:t>le [...]. Cela afin de ne pas faire d'injustice » (Notre traduction, Al-Hîlâl et Khan 1998).</w:t>
      </w:r>
    </w:p>
  </w:footnote>
  <w:footnote w:id="74">
    <w:p w:rsidR="003A3061" w:rsidRDefault="003A3061">
      <w:pPr>
        <w:pStyle w:val="Notedebasdepage"/>
      </w:pPr>
      <w:r>
        <w:rPr>
          <w:rStyle w:val="Appelnotedebasdep"/>
        </w:rPr>
        <w:footnoteRef/>
      </w:r>
      <w:r>
        <w:t xml:space="preserve"> </w:t>
      </w:r>
      <w:r>
        <w:tab/>
      </w:r>
      <w:r w:rsidRPr="00BB11AF">
        <w:t>Les fondements de la possibilité pour la femme de demander le divorce f</w:t>
      </w:r>
      <w:r w:rsidRPr="00BB11AF">
        <w:t>i</w:t>
      </w:r>
      <w:r w:rsidRPr="00BB11AF">
        <w:t>gurent dans le Coran (Sourate 2, verset 229) qui dit : « Le d</w:t>
      </w:r>
      <w:r w:rsidRPr="00BB11AF">
        <w:t>i</w:t>
      </w:r>
      <w:r w:rsidRPr="00BB11AF">
        <w:t>vorce est permis deux fois, après que, soit vous la (la femme) gardez à des conditions raiso</w:t>
      </w:r>
      <w:r w:rsidRPr="00BB11AF">
        <w:t>n</w:t>
      </w:r>
      <w:r w:rsidRPr="00BB11AF">
        <w:t>nables, soit vous la libérez avec ge</w:t>
      </w:r>
      <w:r w:rsidRPr="00BB11AF">
        <w:t>n</w:t>
      </w:r>
      <w:r w:rsidRPr="00BB11AF">
        <w:t>tillesse. Et il est permis (à vous les hommes) de reprendre (de vos épouses) le Mahr (l'argent donné par le mari à sa femme au m</w:t>
      </w:r>
      <w:r w:rsidRPr="00BB11AF">
        <w:t>o</w:t>
      </w:r>
      <w:r w:rsidRPr="00BB11AF">
        <w:t>ment du mariage) que vous leur avez donné, sauf si vous (femme et homme) craignez de ne pas pouvoir suivre les ordres d'Allah [...]. Si, vous (femme et homme) craignez de n'être pas en mesure de se confo</w:t>
      </w:r>
      <w:r w:rsidRPr="00BB11AF">
        <w:t>r</w:t>
      </w:r>
      <w:r w:rsidRPr="00BB11AF">
        <w:t>mer aux ordres d'Allah, alors, il n'y a pas de péché sur l'un d'eux, si elle rend le Mahr ou une partie de celui-ci pour son Al-Khul (divorce) [...] » (Notre tr</w:t>
      </w:r>
      <w:r w:rsidRPr="00BB11AF">
        <w:t>a</w:t>
      </w:r>
      <w:r w:rsidRPr="00BB11AF">
        <w:t>duction, Al-Hîlâl et Khan 1998).</w:t>
      </w:r>
    </w:p>
  </w:footnote>
  <w:footnote w:id="75">
    <w:p w:rsidR="003A3061" w:rsidRDefault="003A3061">
      <w:pPr>
        <w:pStyle w:val="Notedebasdepage"/>
      </w:pPr>
      <w:r>
        <w:rPr>
          <w:rStyle w:val="Appelnotedebasdep"/>
        </w:rPr>
        <w:footnoteRef/>
      </w:r>
      <w:r>
        <w:t xml:space="preserve"> </w:t>
      </w:r>
      <w:r>
        <w:tab/>
      </w:r>
      <w:r w:rsidRPr="00BB11AF">
        <w:t xml:space="preserve">Voir la totalité de la conversation dans </w:t>
      </w:r>
      <w:r w:rsidRPr="00BB11AF">
        <w:rPr>
          <w:bCs/>
        </w:rPr>
        <w:t>Née de la côte d'Adam</w:t>
      </w:r>
      <w:r w:rsidRPr="00BB11AF">
        <w:t xml:space="preserve"> (1970 :173-176).</w:t>
      </w:r>
    </w:p>
  </w:footnote>
  <w:footnote w:id="76">
    <w:p w:rsidR="003A3061" w:rsidRDefault="003A3061">
      <w:pPr>
        <w:pStyle w:val="Notedebasdepage"/>
      </w:pPr>
      <w:r>
        <w:rPr>
          <w:rStyle w:val="Appelnotedebasdep"/>
        </w:rPr>
        <w:footnoteRef/>
      </w:r>
      <w:r>
        <w:t xml:space="preserve"> </w:t>
      </w:r>
      <w:r>
        <w:tab/>
      </w:r>
      <w:r w:rsidRPr="00BB11AF">
        <w:t>Consulter le rapport d'Human Rights Watch (2014).</w:t>
      </w:r>
    </w:p>
  </w:footnote>
  <w:footnote w:id="77">
    <w:p w:rsidR="003A3061" w:rsidRDefault="003A3061">
      <w:pPr>
        <w:pStyle w:val="Notedebasdepage"/>
      </w:pPr>
      <w:r>
        <w:rPr>
          <w:rStyle w:val="Appelnotedebasdep"/>
        </w:rPr>
        <w:footnoteRef/>
      </w:r>
      <w:r>
        <w:t xml:space="preserve"> </w:t>
      </w:r>
      <w:r>
        <w:tab/>
      </w:r>
      <w:r w:rsidRPr="00BB11AF">
        <w:t>Consulter Gray (2000).</w:t>
      </w:r>
    </w:p>
  </w:footnote>
  <w:footnote w:id="78">
    <w:p w:rsidR="003A3061" w:rsidRDefault="003A3061">
      <w:pPr>
        <w:pStyle w:val="Notedebasdepage"/>
      </w:pPr>
      <w:r>
        <w:rPr>
          <w:rStyle w:val="Appelnotedebasdep"/>
        </w:rPr>
        <w:footnoteRef/>
      </w:r>
      <w:r>
        <w:t xml:space="preserve"> </w:t>
      </w:r>
      <w:r>
        <w:tab/>
      </w:r>
      <w:r w:rsidRPr="00BB11AF">
        <w:t xml:space="preserve">Consulter la section « Accomplishments » du site </w:t>
      </w:r>
      <w:r w:rsidRPr="00BB11AF">
        <w:rPr>
          <w:bCs/>
        </w:rPr>
        <w:t>Save Somali Women and Children</w:t>
      </w:r>
      <w:r w:rsidRPr="00BB11AF">
        <w:t xml:space="preserve"> à l'adresse suivante : </w:t>
      </w:r>
      <w:hyperlink r:id="rId1" w:history="1">
        <w:r w:rsidRPr="008A7C9A">
          <w:rPr>
            <w:rStyle w:val="Lienhypertexte"/>
          </w:rPr>
          <w:t>http</w:t>
        </w:r>
        <w:r w:rsidRPr="008A7C9A">
          <w:rPr>
            <w:rStyle w:val="Lienhypertexte"/>
          </w:rPr>
          <w:t>://www.sswc-som.com/index.php?</w:t>
        </w:r>
        <w:r w:rsidRPr="008A7C9A">
          <w:rPr>
            <w:rStyle w:val="Lienhypertexte"/>
          </w:rPr>
          <w:t>page=accomplishments</w:t>
        </w:r>
      </w:hyperlink>
      <w:r w:rsidRPr="00BB11AF">
        <w:t>.</w:t>
      </w:r>
    </w:p>
  </w:footnote>
  <w:footnote w:id="79">
    <w:p w:rsidR="003A3061" w:rsidRDefault="003A3061">
      <w:pPr>
        <w:pStyle w:val="Notedebasdepage"/>
      </w:pPr>
      <w:r>
        <w:rPr>
          <w:rStyle w:val="Appelnotedebasdep"/>
        </w:rPr>
        <w:footnoteRef/>
      </w:r>
      <w:r>
        <w:t xml:space="preserve"> </w:t>
      </w:r>
      <w:r>
        <w:tab/>
      </w:r>
      <w:r w:rsidRPr="00BB11AF">
        <w:t>Nous laissons de côté les nombreuses recherches réalisées dans le domaine de la sociologie économique et de l'économie politique. Voir Aspiazu et Schorr (2010).</w:t>
      </w:r>
    </w:p>
  </w:footnote>
  <w:footnote w:id="80">
    <w:p w:rsidR="003A3061" w:rsidRDefault="003A3061">
      <w:pPr>
        <w:pStyle w:val="Notedebasdepage"/>
      </w:pPr>
      <w:r>
        <w:rPr>
          <w:rStyle w:val="Appelnotedebasdep"/>
        </w:rPr>
        <w:footnoteRef/>
      </w:r>
      <w:r>
        <w:t xml:space="preserve"> </w:t>
      </w:r>
      <w:r>
        <w:tab/>
      </w:r>
      <w:r w:rsidRPr="00BB11AF">
        <w:t xml:space="preserve">À l'instar de Corten </w:t>
      </w:r>
      <w:r w:rsidRPr="00BB11AF">
        <w:rPr>
          <w:bCs/>
        </w:rPr>
        <w:t>et al.</w:t>
      </w:r>
      <w:r w:rsidRPr="00BB11AF">
        <w:t xml:space="preserve"> (2006) ainsi que de Donot et Pordeus Ribeiro (2012), nous pensons que l'analyse des discours (politiques) permet d'ident</w:t>
      </w:r>
      <w:r w:rsidRPr="00BB11AF">
        <w:t>i</w:t>
      </w:r>
      <w:r w:rsidRPr="00BB11AF">
        <w:t>fier les imaginaires constitutifs d'une société, considérant l'imaginaire co</w:t>
      </w:r>
      <w:r w:rsidRPr="00BB11AF">
        <w:t>m</w:t>
      </w:r>
      <w:r w:rsidRPr="00BB11AF">
        <w:t>me une dimension instituée, mais aussi instituante de « nouvelles signific</w:t>
      </w:r>
      <w:r w:rsidRPr="00BB11AF">
        <w:t>a</w:t>
      </w:r>
      <w:r w:rsidRPr="00BB11AF">
        <w:t>tions qui viennent modifier les fro</w:t>
      </w:r>
      <w:r w:rsidRPr="00BB11AF">
        <w:t>n</w:t>
      </w:r>
      <w:r w:rsidRPr="00BB11AF">
        <w:t>tières du sens qu'une société se donne à elle-même » (Donot et Po</w:t>
      </w:r>
      <w:r w:rsidRPr="00BB11AF">
        <w:t>r</w:t>
      </w:r>
      <w:r w:rsidRPr="00BB11AF">
        <w:t>deus Ribeiro 2012 :32).</w:t>
      </w:r>
    </w:p>
  </w:footnote>
  <w:footnote w:id="81">
    <w:p w:rsidR="003A3061" w:rsidRDefault="003A3061">
      <w:pPr>
        <w:pStyle w:val="Notedebasdepage"/>
      </w:pPr>
      <w:r>
        <w:rPr>
          <w:rStyle w:val="Appelnotedebasdep"/>
        </w:rPr>
        <w:footnoteRef/>
      </w:r>
      <w:r>
        <w:t xml:space="preserve"> </w:t>
      </w:r>
      <w:r>
        <w:tab/>
      </w:r>
      <w:r w:rsidRPr="00BB11AF">
        <w:t>Je remercie madame Mariana Cané (Universidad de Buenos A</w:t>
      </w:r>
      <w:r w:rsidRPr="00BB11AF">
        <w:t>i</w:t>
      </w:r>
      <w:r w:rsidRPr="00BB11AF">
        <w:t>res) pour sa collaboration à l'écriture de cette sous-section.</w:t>
      </w:r>
    </w:p>
  </w:footnote>
  <w:footnote w:id="82">
    <w:p w:rsidR="003A3061" w:rsidRDefault="003A3061">
      <w:pPr>
        <w:pStyle w:val="Notedebasdepage"/>
      </w:pPr>
      <w:r>
        <w:rPr>
          <w:rStyle w:val="Appelnotedebasdep"/>
        </w:rPr>
        <w:footnoteRef/>
      </w:r>
      <w:r>
        <w:tab/>
      </w:r>
      <w:r w:rsidRPr="00BB11AF">
        <w:t>En effet, même Svampa (2004a) reconnaît le caractère destituant et pur</w:t>
      </w:r>
      <w:r w:rsidRPr="00BB11AF">
        <w:t>e</w:t>
      </w:r>
      <w:r w:rsidRPr="00BB11AF">
        <w:t>ment négatif de la consigne « Qu'ils s'en aillent tous », les di</w:t>
      </w:r>
      <w:r w:rsidRPr="00BB11AF">
        <w:t>f</w:t>
      </w:r>
      <w:r w:rsidRPr="00BB11AF">
        <w:t>ficultés des mouvements sociaux à proposer des articulations et des a</w:t>
      </w:r>
      <w:r w:rsidRPr="00BB11AF">
        <w:t>l</w:t>
      </w:r>
      <w:r w:rsidRPr="00BB11AF">
        <w:t>liances en dehors du champ strictement militant, l'absence de projets alternatifs, ainsi que l'empreinte négative de la « fausse » antinomie entre hégémonisme et aut</w:t>
      </w:r>
      <w:r w:rsidRPr="00BB11AF">
        <w:t>o</w:t>
      </w:r>
      <w:r w:rsidRPr="00BB11AF">
        <w:t>nomisme.</w:t>
      </w:r>
    </w:p>
  </w:footnote>
  <w:footnote w:id="83">
    <w:p w:rsidR="003A3061" w:rsidRDefault="003A3061">
      <w:pPr>
        <w:pStyle w:val="Notedebasdepage"/>
      </w:pPr>
      <w:r>
        <w:rPr>
          <w:rStyle w:val="Appelnotedebasdep"/>
        </w:rPr>
        <w:footnoteRef/>
      </w:r>
      <w:r>
        <w:t xml:space="preserve"> </w:t>
      </w:r>
      <w:r>
        <w:tab/>
      </w:r>
      <w:r w:rsidRPr="00BB11AF">
        <w:t>La notion de « crise de représentation » doit être distinguée, su</w:t>
      </w:r>
      <w:r w:rsidRPr="00BB11AF">
        <w:t>i</w:t>
      </w:r>
      <w:r w:rsidRPr="00BB11AF">
        <w:t>vant Pierre Manin (1998), de celle de « métamorphose de la représe</w:t>
      </w:r>
      <w:r w:rsidRPr="00BB11AF">
        <w:t>n</w:t>
      </w:r>
      <w:r w:rsidRPr="00BB11AF">
        <w:t>tation », un long processus résultant de la transition des « démocraties de partis » aux « démocraties du public » (Pousadela 2006).</w:t>
      </w:r>
    </w:p>
  </w:footnote>
  <w:footnote w:id="84">
    <w:p w:rsidR="003A3061" w:rsidRDefault="003A3061">
      <w:pPr>
        <w:pStyle w:val="Notedebasdepage"/>
      </w:pPr>
      <w:r>
        <w:rPr>
          <w:rStyle w:val="Appelnotedebasdep"/>
        </w:rPr>
        <w:footnoteRef/>
      </w:r>
      <w:r>
        <w:t xml:space="preserve"> </w:t>
      </w:r>
      <w:r>
        <w:tab/>
      </w:r>
      <w:r w:rsidRPr="00BB11AF">
        <w:t>L</w:t>
      </w:r>
      <w:r w:rsidRPr="00BB11AF">
        <w:rPr>
          <w:bCs/>
        </w:rPr>
        <w:t>’</w:t>
      </w:r>
      <w:r w:rsidRPr="00BB11AF">
        <w:rPr>
          <w:bCs/>
          <w:i/>
        </w:rPr>
        <w:t>Alianza por el Trabajo, la Justicia y la Educación</w:t>
      </w:r>
      <w:r w:rsidRPr="00BB11AF">
        <w:rPr>
          <w:i/>
        </w:rPr>
        <w:t xml:space="preserve"> </w:t>
      </w:r>
      <w:r w:rsidRPr="00BB11AF">
        <w:t>était le pa</w:t>
      </w:r>
      <w:r w:rsidRPr="00BB11AF">
        <w:t>r</w:t>
      </w:r>
      <w:r w:rsidRPr="00BB11AF">
        <w:t>ti au pouvoir lors de la crise, une coalition entre l'Union Cîvica Radical (UCR, parti trad</w:t>
      </w:r>
      <w:r w:rsidRPr="00BB11AF">
        <w:t>i</w:t>
      </w:r>
      <w:r w:rsidRPr="00BB11AF">
        <w:t>tionnel d'orientation progressiste), et le Frente País Solidario (FREPASO), un front qui réunissait des secteurs per</w:t>
      </w:r>
      <w:r w:rsidRPr="00BB11AF">
        <w:t>o</w:t>
      </w:r>
      <w:r w:rsidRPr="00BB11AF">
        <w:t>nistes, socialistes et social-démocrates. L'Alianza s'est conformée en 1997 pour les élections de 1999, et a disparu en 2001.</w:t>
      </w:r>
    </w:p>
  </w:footnote>
  <w:footnote w:id="85">
    <w:p w:rsidR="003A3061" w:rsidRDefault="003A3061">
      <w:pPr>
        <w:pStyle w:val="Notedebasdepage"/>
      </w:pPr>
      <w:r>
        <w:rPr>
          <w:rStyle w:val="Appelnotedebasdep"/>
        </w:rPr>
        <w:footnoteRef/>
      </w:r>
      <w:r>
        <w:t xml:space="preserve"> </w:t>
      </w:r>
      <w:r>
        <w:tab/>
      </w:r>
      <w:r w:rsidRPr="00BB11AF">
        <w:t>Dans ce domaine, on peut trouver aussi quelques travaux ce</w:t>
      </w:r>
      <w:r w:rsidRPr="00BB11AF">
        <w:t>n</w:t>
      </w:r>
      <w:r w:rsidRPr="00BB11AF">
        <w:t>trés sur les aspects systémiques et institutionnels de la crise qui s'occupent spécifiqu</w:t>
      </w:r>
      <w:r w:rsidRPr="00BB11AF">
        <w:t>e</w:t>
      </w:r>
      <w:r w:rsidRPr="00BB11AF">
        <w:t>ment du handicap des institutions fiscales f</w:t>
      </w:r>
      <w:r w:rsidRPr="00BB11AF">
        <w:t>é</w:t>
      </w:r>
      <w:r w:rsidRPr="00BB11AF">
        <w:t>dérales, de la nature du régime politique argentin (présidentialiste, bicaméral) et des règles électorales (de représentation proportionnelle). Consulter Bo</w:t>
      </w:r>
      <w:r w:rsidRPr="00BB11AF">
        <w:t>n</w:t>
      </w:r>
      <w:r w:rsidRPr="00BB11AF">
        <w:t>vecchi (2006).</w:t>
      </w:r>
    </w:p>
  </w:footnote>
  <w:footnote w:id="86">
    <w:p w:rsidR="003A3061" w:rsidRDefault="003A3061">
      <w:pPr>
        <w:pStyle w:val="Notedebasdepage"/>
      </w:pPr>
      <w:r>
        <w:rPr>
          <w:rStyle w:val="Appelnotedebasdep"/>
        </w:rPr>
        <w:footnoteRef/>
      </w:r>
      <w:r>
        <w:t xml:space="preserve"> </w:t>
      </w:r>
      <w:r>
        <w:tab/>
      </w:r>
      <w:r w:rsidRPr="00BB11AF">
        <w:t>Parmi Lesquelles se détachent dans la première année de go</w:t>
      </w:r>
      <w:r w:rsidRPr="00BB11AF">
        <w:t>u</w:t>
      </w:r>
      <w:r w:rsidRPr="00BB11AF">
        <w:t>vernement : la modification de la structure de la Cour suprême de ju</w:t>
      </w:r>
      <w:r w:rsidRPr="00BB11AF">
        <w:t>s</w:t>
      </w:r>
      <w:r w:rsidRPr="00BB11AF">
        <w:t>tice et des hiérarchies militaires, la confrontation envers le Fonds m</w:t>
      </w:r>
      <w:r w:rsidRPr="00BB11AF">
        <w:t>o</w:t>
      </w:r>
      <w:r w:rsidRPr="00BB11AF">
        <w:t>nétaire international (FMI) et envers les créanciers privés, les polit</w:t>
      </w:r>
      <w:r w:rsidRPr="00BB11AF">
        <w:t>i</w:t>
      </w:r>
      <w:r w:rsidRPr="00BB11AF">
        <w:t>ques de droits de l'homme, le Plan de sécurité alimentaire, le Plan « </w:t>
      </w:r>
      <w:r w:rsidRPr="00BB11AF">
        <w:rPr>
          <w:bCs/>
        </w:rPr>
        <w:t>Manos a la Obra</w:t>
      </w:r>
      <w:r w:rsidRPr="00BB11AF">
        <w:t> », les augmentations de s</w:t>
      </w:r>
      <w:r w:rsidRPr="00BB11AF">
        <w:t>a</w:t>
      </w:r>
      <w:r w:rsidRPr="00BB11AF">
        <w:t>laire et des retraites, des mesures économiques de réactivation de la produ</w:t>
      </w:r>
      <w:r w:rsidRPr="00BB11AF">
        <w:t>c</w:t>
      </w:r>
      <w:r w:rsidRPr="00BB11AF">
        <w:t>tion industrielle et de l'emploi, la régulation des tarifs et les subventions aux services p</w:t>
      </w:r>
      <w:r w:rsidRPr="00BB11AF">
        <w:t>u</w:t>
      </w:r>
      <w:r w:rsidRPr="00BB11AF">
        <w:t>blics (Montero et Vincent 2013).</w:t>
      </w:r>
    </w:p>
  </w:footnote>
  <w:footnote w:id="87">
    <w:p w:rsidR="003A3061" w:rsidRDefault="003A3061">
      <w:pPr>
        <w:pStyle w:val="Notedebasdepage"/>
      </w:pPr>
      <w:r>
        <w:rPr>
          <w:rStyle w:val="Appelnotedebasdep"/>
        </w:rPr>
        <w:footnoteRef/>
      </w:r>
      <w:r>
        <w:t xml:space="preserve"> </w:t>
      </w:r>
      <w:r>
        <w:tab/>
      </w:r>
      <w:r w:rsidRPr="00BB11AF">
        <w:t>Par exemple, en octobre 2003 des affrontements ont eu lieu entre le gouve</w:t>
      </w:r>
      <w:r w:rsidRPr="00BB11AF">
        <w:t>r</w:t>
      </w:r>
      <w:r w:rsidRPr="00BB11AF">
        <w:t xml:space="preserve">nement et les secteurs radicalisés du Mouvement </w:t>
      </w:r>
      <w:r w:rsidRPr="00BB11AF">
        <w:rPr>
          <w:bCs/>
        </w:rPr>
        <w:t>piquet</w:t>
      </w:r>
      <w:r w:rsidRPr="00BB11AF">
        <w:rPr>
          <w:bCs/>
        </w:rPr>
        <w:t>e</w:t>
      </w:r>
      <w:r w:rsidRPr="00BB11AF">
        <w:rPr>
          <w:bCs/>
        </w:rPr>
        <w:t>ro,</w:t>
      </w:r>
      <w:r w:rsidRPr="00BB11AF">
        <w:t xml:space="preserve"> qui demandaient des plans sociaux et de l'aide économique. Le gouvernement a présenté des plaintes pénales et évoqué la possib</w:t>
      </w:r>
      <w:r w:rsidRPr="00BB11AF">
        <w:t>i</w:t>
      </w:r>
      <w:r w:rsidRPr="00BB11AF">
        <w:t xml:space="preserve">lité de lancer une brigade </w:t>
      </w:r>
      <w:r w:rsidRPr="00BB11AF">
        <w:rPr>
          <w:bCs/>
        </w:rPr>
        <w:t>Antipiquetes,</w:t>
      </w:r>
      <w:r w:rsidRPr="00BB11AF">
        <w:t xml:space="preserve"> qui aurait une fonction « dissuasive » et non « répressive » (Fernández Mo</w:t>
      </w:r>
      <w:r w:rsidRPr="00BB11AF">
        <w:t>o</w:t>
      </w:r>
      <w:r w:rsidRPr="00BB11AF">
        <w:t>re 2003). M</w:t>
      </w:r>
      <w:r w:rsidRPr="00BB11AF">
        <w:t>ê</w:t>
      </w:r>
      <w:r w:rsidRPr="00BB11AF">
        <w:t>me si à la fin du mois de décembre 2003 les manifestations avaient dim</w:t>
      </w:r>
      <w:r w:rsidRPr="00BB11AF">
        <w:t>i</w:t>
      </w:r>
      <w:r w:rsidRPr="00BB11AF">
        <w:t xml:space="preserve">nué de 50% (selon des sources officielles) et que la perception sociale était que le gouvernement avait réussi à « casser » le mouvement </w:t>
      </w:r>
      <w:r w:rsidRPr="00BB11AF">
        <w:rPr>
          <w:bCs/>
        </w:rPr>
        <w:t>p</w:t>
      </w:r>
      <w:r w:rsidRPr="00BB11AF">
        <w:rPr>
          <w:bCs/>
        </w:rPr>
        <w:t>i</w:t>
      </w:r>
      <w:r w:rsidRPr="00BB11AF">
        <w:rPr>
          <w:bCs/>
        </w:rPr>
        <w:t>quetero,</w:t>
      </w:r>
      <w:r w:rsidRPr="00BB11AF">
        <w:t xml:space="preserve"> l'agitation sociale était encore un enjeu politique et médiat</w:t>
      </w:r>
      <w:r w:rsidRPr="00BB11AF">
        <w:t>i</w:t>
      </w:r>
      <w:r w:rsidRPr="00BB11AF">
        <w:t>que. Au mois de décembre, le Président de la République lui-même a fait des décl</w:t>
      </w:r>
      <w:r w:rsidRPr="00BB11AF">
        <w:t>a</w:t>
      </w:r>
      <w:r w:rsidRPr="00BB11AF">
        <w:t>rations lors d'une émission télévisée, dans lesquelles il dénonçait les strat</w:t>
      </w:r>
      <w:r w:rsidRPr="00BB11AF">
        <w:t>é</w:t>
      </w:r>
      <w:r w:rsidRPr="00BB11AF">
        <w:t>gies des secteurs d'extrême gauche dont les méth</w:t>
      </w:r>
      <w:r w:rsidRPr="00BB11AF">
        <w:t>o</w:t>
      </w:r>
      <w:r w:rsidRPr="00BB11AF">
        <w:t xml:space="preserve">des de lutte étaient-selon lui-intransigeantes, erronées et soumises « à l'establishment » (La </w:t>
      </w:r>
      <w:r w:rsidRPr="00BB11AF">
        <w:rPr>
          <w:bCs/>
        </w:rPr>
        <w:t>N</w:t>
      </w:r>
      <w:r w:rsidRPr="00BB11AF">
        <w:rPr>
          <w:bCs/>
        </w:rPr>
        <w:t>a</w:t>
      </w:r>
      <w:r w:rsidRPr="00BB11AF">
        <w:rPr>
          <w:bCs/>
        </w:rPr>
        <w:t>ción</w:t>
      </w:r>
      <w:r w:rsidRPr="00BB11AF">
        <w:t xml:space="preserve"> 2003).</w:t>
      </w:r>
    </w:p>
  </w:footnote>
  <w:footnote w:id="88">
    <w:p w:rsidR="003A3061" w:rsidRDefault="003A3061">
      <w:pPr>
        <w:pStyle w:val="Notedebasdepage"/>
      </w:pPr>
      <w:r>
        <w:rPr>
          <w:rStyle w:val="Appelnotedebasdep"/>
        </w:rPr>
        <w:footnoteRef/>
      </w:r>
      <w:r>
        <w:t xml:space="preserve"> </w:t>
      </w:r>
      <w:r>
        <w:tab/>
      </w:r>
      <w:r w:rsidRPr="00BB11AF">
        <w:t>La notion d'« hégémonie », déjà présente dans la pensée de certains repr</w:t>
      </w:r>
      <w:r w:rsidRPr="00BB11AF">
        <w:t>é</w:t>
      </w:r>
      <w:r w:rsidRPr="00BB11AF">
        <w:t>sentants du marxisme soviétique et développée par A</w:t>
      </w:r>
      <w:r w:rsidRPr="00BB11AF">
        <w:t>n</w:t>
      </w:r>
      <w:r w:rsidRPr="00BB11AF">
        <w:t>tonio Gramsci dans les années 1930, fait actuellement l'objet de nombreuses analyses postma</w:t>
      </w:r>
      <w:r w:rsidRPr="00BB11AF">
        <w:t>r</w:t>
      </w:r>
      <w:r w:rsidRPr="00BB11AF">
        <w:t>xistes et post-structuralistes, notamment celles qui se font à partir d'une r</w:t>
      </w:r>
      <w:r w:rsidRPr="00BB11AF">
        <w:t>é</w:t>
      </w:r>
      <w:r w:rsidRPr="00BB11AF">
        <w:t xml:space="preserve">élaboration critique telle que proposée par Ernesto Laclau et Chantal Mouffe dans </w:t>
      </w:r>
      <w:r w:rsidRPr="00BB11AF">
        <w:rPr>
          <w:bCs/>
        </w:rPr>
        <w:t>Hégémonie et stratégie socialiste</w:t>
      </w:r>
      <w:r w:rsidRPr="00BB11AF">
        <w:t xml:space="preserve"> (2008), où les auteurs tentent de su</w:t>
      </w:r>
      <w:r w:rsidRPr="00BB11AF">
        <w:t>r</w:t>
      </w:r>
      <w:r w:rsidRPr="00BB11AF">
        <w:t>monter l'essentialisme et le déte</w:t>
      </w:r>
      <w:r w:rsidRPr="00BB11AF">
        <w:t>r</w:t>
      </w:r>
      <w:r w:rsidRPr="00BB11AF">
        <w:t>minisme présents dans la théorie marxiste.</w:t>
      </w:r>
    </w:p>
  </w:footnote>
  <w:footnote w:id="89">
    <w:p w:rsidR="003A3061" w:rsidRDefault="003A3061">
      <w:pPr>
        <w:pStyle w:val="Notedebasdepage"/>
      </w:pPr>
      <w:r>
        <w:rPr>
          <w:rStyle w:val="Appelnotedebasdep"/>
        </w:rPr>
        <w:footnoteRef/>
      </w:r>
      <w:r>
        <w:t xml:space="preserve"> </w:t>
      </w:r>
      <w:r>
        <w:tab/>
      </w:r>
      <w:r w:rsidRPr="00BB11AF">
        <w:t>Aspiazu et Schoor (2010), par exemple, affirment que pendant la dernière dictature il s'est produit une interruption subite du proce</w:t>
      </w:r>
      <w:r w:rsidRPr="00BB11AF">
        <w:t>s</w:t>
      </w:r>
      <w:r w:rsidRPr="00BB11AF">
        <w:t>sus de substitution des importations, initié quelques décennies aupar</w:t>
      </w:r>
      <w:r w:rsidRPr="00BB11AF">
        <w:t>a</w:t>
      </w:r>
      <w:r w:rsidRPr="00BB11AF">
        <w:t>vant, et son remplacement forcé par un nouveau modèle d'accumulation économique, centré nota</w:t>
      </w:r>
      <w:r w:rsidRPr="00BB11AF">
        <w:t>m</w:t>
      </w:r>
      <w:r w:rsidRPr="00BB11AF">
        <w:t>ment sur les finances.</w:t>
      </w:r>
    </w:p>
  </w:footnote>
  <w:footnote w:id="90">
    <w:p w:rsidR="003A3061" w:rsidRDefault="003A3061">
      <w:pPr>
        <w:pStyle w:val="Notedebasdepage"/>
      </w:pPr>
      <w:r>
        <w:rPr>
          <w:rStyle w:val="Appelnotedebasdep"/>
        </w:rPr>
        <w:footnoteRef/>
      </w:r>
      <w:r>
        <w:t xml:space="preserve"> </w:t>
      </w:r>
      <w:r>
        <w:tab/>
      </w:r>
      <w:r w:rsidRPr="00BB11AF">
        <w:t xml:space="preserve">L'auteur récupère la distinction entre </w:t>
      </w:r>
      <w:r w:rsidRPr="00BB11AF">
        <w:rPr>
          <w:bCs/>
        </w:rPr>
        <w:t>plebs</w:t>
      </w:r>
      <w:r w:rsidRPr="00BB11AF">
        <w:t xml:space="preserve"> et </w:t>
      </w:r>
      <w:r w:rsidRPr="00BB11AF">
        <w:rPr>
          <w:bCs/>
        </w:rPr>
        <w:t>populus</w:t>
      </w:r>
      <w:r w:rsidRPr="00BB11AF">
        <w:t xml:space="preserve"> prop</w:t>
      </w:r>
      <w:r w:rsidRPr="00BB11AF">
        <w:t>o</w:t>
      </w:r>
      <w:r w:rsidRPr="00BB11AF">
        <w:t>sée, notamment, par Jacques Rancière (1995).</w:t>
      </w:r>
    </w:p>
  </w:footnote>
  <w:footnote w:id="91">
    <w:p w:rsidR="003A3061" w:rsidRDefault="003A3061">
      <w:pPr>
        <w:pStyle w:val="Notedebasdepage"/>
      </w:pPr>
      <w:r>
        <w:rPr>
          <w:rStyle w:val="Appelnotedebasdep"/>
        </w:rPr>
        <w:footnoteRef/>
      </w:r>
      <w:r>
        <w:t xml:space="preserve"> </w:t>
      </w:r>
      <w:r>
        <w:tab/>
      </w:r>
      <w:r w:rsidRPr="00BB11AF">
        <w:t>II faut noter au passage que l'avantage pour l'État (la création d'emplois) de la conversion des connaissances en profits a un caractère en apparence par</w:t>
      </w:r>
      <w:r w:rsidRPr="00BB11AF">
        <w:t>a</w:t>
      </w:r>
      <w:r w:rsidRPr="00BB11AF">
        <w:t>doxal puisque ce sont les innovations qui rédu</w:t>
      </w:r>
      <w:r w:rsidRPr="00BB11AF">
        <w:t>i</w:t>
      </w:r>
      <w:r w:rsidRPr="00BB11AF">
        <w:t>sent l'emploi en augmentant la productivité qui sont présumées attirer « chez nous » les investissements internationaux créateurs d'emplois : on soutient donc que ce sont les pays où le recours à l'emploi baisse le plus rapidement (productivité) qui créeront le plus d'emplois.</w:t>
      </w:r>
    </w:p>
  </w:footnote>
  <w:footnote w:id="92">
    <w:p w:rsidR="003A3061" w:rsidRDefault="003A3061">
      <w:pPr>
        <w:pStyle w:val="Notedebasdepage"/>
      </w:pPr>
      <w:r>
        <w:rPr>
          <w:rStyle w:val="Appelnotedebasdep"/>
        </w:rPr>
        <w:footnoteRef/>
      </w:r>
      <w:r>
        <w:t xml:space="preserve"> </w:t>
      </w:r>
      <w:r>
        <w:tab/>
      </w:r>
      <w:r w:rsidRPr="00BB11AF">
        <w:t>Voir Gouvernement canadien,</w:t>
      </w:r>
      <w:r>
        <w:br/>
      </w:r>
      <w:hyperlink r:id="rId2" w:history="1">
        <w:r w:rsidRPr="008A7C9A">
          <w:rPr>
            <w:rStyle w:val="Lienhypertexte"/>
            <w:lang w:bidi="en-US"/>
          </w:rPr>
          <w:t>http://www.pm.gc.ca/fra/nouvelles/2012/10/13/declaration-du-premier-ministre-du-</w:t>
        </w:r>
        <w:r w:rsidRPr="008A7C9A">
          <w:rPr>
            <w:rStyle w:val="Lienhypertexte"/>
          </w:rPr>
          <w:t>canada-au-i4e-sommet-de-la-francophonie#sthash.fs5Tiilg.dpuf</w:t>
        </w:r>
      </w:hyperlink>
    </w:p>
  </w:footnote>
  <w:footnote w:id="93">
    <w:p w:rsidR="003A3061" w:rsidRDefault="003A3061">
      <w:pPr>
        <w:pStyle w:val="Notedebasdepage"/>
      </w:pPr>
      <w:r>
        <w:rPr>
          <w:rStyle w:val="Appelnotedebasdep"/>
        </w:rPr>
        <w:footnoteRef/>
      </w:r>
      <w:r>
        <w:t xml:space="preserve"> </w:t>
      </w:r>
      <w:r>
        <w:tab/>
      </w:r>
      <w:r w:rsidRPr="00BB11AF">
        <w:t>II s'agit bien sûr d'un raccourci. Je ne reprendrai pas ici toute la démonstr</w:t>
      </w:r>
      <w:r w:rsidRPr="00BB11AF">
        <w:t>a</w:t>
      </w:r>
      <w:r w:rsidRPr="00BB11AF">
        <w:t>tion de Hanna Arendt (1972). Cette citation montre l'ampleur de son raiso</w:t>
      </w:r>
      <w:r w:rsidRPr="00BB11AF">
        <w:t>n</w:t>
      </w:r>
      <w:r w:rsidRPr="00BB11AF">
        <w:t>nement : « Quand la confiance en l'apparition des choses telles qu'elles sont réellement s'en était allée, le concept de vérité comme révélation était dev</w:t>
      </w:r>
      <w:r w:rsidRPr="00BB11AF">
        <w:t>e</w:t>
      </w:r>
      <w:r w:rsidRPr="00BB11AF">
        <w:t>nu douteux, et avec lui la foi aveugle en un Dieu révélé. La notion de « théorie » changea de sens. Elle ne désigna plus un système de vérités ra</w:t>
      </w:r>
      <w:r w:rsidRPr="00BB11AF">
        <w:t>i</w:t>
      </w:r>
      <w:r w:rsidRPr="00BB11AF">
        <w:t>sonnablement réunies, qui, en tant que telles, n'avaient pas été faites mais données à la raison et aux sens. Elle devint plutôt la théorie scientifique m</w:t>
      </w:r>
      <w:r w:rsidRPr="00BB11AF">
        <w:t>o</w:t>
      </w:r>
      <w:r w:rsidRPr="00BB11AF">
        <w:t>derne qui est une h</w:t>
      </w:r>
      <w:r w:rsidRPr="00BB11AF">
        <w:t>y</w:t>
      </w:r>
      <w:r w:rsidRPr="00BB11AF">
        <w:t>pothèse de travail changeant selon les résultats qu'elle produit et d</w:t>
      </w:r>
      <w:r w:rsidRPr="00BB11AF">
        <w:t>é</w:t>
      </w:r>
      <w:r w:rsidRPr="00BB11AF">
        <w:t>pendant, quant à sa validité, non de ce qu'elle « révèle » mais de la question de savoir si elle « fonctionne ». (p.56) Il faut insister ici sur les rapports de causalité qu'Arendt implique dans cette citation. C'est le fait de ne plus avoir « confiance en l'apparition des choses », donc plus confiance ni dans ses sens ni dans les raisonnements fondés sur ceux-ci qui a amené Descartes à formuler son célèbre de omnibus d</w:t>
      </w:r>
      <w:r w:rsidRPr="00BB11AF">
        <w:t>u</w:t>
      </w:r>
      <w:r w:rsidRPr="00BB11AF">
        <w:t>bitandum est (il faut douter de tout), que Kierkegaard reprendra co</w:t>
      </w:r>
      <w:r w:rsidRPr="00BB11AF">
        <w:t>m</w:t>
      </w:r>
      <w:r w:rsidRPr="00BB11AF">
        <w:t>me titre d'un de ses livres. Arendt précise sa pensée un peu plus loin « Descartes formule sa règle parce que les découvertes alors r</w:t>
      </w:r>
      <w:r w:rsidRPr="00BB11AF">
        <w:t>é</w:t>
      </w:r>
      <w:r w:rsidRPr="00BB11AF">
        <w:t>centes des sciences de la nature l'avaient convaincu que l'homme dans sa recherche de la vérité et du savoir ne peut se fier ni à l'év</w:t>
      </w:r>
      <w:r w:rsidRPr="00BB11AF">
        <w:t>i</w:t>
      </w:r>
      <w:r w:rsidRPr="00BB11AF">
        <w:t>dence données par les sens, ni à la « vérité innée » de l'esprit, ni à la « lumière int</w:t>
      </w:r>
      <w:r w:rsidRPr="00BB11AF">
        <w:t>é</w:t>
      </w:r>
      <w:r w:rsidRPr="00BB11AF">
        <w:t>rieure de la raison ». Cette défiance à l'égard des capacités humaines a été depuis lors l'une des conditions les plus fondamentales de l'époque moderne et de la pensée moderne ; mais elle n'a pas jailli, comme on le pense d'ordinaire, d'un affaiblissement soudain et myst</w:t>
      </w:r>
      <w:r w:rsidRPr="00BB11AF">
        <w:t>é</w:t>
      </w:r>
      <w:r w:rsidRPr="00BB11AF">
        <w:t>rieux de la foi en Dieu, et sa cause ne fut à l'origine même pas un soupçon à l'égard de la raison comme telle » (p.74). Le choc initial que la science portât à notre se</w:t>
      </w:r>
      <w:r w:rsidRPr="00BB11AF">
        <w:t>n</w:t>
      </w:r>
      <w:r w:rsidRPr="00BB11AF">
        <w:t>sibilité fut celui de l'astronomie. D</w:t>
      </w:r>
      <w:r w:rsidRPr="00BB11AF">
        <w:t>é</w:t>
      </w:r>
      <w:r w:rsidRPr="00BB11AF">
        <w:t>couvrir que nous vivons sur une terre mobile et ronde n'est en rien préparé par notre expérience ordinaire du mo</w:t>
      </w:r>
      <w:r w:rsidRPr="00BB11AF">
        <w:t>n</w:t>
      </w:r>
      <w:r w:rsidRPr="00BB11AF">
        <w:t>de.</w:t>
      </w:r>
    </w:p>
  </w:footnote>
  <w:footnote w:id="94">
    <w:p w:rsidR="003A3061" w:rsidRDefault="003A3061">
      <w:pPr>
        <w:pStyle w:val="Notedebasdepage"/>
      </w:pPr>
      <w:r>
        <w:rPr>
          <w:rStyle w:val="Appelnotedebasdep"/>
        </w:rPr>
        <w:footnoteRef/>
      </w:r>
      <w:r>
        <w:tab/>
      </w:r>
      <w:r w:rsidRPr="00BB11AF">
        <w:t>Les figures qui suivent sont constituées à partir de données de plusieurs sources. Les données sur le suicide proviennent des rév</w:t>
      </w:r>
      <w:r w:rsidRPr="00BB11AF">
        <w:t>i</w:t>
      </w:r>
      <w:r w:rsidRPr="00BB11AF">
        <w:t>sions 7, 8, 9 et 10 de la Base de données sur la mortalité de l'Organis</w:t>
      </w:r>
      <w:r w:rsidRPr="00BB11AF">
        <w:t>a</w:t>
      </w:r>
      <w:r w:rsidRPr="00BB11AF">
        <w:t>tion mondiale de la santé (OMS). Les données économiques provie</w:t>
      </w:r>
      <w:r w:rsidRPr="00BB11AF">
        <w:t>n</w:t>
      </w:r>
      <w:r w:rsidRPr="00BB11AF">
        <w:t>nent de l'Annual Labour Force Statistics (ALFS) Summary tables d</w:t>
      </w:r>
      <w:r w:rsidRPr="00BB11AF">
        <w:t>a</w:t>
      </w:r>
      <w:r w:rsidRPr="00BB11AF">
        <w:t>taset de l'OCDE. Les données sur la famille proviennent de Country Stati</w:t>
      </w:r>
      <w:r w:rsidRPr="00BB11AF">
        <w:t>s</w:t>
      </w:r>
      <w:r w:rsidRPr="00BB11AF">
        <w:t>tical Profiles (1950-2011) également produits par l'OCDE.</w:t>
      </w:r>
    </w:p>
  </w:footnote>
  <w:footnote w:id="95">
    <w:p w:rsidR="003A3061" w:rsidRDefault="003A3061">
      <w:pPr>
        <w:pStyle w:val="Notedebasdepage"/>
      </w:pPr>
      <w:r>
        <w:rPr>
          <w:rStyle w:val="Appelnotedebasdep"/>
        </w:rPr>
        <w:footnoteRef/>
      </w:r>
      <w:r>
        <w:t xml:space="preserve"> </w:t>
      </w:r>
      <w:r>
        <w:tab/>
      </w:r>
      <w:r w:rsidRPr="00BB11AF">
        <w:t>Nous ne voulons pas dans ce texte compliquer inutilement les aspects tec</w:t>
      </w:r>
      <w:r w:rsidRPr="00BB11AF">
        <w:t>h</w:t>
      </w:r>
      <w:r w:rsidRPr="00BB11AF">
        <w:t>niques. Il faut savoir que les démographes traitent de la temporalité en di</w:t>
      </w:r>
      <w:r w:rsidRPr="00BB11AF">
        <w:t>s</w:t>
      </w:r>
      <w:r w:rsidRPr="00BB11AF">
        <w:t>tinguant trois concepts différents : l'âge, la cohorte et la période historique. Ce sont trois dimensions qui bien sûr sont fortement liés. Le fait que les je</w:t>
      </w:r>
      <w:r w:rsidRPr="00BB11AF">
        <w:t>u</w:t>
      </w:r>
      <w:r w:rsidRPr="00BB11AF">
        <w:t>nes se tuent davantage que les aînés, par exemple, est un effet d'âge. Les a</w:t>
      </w:r>
      <w:r w:rsidRPr="00BB11AF">
        <w:t>n</w:t>
      </w:r>
      <w:r w:rsidRPr="00BB11AF">
        <w:t>nées 1970 ont vu se transformer la structure d'âge. Mais parler des « années 1970 » c'est référer à une période historique. Il faut alors comprendre pou</w:t>
      </w:r>
      <w:r w:rsidRPr="00BB11AF">
        <w:t>r</w:t>
      </w:r>
      <w:r w:rsidRPr="00BB11AF">
        <w:t>quoi cette époque a eu cet effet sur l'âge. Ce que l'on constate depuis les a</w:t>
      </w:r>
      <w:r w:rsidRPr="00BB11AF">
        <w:t>n</w:t>
      </w:r>
      <w:r w:rsidRPr="00BB11AF">
        <w:t>nées 2000 au Québec nous amène à penser que les hauts taux de suicide soient a</w:t>
      </w:r>
      <w:r w:rsidRPr="00BB11AF">
        <w:t>s</w:t>
      </w:r>
      <w:r w:rsidRPr="00BB11AF">
        <w:t>sociés à une cohorte composée des gens qui avaient un certain âge (les jeunes) à une époque qui s'étend de la Révolution tranquille jusqu'aux années 1999. Une période très longue qui laisse penser que plusieurs ph</w:t>
      </w:r>
      <w:r w:rsidRPr="00BB11AF">
        <w:t>é</w:t>
      </w:r>
      <w:r w:rsidRPr="00BB11AF">
        <w:t>nomènes complexes étaient imbriqués. Il est par ailleurs difficile de savoir a priori si un phénomène quelconque a un effet d'âge durable ou bien s'il s'agit d'une cohorte marquée par son époque. Nous ne pe</w:t>
      </w:r>
      <w:r w:rsidRPr="00BB11AF">
        <w:t>n</w:t>
      </w:r>
      <w:r w:rsidRPr="00BB11AF">
        <w:t>sons pas avoir fait le tour de cette question dans ce trop court texte.</w:t>
      </w:r>
    </w:p>
  </w:footnote>
  <w:footnote w:id="96">
    <w:p w:rsidR="003A3061" w:rsidRDefault="003A3061">
      <w:pPr>
        <w:pStyle w:val="Notedebasdepage"/>
      </w:pPr>
      <w:r>
        <w:rPr>
          <w:rStyle w:val="Appelnotedebasdep"/>
        </w:rPr>
        <w:footnoteRef/>
      </w:r>
      <w:r>
        <w:t xml:space="preserve"> </w:t>
      </w:r>
      <w:r>
        <w:tab/>
      </w:r>
      <w:r w:rsidRPr="00BB11AF">
        <w:t>Nous n'ignorons pas que le travail industriel a d'abord été peuplé par des femmes aussi bien que par des hommes et même des enfants, dans le textile notamment où les femmes occupent encore une place importante. Les synd</w:t>
      </w:r>
      <w:r w:rsidRPr="00BB11AF">
        <w:t>i</w:t>
      </w:r>
      <w:r w:rsidRPr="00BB11AF">
        <w:t>cats et les associations religieuses firent de leur retrait des travaux les plus lourds une de leur principale revendication au tournant de XX</w:t>
      </w:r>
      <w:r w:rsidRPr="00BB11AF">
        <w:rPr>
          <w:vertAlign w:val="superscript"/>
        </w:rPr>
        <w:t>e</w:t>
      </w:r>
      <w:r w:rsidRPr="00BB11AF">
        <w:t xml:space="preserve"> siècle. Nous savons aussi qu'elles ont en partie remplacé le travail des hommes pendant la Seconde Guerre mondiale, cela bien que la notion d'industrie essentielle a permis à bien des hommes de ne pas aller au front. Néanmoins, la tertiaris</w:t>
      </w:r>
      <w:r w:rsidRPr="00BB11AF">
        <w:t>a</w:t>
      </w:r>
      <w:r w:rsidRPr="00BB11AF">
        <w:t>tion de l'éc</w:t>
      </w:r>
      <w:r w:rsidRPr="00BB11AF">
        <w:t>o</w:t>
      </w:r>
      <w:r w:rsidRPr="00BB11AF">
        <w:t>nomie fut également une féminisation de l'emploi.</w:t>
      </w:r>
    </w:p>
  </w:footnote>
  <w:footnote w:id="97">
    <w:p w:rsidR="003A3061" w:rsidRDefault="003A3061">
      <w:pPr>
        <w:pStyle w:val="Notedebasdepage"/>
      </w:pPr>
      <w:r>
        <w:rPr>
          <w:rStyle w:val="Appelnotedebasdep"/>
        </w:rPr>
        <w:footnoteRef/>
      </w:r>
      <w:r>
        <w:t xml:space="preserve"> </w:t>
      </w:r>
      <w:r>
        <w:tab/>
      </w:r>
      <w:r w:rsidRPr="00BB11AF">
        <w:t>Ce phénomène semble inéluctable même dans des sociétés où la place des femmes et du mouvement féministe sont moins assurées que dans les pays occidentaux. On n'a qu'à penser à la Fatwa dit de la tétée. « Dans les entr</w:t>
      </w:r>
      <w:r w:rsidRPr="00BB11AF">
        <w:t>e</w:t>
      </w:r>
      <w:r w:rsidRPr="00BB11AF">
        <w:t>prises où une femme employée peut partager le même bureau avec un coll</w:t>
      </w:r>
      <w:r w:rsidRPr="00BB11AF">
        <w:t>è</w:t>
      </w:r>
      <w:r w:rsidRPr="00BB11AF">
        <w:t>gue masculin, l'imam Izzat Attiyah, dire</w:t>
      </w:r>
      <w:r w:rsidRPr="00BB11AF">
        <w:t>c</w:t>
      </w:r>
      <w:r w:rsidRPr="00BB11AF">
        <w:t>teur du</w:t>
      </w:r>
      <w:r>
        <w:t xml:space="preserve"> </w:t>
      </w:r>
      <w:r w:rsidRPr="00BB11AF">
        <w:t>département des études du Hadith à l'Université islamique d'AI-Azhar, la plus haute autorité sunnite en Égypte, a autorisé dans une récente fatwa qu'« une femme puisse allaiter son collègue à cinq repr</w:t>
      </w:r>
      <w:r w:rsidRPr="00BB11AF">
        <w:t>i</w:t>
      </w:r>
      <w:r w:rsidRPr="00BB11AF">
        <w:t>ses afin de nouer avec lui une relation de sein ». Selon le quot</w:t>
      </w:r>
      <w:r w:rsidRPr="00BB11AF">
        <w:t>i</w:t>
      </w:r>
      <w:r w:rsidRPr="00BB11AF">
        <w:t>dien « Al-Ayyam » édité à Bahreïn, Izzat Attiyah considère que « les liens de lait ainsi établis entre ces deux collègues les empêchera d'avoir des relations sexuelles prohibées et leur mixité dans le bureau ne posera plus de problème » Freïha (2007). Sous cette condition, travailler e</w:t>
      </w:r>
      <w:r w:rsidRPr="00BB11AF">
        <w:t>n</w:t>
      </w:r>
      <w:r w:rsidRPr="00BB11AF">
        <w:t>semble dans le même bureau deviendrait acceptable. L'imam n'a pas tort sur un point, le fait que les hommes et les femmes rencontrent davantage de gens du sexe opp</w:t>
      </w:r>
      <w:r w:rsidRPr="00BB11AF">
        <w:t>o</w:t>
      </w:r>
      <w:r w:rsidRPr="00BB11AF">
        <w:t>sé ouvre la porte à des rel</w:t>
      </w:r>
      <w:r w:rsidRPr="00BB11AF">
        <w:t>a</w:t>
      </w:r>
      <w:r w:rsidRPr="00BB11AF">
        <w:t>tions entre eux. Ce qui ne veut pas dire qu'il y en aura nécessairement.</w:t>
      </w:r>
    </w:p>
  </w:footnote>
  <w:footnote w:id="98">
    <w:p w:rsidR="003A3061" w:rsidRDefault="003A3061">
      <w:pPr>
        <w:pStyle w:val="Notedebasdepage"/>
      </w:pPr>
      <w:r>
        <w:rPr>
          <w:rStyle w:val="Appelnotedebasdep"/>
        </w:rPr>
        <w:footnoteRef/>
      </w:r>
      <w:r>
        <w:t xml:space="preserve"> </w:t>
      </w:r>
      <w:r>
        <w:tab/>
      </w:r>
      <w:r w:rsidRPr="00BB11AF">
        <w:t>C'est ce qui explique leur nombre dans certains types de production indu</w:t>
      </w:r>
      <w:r w:rsidRPr="00BB11AF">
        <w:t>s</w:t>
      </w:r>
      <w:r w:rsidRPr="00BB11AF">
        <w:t>trielle nécessitant davantage de dextérité que de force. On peut penser ici au montage d'appareils électroniques ou à l'industrie de transformation des al</w:t>
      </w:r>
      <w:r w:rsidRPr="00BB11AF">
        <w:t>i</w:t>
      </w:r>
      <w:r w:rsidRPr="00BB11AF">
        <w:t>ments. Ces industries de niche ne parviennent pas à inverser le rapport entre le taux de masculinité et le type de pr</w:t>
      </w:r>
      <w:r w:rsidRPr="00BB11AF">
        <w:t>o</w:t>
      </w:r>
      <w:r w:rsidRPr="00BB11AF">
        <w:t>duction.</w:t>
      </w:r>
    </w:p>
  </w:footnote>
  <w:footnote w:id="99">
    <w:p w:rsidR="003A3061" w:rsidRDefault="003A3061">
      <w:pPr>
        <w:pStyle w:val="Notedebasdepage"/>
      </w:pPr>
      <w:r>
        <w:rPr>
          <w:rStyle w:val="Appelnotedebasdep"/>
        </w:rPr>
        <w:footnoteRef/>
      </w:r>
      <w:r>
        <w:t xml:space="preserve"> </w:t>
      </w:r>
      <w:r>
        <w:tab/>
      </w:r>
      <w:r w:rsidRPr="00BB11AF">
        <w:t>Un calcul simple le montre. Les gens qui avaient 20 ans en 1970, en avaient 40 en 1990, ce qui constitue un âge raisonnable d'e</w:t>
      </w:r>
      <w:r w:rsidRPr="00BB11AF">
        <w:t>n</w:t>
      </w:r>
      <w:r w:rsidRPr="00BB11AF">
        <w:t>trée dans des positions d'encadrement. Rappelons que Jean Charest est d</w:t>
      </w:r>
      <w:r w:rsidRPr="00BB11AF">
        <w:t>e</w:t>
      </w:r>
      <w:r w:rsidRPr="00BB11AF">
        <w:t>venu Premier ministre du Québec à 40 ans. John F. Kennedy avait 43 ans et Bill Clinton comme B</w:t>
      </w:r>
      <w:r w:rsidRPr="00BB11AF">
        <w:t>a</w:t>
      </w:r>
      <w:r w:rsidRPr="00BB11AF">
        <w:t>rack Obama 47 ans quand ils sont devenus Président des États-Unis. Nicolas Sarkozy avait 52 ans et Margareth Thatcher 54 ans lorsqu'ils occupèrent les plus hautes fon</w:t>
      </w:r>
      <w:r w:rsidRPr="00BB11AF">
        <w:t>c</w:t>
      </w:r>
      <w:r w:rsidRPr="00BB11AF">
        <w:t>tions dans leur pays. Toutes ces personnes ne sont pas des héritières de 1968. Cette nomenclature vise à souligner l'âge de plus en plus jeune à laquelle les gens viennent au pouvoir</w:t>
      </w:r>
      <w:r>
        <w:t>.</w:t>
      </w:r>
    </w:p>
  </w:footnote>
  <w:footnote w:id="100">
    <w:p w:rsidR="003A3061" w:rsidRDefault="003A3061">
      <w:pPr>
        <w:pStyle w:val="Notedebasdepage"/>
      </w:pPr>
      <w:r>
        <w:rPr>
          <w:rStyle w:val="Appelnotedebasdep"/>
        </w:rPr>
        <w:footnoteRef/>
      </w:r>
      <w:r>
        <w:t xml:space="preserve"> </w:t>
      </w:r>
      <w:r>
        <w:tab/>
      </w:r>
      <w:r w:rsidRPr="00BB11AF">
        <w:t>Cette section est écrite à partir de différentes sources. Nous avons bien e</w:t>
      </w:r>
      <w:r w:rsidRPr="00BB11AF">
        <w:t>n</w:t>
      </w:r>
      <w:r w:rsidRPr="00BB11AF">
        <w:t>tendu suivi dans les médias l'évolution du conflit étudiant. O</w:t>
      </w:r>
      <w:r w:rsidRPr="00BB11AF">
        <w:t>u</w:t>
      </w:r>
      <w:r w:rsidRPr="00BB11AF">
        <w:t>tre la table-ronde tenue pendant ce colloque, l'ACSALF a organisé une table-ronde le 9 mai 2012 avec cinq organisateurs étudiants l</w:t>
      </w:r>
      <w:r w:rsidRPr="00BB11AF">
        <w:t>o</w:t>
      </w:r>
      <w:r w:rsidRPr="00BB11AF">
        <w:t>caux de la grève provenant des départements de sociologie et d'a</w:t>
      </w:r>
      <w:r w:rsidRPr="00BB11AF">
        <w:t>n</w:t>
      </w:r>
      <w:r w:rsidRPr="00BB11AF">
        <w:t>thropologie de l'Université de Montréal, de l'Université du Québec à Montréal et de l'Université Laval. Une rencontre suivie d'une longue discussion en soirée. Nous avons également analysé le contenu des sites web des trois associations étudiantes soit la Fédération étudiante collégiale du Québec (FECQ), la Fédération étudiante universitaire du Québec (FEUQ) et, surtout, de la Coalition large des Association pour une solidarité syndicale étudiante (CLASSE) et plus spécifiquement de l'ASSÉ qui chapeautait la coalition, cette association ayant à l'a</w:t>
      </w:r>
      <w:r w:rsidRPr="00BB11AF">
        <w:t>u</w:t>
      </w:r>
      <w:r w:rsidRPr="00BB11AF">
        <w:t>tomne 2012 le site le plus ouvert et le plus complet. Nous avions n</w:t>
      </w:r>
      <w:r w:rsidRPr="00BB11AF">
        <w:t>o</w:t>
      </w:r>
      <w:r w:rsidRPr="00BB11AF">
        <w:t>tamment accès aux minutes des réunions d'orientation de cette coalition ainsi qu'à toutes les p</w:t>
      </w:r>
      <w:r w:rsidRPr="00BB11AF">
        <w:t>u</w:t>
      </w:r>
      <w:r w:rsidRPr="00BB11AF">
        <w:t>blications depuis la grève de 2005. Ils sont également dépositaires des a</w:t>
      </w:r>
      <w:r w:rsidRPr="00BB11AF">
        <w:t>r</w:t>
      </w:r>
      <w:r w:rsidRPr="00BB11AF">
        <w:t>chives de l'Association Nationale des Étudiants du Québec (ANEQ), fondée en 1975, et de l'Association Nationale des Étudiants et des Étudiantes du Québec (ANEEQ) qui lui a succédé en 1981. Des archives qui remontent au milieu des années 1970. Nous avons constitué une base de données compr</w:t>
      </w:r>
      <w:r w:rsidRPr="00BB11AF">
        <w:t>e</w:t>
      </w:r>
      <w:r w:rsidRPr="00BB11AF">
        <w:t>nant tous les documents qui concernaient la grève de 2012 en utilisant le l</w:t>
      </w:r>
      <w:r w:rsidRPr="00BB11AF">
        <w:t>o</w:t>
      </w:r>
      <w:r w:rsidRPr="00BB11AF">
        <w:t>giciel QDAMiner.</w:t>
      </w:r>
    </w:p>
  </w:footnote>
  <w:footnote w:id="101">
    <w:p w:rsidR="003A3061" w:rsidRDefault="003A3061">
      <w:pPr>
        <w:pStyle w:val="Notedebasdepage"/>
      </w:pPr>
      <w:r>
        <w:rPr>
          <w:rStyle w:val="Appelnotedebasdep"/>
        </w:rPr>
        <w:footnoteRef/>
      </w:r>
      <w:r>
        <w:t xml:space="preserve"> </w:t>
      </w:r>
      <w:r>
        <w:tab/>
      </w:r>
      <w:r w:rsidRPr="00BB11AF">
        <w:t>Cette conception repose largement sur une idéalisation de l'unive</w:t>
      </w:r>
      <w:r w:rsidRPr="00BB11AF">
        <w:t>r</w:t>
      </w:r>
      <w:r w:rsidRPr="00BB11AF">
        <w:t>sité voire sur un discours quasi-essentialiste. L'université a été le lieu d'une grande l</w:t>
      </w:r>
      <w:r w:rsidRPr="00BB11AF">
        <w:t>i</w:t>
      </w:r>
      <w:r w:rsidRPr="00BB11AF">
        <w:t>berté de parole, mais elle a aussi été le lieu où les élites ont trouvé une just</w:t>
      </w:r>
      <w:r w:rsidRPr="00BB11AF">
        <w:t>i</w:t>
      </w:r>
      <w:r w:rsidRPr="00BB11AF">
        <w:t>fication de leur pouvoir aussi bien que la source de l'orthodoxie religieuse. C'est son statut de « diseuse d'orth</w:t>
      </w:r>
      <w:r w:rsidRPr="00BB11AF">
        <w:t>o</w:t>
      </w:r>
      <w:r w:rsidRPr="00BB11AF">
        <w:t>doxie » qui la fit mettre au ban lors de la Révolution française. Ses alliances avec l'État ou avec l'Église l'ont conduite dans des directions contradictoires avec cette vision « classique » de l'un</w:t>
      </w:r>
      <w:r w:rsidRPr="00BB11AF">
        <w:t>i</w:t>
      </w:r>
      <w:r w:rsidRPr="00BB11AF">
        <w:t>versité. Mai 68 avait l'un</w:t>
      </w:r>
      <w:r w:rsidRPr="00BB11AF">
        <w:t>i</w:t>
      </w:r>
      <w:r w:rsidRPr="00BB11AF">
        <w:t>versité « classique » dans la liste des institutions à réformer. Cela dit, ce qui compte le plus actuellement est que l'on invoque cette vision classique issue de l'histoire pour l'opposer à l'alliance avec l'i</w:t>
      </w:r>
      <w:r w:rsidRPr="00BB11AF">
        <w:t>n</w:t>
      </w:r>
      <w:r w:rsidRPr="00BB11AF">
        <w:t>dustrie qui semble aujourd'hui de plus en plus la définir. On notera aussi que l'université, surtout dans le monde anglo-saxon, est depuis longtemps proche du monde économique. Par exemple, et pour rester dans le contexte québ</w:t>
      </w:r>
      <w:r w:rsidRPr="00BB11AF">
        <w:t>é</w:t>
      </w:r>
      <w:r w:rsidRPr="00BB11AF">
        <w:t>cois, le Département de génie civil de l'Université McGill a été fondé en r</w:t>
      </w:r>
      <w:r w:rsidRPr="00BB11AF">
        <w:t>é</w:t>
      </w:r>
      <w:r w:rsidRPr="00BB11AF">
        <w:t>ponse aux besoins de la construction du train pancanadien au milieu du XIX</w:t>
      </w:r>
      <w:r w:rsidRPr="00BB11AF">
        <w:rPr>
          <w:vertAlign w:val="superscript"/>
        </w:rPr>
        <w:t>e</w:t>
      </w:r>
      <w:r w:rsidRPr="00BB11AF">
        <w:t xml:space="preserve"> siècle.</w:t>
      </w:r>
    </w:p>
  </w:footnote>
  <w:footnote w:id="102">
    <w:p w:rsidR="003A3061" w:rsidRDefault="003A3061">
      <w:pPr>
        <w:pStyle w:val="Notedebasdepage"/>
      </w:pPr>
      <w:r>
        <w:rPr>
          <w:rStyle w:val="Appelnotedebasdep"/>
        </w:rPr>
        <w:footnoteRef/>
      </w:r>
      <w:r>
        <w:t xml:space="preserve"> </w:t>
      </w:r>
      <w:r>
        <w:tab/>
      </w:r>
      <w:r w:rsidRPr="00BB11AF">
        <w:t>En particulier, l'École de la Montagne rouge issue de l'école de design de l'Université du Québec à Montréal (UQAM) qui donna corps et image au mouvement. Voir leur site tant qu'il est actif :</w:t>
      </w:r>
      <w:r>
        <w:br/>
      </w:r>
      <w:hyperlink r:id="rId3" w:history="1">
        <w:r w:rsidRPr="00BB11AF">
          <w:rPr>
            <w:rStyle w:val="Lienhypertexte"/>
            <w:lang w:bidi="en-US"/>
          </w:rPr>
          <w:t>http://ecolemontagnerouge.com/</w:t>
        </w:r>
      </w:hyperlink>
    </w:p>
  </w:footnote>
  <w:footnote w:id="103">
    <w:p w:rsidR="003A3061" w:rsidRDefault="003A3061">
      <w:pPr>
        <w:pStyle w:val="Notedebasdepage"/>
      </w:pPr>
      <w:r>
        <w:rPr>
          <w:rStyle w:val="Appelnotedebasdep"/>
        </w:rPr>
        <w:footnoteRef/>
      </w:r>
      <w:r>
        <w:t xml:space="preserve"> </w:t>
      </w:r>
      <w:r>
        <w:tab/>
      </w:r>
      <w:r w:rsidRPr="00BB11AF">
        <w:t>Le « Plan Nord » était un plan de développement économique du nord du Québec fondé sur l'exploitation minière. Le Gouvernement québécois aurait pris à sa charge les infrastructures nécessaires pour assurer le transport du minerai extrait et aurait généreusement subventionné les compagnies min</w:t>
      </w:r>
      <w:r w:rsidRPr="00BB11AF">
        <w:t>i</w:t>
      </w:r>
      <w:r w:rsidRPr="00BB11AF">
        <w:t>ères. Ce plan a été abandonné par le go</w:t>
      </w:r>
      <w:r w:rsidRPr="00BB11AF">
        <w:t>u</w:t>
      </w:r>
      <w:r w:rsidRPr="00BB11AF">
        <w:t>vernement péquiste qui a succédé aux libéraux.</w:t>
      </w:r>
    </w:p>
  </w:footnote>
  <w:footnote w:id="104">
    <w:p w:rsidR="003A3061" w:rsidRDefault="003A3061">
      <w:pPr>
        <w:pStyle w:val="Notedebasdepage"/>
      </w:pPr>
      <w:r>
        <w:rPr>
          <w:rStyle w:val="Appelnotedebasdep"/>
        </w:rPr>
        <w:footnoteRef/>
      </w:r>
      <w:r>
        <w:t xml:space="preserve"> </w:t>
      </w:r>
      <w:r>
        <w:tab/>
      </w:r>
      <w:r w:rsidRPr="00BB11AF">
        <w:t>Voir Robert et al. (2011) pour la première étude de l'ASSÉ (Association pour une solidarité syndicale étudiante) sur l'économie du s</w:t>
      </w:r>
      <w:r w:rsidRPr="00BB11AF">
        <w:t>a</w:t>
      </w:r>
      <w:r w:rsidRPr="00BB11AF">
        <w:t>voir.</w:t>
      </w:r>
    </w:p>
  </w:footnote>
  <w:footnote w:id="105">
    <w:p w:rsidR="003A3061" w:rsidRDefault="003A3061">
      <w:pPr>
        <w:pStyle w:val="Notedebasdepage"/>
      </w:pPr>
      <w:r>
        <w:rPr>
          <w:rStyle w:val="Appelnotedebasdep"/>
        </w:rPr>
        <w:footnoteRef/>
      </w:r>
      <w:r>
        <w:t xml:space="preserve"> </w:t>
      </w:r>
      <w:r>
        <w:tab/>
      </w:r>
      <w:r w:rsidRPr="00BB11AF">
        <w:t>II faut noter ici que l'ASSÉ (partie centrale de la CLASSE) a conduit pl</w:t>
      </w:r>
      <w:r w:rsidRPr="00BB11AF">
        <w:t>u</w:t>
      </w:r>
      <w:r w:rsidRPr="00BB11AF">
        <w:t>sieurs réflexions sur le féminisme bien avant la grève de 2012. Voir nota</w:t>
      </w:r>
      <w:r w:rsidRPr="00BB11AF">
        <w:t>m</w:t>
      </w:r>
      <w:r w:rsidRPr="00BB11AF">
        <w:t>ment Dagenais-Guertin (2010) qui en fait remonter l'importance dans le mouvement étudiant aux années 1980 lorsque l'ANEQ (Association Nati</w:t>
      </w:r>
      <w:r w:rsidRPr="00BB11AF">
        <w:t>o</w:t>
      </w:r>
      <w:r w:rsidRPr="00BB11AF">
        <w:t>nale des étudiants du Québec) est devenue l'ANEEQ</w:t>
      </w:r>
      <w:r>
        <w:t xml:space="preserve"> </w:t>
      </w:r>
      <w:r w:rsidRPr="00BB11AF">
        <w:t>(Association nationale des étudiants et des étudiantes du Québec). Aucune étude présente sur leur site ne porte sur l'enviro</w:t>
      </w:r>
      <w:r w:rsidRPr="00BB11AF">
        <w:t>n</w:t>
      </w:r>
      <w:r w:rsidRPr="00BB11AF">
        <w:t>nement.</w:t>
      </w:r>
    </w:p>
  </w:footnote>
  <w:footnote w:id="106">
    <w:p w:rsidR="003A3061" w:rsidRDefault="003A3061">
      <w:pPr>
        <w:pStyle w:val="Notedebasdepage"/>
      </w:pPr>
      <w:r>
        <w:rPr>
          <w:rStyle w:val="Appelnotedebasdep"/>
        </w:rPr>
        <w:footnoteRef/>
      </w:r>
      <w:r>
        <w:t xml:space="preserve"> </w:t>
      </w:r>
      <w:r>
        <w:tab/>
      </w:r>
      <w:r w:rsidRPr="00BB11AF">
        <w:t>Surtout que le chiffre avancé repose sur les effectifs totaux des institutions en grève plutôt que sur ceux qui ont voté les grèves ou sur des études mo</w:t>
      </w:r>
      <w:r w:rsidRPr="00BB11AF">
        <w:t>n</w:t>
      </w:r>
      <w:r w:rsidRPr="00BB11AF">
        <w:t>trant la proportion des étudiants restée silencieuse qui approuvait l'action e</w:t>
      </w:r>
      <w:r w:rsidRPr="00BB11AF">
        <w:t>n</w:t>
      </w:r>
      <w:r w:rsidRPr="00BB11AF">
        <w:t>treprise. Ce raisonnement vaut à l'inverse pour les institutions qui ont rejeté la grève. Dans les deux cas on ne compte ni les perdants, ni les silencieux. Cela nous expose au même type d'i</w:t>
      </w:r>
      <w:r w:rsidRPr="00BB11AF">
        <w:t>l</w:t>
      </w:r>
      <w:r w:rsidRPr="00BB11AF">
        <w:t>lusion qu'en 1968.</w:t>
      </w:r>
    </w:p>
  </w:footnote>
  <w:footnote w:id="107">
    <w:p w:rsidR="003A3061" w:rsidRDefault="003A3061">
      <w:pPr>
        <w:pStyle w:val="Notedebasdepage"/>
      </w:pPr>
      <w:r>
        <w:rPr>
          <w:rStyle w:val="Appelnotedebasdep"/>
        </w:rPr>
        <w:footnoteRef/>
      </w:r>
      <w:r>
        <w:t xml:space="preserve"> </w:t>
      </w:r>
      <w:r>
        <w:tab/>
      </w:r>
      <w:r w:rsidRPr="00BB11AF">
        <w:t>Notre étude des documents sur le site de I'ASSÉ nous a révélé que deux occurrences reliées à la question linguistique. L'idée d'indépe</w:t>
      </w:r>
      <w:r w:rsidRPr="00BB11AF">
        <w:t>n</w:t>
      </w:r>
      <w:r w:rsidRPr="00BB11AF">
        <w:t>dance de Québec n'est jamais abordée.</w:t>
      </w:r>
    </w:p>
  </w:footnote>
  <w:footnote w:id="108">
    <w:p w:rsidR="003A3061" w:rsidRDefault="003A3061">
      <w:pPr>
        <w:pStyle w:val="Notedebasdepage"/>
      </w:pPr>
      <w:r>
        <w:rPr>
          <w:rStyle w:val="Appelnotedebasdep"/>
        </w:rPr>
        <w:footnoteRef/>
      </w:r>
      <w:r>
        <w:t xml:space="preserve"> </w:t>
      </w:r>
      <w:r>
        <w:tab/>
      </w:r>
      <w:r w:rsidRPr="00BB11AF">
        <w:t>On le voit avec les derniers lauréats du « prix en mémoire d'A</w:t>
      </w:r>
      <w:r w:rsidRPr="00BB11AF">
        <w:t>l</w:t>
      </w:r>
      <w:r w:rsidRPr="00BB11AF">
        <w:t>fred Nobel », deux étatsuniens spécialistes de la théorie des jeux, A</w:t>
      </w:r>
      <w:r w:rsidRPr="00BB11AF">
        <w:t>l</w:t>
      </w:r>
      <w:r w:rsidRPr="00BB11AF">
        <w:t>vin E. Roth et Lloyd S. Shapley :</w:t>
      </w:r>
      <w:r>
        <w:br/>
      </w:r>
      <w:hyperlink r:id="rId4" w:history="1">
        <w:r w:rsidRPr="008A7C9A">
          <w:rPr>
            <w:rStyle w:val="Lienhypertexte"/>
            <w:lang w:bidi="en-US"/>
          </w:rPr>
          <w:t>http://www.nobelp</w:t>
        </w:r>
        <w:r w:rsidRPr="008A7C9A">
          <w:rPr>
            <w:rStyle w:val="Lienhypertexte"/>
            <w:lang w:bidi="en-US"/>
          </w:rPr>
          <w:t>rize.org/nobel_prizes/economic-</w:t>
        </w:r>
        <w:r w:rsidRPr="008A7C9A">
          <w:rPr>
            <w:rStyle w:val="Lienhypertexte"/>
          </w:rPr>
          <w:t>s</w:t>
        </w:r>
        <w:r w:rsidRPr="008A7C9A">
          <w:rPr>
            <w:rStyle w:val="Lienhypertexte"/>
          </w:rPr>
          <w:t>ciences/laureates/2012/</w:t>
        </w:r>
      </w:hyperlink>
    </w:p>
  </w:footnote>
  <w:footnote w:id="109">
    <w:p w:rsidR="003A3061" w:rsidRDefault="003A3061">
      <w:pPr>
        <w:pStyle w:val="Notedebasdepage"/>
      </w:pPr>
      <w:r>
        <w:rPr>
          <w:rStyle w:val="Appelnotedebasdep"/>
        </w:rPr>
        <w:footnoteRef/>
      </w:r>
      <w:r>
        <w:t xml:space="preserve"> </w:t>
      </w:r>
      <w:r>
        <w:tab/>
      </w:r>
      <w:r w:rsidRPr="00BB11AF">
        <w:t>Sur cette question des liens entre science économique et finance, voir le film documentaire Inside Job de Charles Ferguson (2010).</w:t>
      </w:r>
    </w:p>
  </w:footnote>
  <w:footnote w:id="110">
    <w:p w:rsidR="003A3061" w:rsidRDefault="003A3061">
      <w:pPr>
        <w:pStyle w:val="Notedebasdepage"/>
      </w:pPr>
      <w:r>
        <w:rPr>
          <w:rStyle w:val="Appelnotedebasdep"/>
        </w:rPr>
        <w:footnoteRef/>
      </w:r>
      <w:r>
        <w:t xml:space="preserve"> </w:t>
      </w:r>
      <w:r>
        <w:tab/>
      </w:r>
      <w:r w:rsidRPr="00BB11AF">
        <w:t>Si l'on étend cette analyse monétaire aux processus d'endettement et de d</w:t>
      </w:r>
      <w:r w:rsidRPr="00BB11AF">
        <w:t>é</w:t>
      </w:r>
      <w:r w:rsidRPr="00BB11AF">
        <w:t>sendettement, elle s'applique à la période en cours.</w:t>
      </w:r>
    </w:p>
  </w:footnote>
  <w:footnote w:id="111">
    <w:p w:rsidR="003A3061" w:rsidRDefault="003A3061">
      <w:pPr>
        <w:pStyle w:val="Notedebasdepage"/>
      </w:pPr>
      <w:r>
        <w:rPr>
          <w:rStyle w:val="Appelnotedebasdep"/>
        </w:rPr>
        <w:footnoteRef/>
      </w:r>
      <w:r>
        <w:t xml:space="preserve"> </w:t>
      </w:r>
      <w:r>
        <w:tab/>
      </w:r>
      <w:r w:rsidRPr="00BB11AF">
        <w:t>MacKenzie (2010) a étendu ses analyses aux Crédit Default Swaps et à la crise des subprimes.</w:t>
      </w:r>
    </w:p>
  </w:footnote>
  <w:footnote w:id="112">
    <w:p w:rsidR="003A3061" w:rsidRDefault="003A3061">
      <w:pPr>
        <w:pStyle w:val="Notedebasdepage"/>
      </w:pPr>
      <w:r>
        <w:rPr>
          <w:rStyle w:val="Appelnotedebasdep"/>
        </w:rPr>
        <w:footnoteRef/>
      </w:r>
      <w:r>
        <w:t xml:space="preserve"> </w:t>
      </w:r>
      <w:r>
        <w:tab/>
        <w:t xml:space="preserve">Le </w:t>
      </w:r>
      <w:r w:rsidRPr="00BB11AF">
        <w:t>FMI, par l'entremise d'Olivier Blanchard, a récemment reco</w:t>
      </w:r>
      <w:r w:rsidRPr="00BB11AF">
        <w:t>n</w:t>
      </w:r>
      <w:r w:rsidRPr="00BB11AF">
        <w:t>nu la sous-estimation importante des effets multiplicateurs de l'aju</w:t>
      </w:r>
      <w:r w:rsidRPr="00BB11AF">
        <w:t>s</w:t>
      </w:r>
      <w:r w:rsidRPr="00BB11AF">
        <w:t>tement budgétaire. « Les multiplicateurs utilisés pour établir les prév</w:t>
      </w:r>
      <w:r w:rsidRPr="00BB11AF">
        <w:t>i</w:t>
      </w:r>
      <w:r w:rsidRPr="00BB11AF">
        <w:t>sions de croissance sont systématiquement trop faibles depuis le début de la « Grande Récession » », IMF/FMI, World Economic Outlook/ Perspectives Mondiales de l'Econ</w:t>
      </w:r>
      <w:r w:rsidRPr="00BB11AF">
        <w:t>o</w:t>
      </w:r>
      <w:r w:rsidRPr="00BB11AF">
        <w:t>mie, octobre 2012.</w:t>
      </w:r>
    </w:p>
  </w:footnote>
  <w:footnote w:id="113">
    <w:p w:rsidR="003A3061" w:rsidRDefault="003A3061">
      <w:pPr>
        <w:pStyle w:val="Notedebasdepage"/>
      </w:pPr>
      <w:r>
        <w:rPr>
          <w:rStyle w:val="Appelnotedebasdep"/>
        </w:rPr>
        <w:footnoteRef/>
      </w:r>
      <w:r>
        <w:t xml:space="preserve"> </w:t>
      </w:r>
      <w:r>
        <w:tab/>
      </w:r>
      <w:r w:rsidRPr="00BB11AF">
        <w:t>Pour une synthèse sur la crise du capitalisme financier telle qu'elle s'exprime à partir de 2008, consulter Boyer (2012).</w:t>
      </w:r>
    </w:p>
  </w:footnote>
  <w:footnote w:id="114">
    <w:p w:rsidR="003A3061" w:rsidRDefault="003A3061">
      <w:pPr>
        <w:pStyle w:val="Notedebasdepage"/>
      </w:pPr>
      <w:r>
        <w:rPr>
          <w:rStyle w:val="Appelnotedebasdep"/>
        </w:rPr>
        <w:footnoteRef/>
      </w:r>
      <w:r>
        <w:t xml:space="preserve"> </w:t>
      </w:r>
      <w:r>
        <w:tab/>
      </w:r>
      <w:r w:rsidRPr="00BB11AF">
        <w:t>On ne présentera pas ici de façon détaillée l'ensemble des disp</w:t>
      </w:r>
      <w:r w:rsidRPr="00BB11AF">
        <w:t>o</w:t>
      </w:r>
      <w:r w:rsidRPr="00BB11AF">
        <w:t>sitifs et des textes qui sont entrés en vigueur ou sont encore en cours de discussion, mais seulement l'état des discussions, assez peu avancées par rapport aux déclar</w:t>
      </w:r>
      <w:r w:rsidRPr="00BB11AF">
        <w:t>a</w:t>
      </w:r>
      <w:r w:rsidRPr="00BB11AF">
        <w:t>tions des G20.</w:t>
      </w:r>
    </w:p>
  </w:footnote>
  <w:footnote w:id="115">
    <w:p w:rsidR="003A3061" w:rsidRDefault="003A3061">
      <w:pPr>
        <w:pStyle w:val="Notedebasdepage"/>
      </w:pPr>
      <w:r>
        <w:rPr>
          <w:rStyle w:val="Appelnotedebasdep"/>
        </w:rPr>
        <w:footnoteRef/>
      </w:r>
      <w:r>
        <w:t xml:space="preserve"> </w:t>
      </w:r>
      <w:r>
        <w:tab/>
      </w:r>
      <w:r w:rsidRPr="00BB11AF">
        <w:t>« This strategy is intellectually dishonest and potentially dam</w:t>
      </w:r>
      <w:r w:rsidRPr="00BB11AF">
        <w:t>a</w:t>
      </w:r>
      <w:r w:rsidRPr="00BB11AF">
        <w:t>ging ». À consulter à l'adresse suivante :</w:t>
      </w:r>
      <w:r>
        <w:br/>
      </w:r>
      <w:hyperlink r:id="rId5" w:history="1">
        <w:r w:rsidRPr="008A7C9A">
          <w:rPr>
            <w:rStyle w:val="Lienhypertexte"/>
            <w:lang w:bidi="en-US"/>
          </w:rPr>
          <w:t>http://www.bankofengland.co.uk/publications/Documents/speeches/2011/speech533.pdf</w:t>
        </w:r>
      </w:hyperlink>
    </w:p>
  </w:footnote>
  <w:footnote w:id="116">
    <w:p w:rsidR="003A3061" w:rsidRDefault="003A3061">
      <w:pPr>
        <w:pStyle w:val="Notedebasdepage"/>
      </w:pPr>
      <w:r>
        <w:rPr>
          <w:rStyle w:val="Appelnotedebasdep"/>
        </w:rPr>
        <w:footnoteRef/>
      </w:r>
      <w:r>
        <w:t xml:space="preserve"> </w:t>
      </w:r>
      <w:r>
        <w:tab/>
      </w:r>
      <w:r w:rsidRPr="00BB11AF">
        <w:t>Voir, par exemple, pour la Fed, David Wessel (2010).</w:t>
      </w:r>
    </w:p>
  </w:footnote>
  <w:footnote w:id="117">
    <w:p w:rsidR="003A3061" w:rsidRDefault="003A3061">
      <w:pPr>
        <w:pStyle w:val="Notedebasdepage"/>
      </w:pPr>
      <w:r>
        <w:rPr>
          <w:rStyle w:val="Appelnotedebasdep"/>
        </w:rPr>
        <w:footnoteRef/>
      </w:r>
      <w:r>
        <w:t xml:space="preserve"> </w:t>
      </w:r>
      <w:r>
        <w:tab/>
      </w:r>
      <w:r w:rsidRPr="00BB11AF">
        <w:t>Ces sigles désignent des mesures « hétérodoxies » en matière m</w:t>
      </w:r>
      <w:r w:rsidRPr="00BB11AF">
        <w:t>o</w:t>
      </w:r>
      <w:r w:rsidRPr="00BB11AF">
        <w:t>nétaire.</w:t>
      </w:r>
    </w:p>
  </w:footnote>
  <w:footnote w:id="118">
    <w:p w:rsidR="003A3061" w:rsidRDefault="003A3061">
      <w:pPr>
        <w:pStyle w:val="Notedebasdepage"/>
      </w:pPr>
      <w:r>
        <w:rPr>
          <w:rStyle w:val="Appelnotedebasdep"/>
        </w:rPr>
        <w:footnoteRef/>
      </w:r>
      <w:r>
        <w:t xml:space="preserve"> </w:t>
      </w:r>
      <w:r>
        <w:tab/>
      </w:r>
      <w:r w:rsidRPr="00BB11AF">
        <w:t>Giovanni Arrighi (2009) montre l'importance de ce mouv</w:t>
      </w:r>
      <w:r w:rsidRPr="00BB11AF">
        <w:t>e</w:t>
      </w:r>
      <w:r w:rsidRPr="00BB11AF">
        <w:t>ment.</w:t>
      </w:r>
    </w:p>
  </w:footnote>
  <w:footnote w:id="119">
    <w:p w:rsidR="003A3061" w:rsidRDefault="003A3061">
      <w:pPr>
        <w:pStyle w:val="Notedebasdepage"/>
      </w:pPr>
      <w:r>
        <w:rPr>
          <w:rStyle w:val="Appelnotedebasdep"/>
        </w:rPr>
        <w:footnoteRef/>
      </w:r>
      <w:r>
        <w:t xml:space="preserve"> </w:t>
      </w:r>
      <w:r>
        <w:tab/>
      </w:r>
      <w:r w:rsidRPr="00BB11AF">
        <w:t xml:space="preserve">Voir les travaux et publications du groupe Chaos international : </w:t>
      </w:r>
      <w:hyperlink r:id="rId6" w:history="1">
        <w:r>
          <w:rPr>
            <w:rStyle w:val="Lienhypertexte"/>
            <w:lang w:bidi="en-US"/>
          </w:rPr>
          <w:t>http</w:t>
        </w:r>
        <w:r w:rsidRPr="00BB11AF">
          <w:rPr>
            <w:rStyle w:val="Lienhypertexte"/>
            <w:lang w:bidi="en-US"/>
          </w:rPr>
          <w:t>://www.chaos-international.org/</w:t>
        </w:r>
      </w:hyperlink>
    </w:p>
  </w:footnote>
  <w:footnote w:id="120">
    <w:p w:rsidR="003A3061" w:rsidRDefault="003A3061">
      <w:pPr>
        <w:pStyle w:val="Notedebasdepage"/>
      </w:pPr>
      <w:r>
        <w:rPr>
          <w:rStyle w:val="Appelnotedebasdep"/>
        </w:rPr>
        <w:footnoteRef/>
      </w:r>
      <w:r>
        <w:t xml:space="preserve"> </w:t>
      </w:r>
      <w:r>
        <w:tab/>
      </w:r>
      <w:r w:rsidRPr="00BB11AF">
        <w:t>Voir Dobry (2009).</w:t>
      </w:r>
    </w:p>
  </w:footnote>
  <w:footnote w:id="121">
    <w:p w:rsidR="003A3061" w:rsidRDefault="003A3061">
      <w:pPr>
        <w:pStyle w:val="Notedebasdepage"/>
      </w:pPr>
      <w:r>
        <w:rPr>
          <w:rStyle w:val="Appelnotedebasdep"/>
        </w:rPr>
        <w:footnoteRef/>
      </w:r>
      <w:r>
        <w:t xml:space="preserve"> </w:t>
      </w:r>
      <w:r>
        <w:tab/>
      </w:r>
      <w:r w:rsidRPr="00BB11AF">
        <w:t>Consulter l'article de V. Gayon (2012), « Au château de la Mue</w:t>
      </w:r>
      <w:r w:rsidRPr="00BB11AF">
        <w:t>t</w:t>
      </w:r>
      <w:r w:rsidRPr="00BB11AF">
        <w:t>te. Enquête sur une citadelle du conformisme intellectuel ».</w:t>
      </w:r>
    </w:p>
  </w:footnote>
  <w:footnote w:id="122">
    <w:p w:rsidR="003A3061" w:rsidRDefault="003A3061">
      <w:pPr>
        <w:pStyle w:val="Notedebasdepage"/>
      </w:pPr>
      <w:r>
        <w:rPr>
          <w:rStyle w:val="Appelnotedebasdep"/>
        </w:rPr>
        <w:footnoteRef/>
      </w:r>
      <w:r>
        <w:t xml:space="preserve"> </w:t>
      </w:r>
      <w:r>
        <w:tab/>
      </w:r>
      <w:r w:rsidRPr="00BB11AF">
        <w:t>Consulter, Krugman (2012).</w:t>
      </w:r>
    </w:p>
  </w:footnote>
  <w:footnote w:id="123">
    <w:p w:rsidR="003A3061" w:rsidRDefault="003A3061">
      <w:pPr>
        <w:pStyle w:val="Notedebasdepage"/>
      </w:pPr>
      <w:r>
        <w:rPr>
          <w:rStyle w:val="Appelnotedebasdep"/>
        </w:rPr>
        <w:footnoteRef/>
      </w:r>
      <w:r>
        <w:t xml:space="preserve"> </w:t>
      </w:r>
      <w:r>
        <w:tab/>
      </w:r>
      <w:r w:rsidRPr="00BB11AF">
        <w:t>La forme de néolibéralisme qui prévaut en Europe, sous l'impulsion all</w:t>
      </w:r>
      <w:r w:rsidRPr="00BB11AF">
        <w:t>e</w:t>
      </w:r>
      <w:r w:rsidRPr="00BB11AF">
        <w:t>mande, ne se caractérise pas principalement par l'attach</w:t>
      </w:r>
      <w:r w:rsidRPr="00BB11AF">
        <w:t>e</w:t>
      </w:r>
      <w:r w:rsidRPr="00BB11AF">
        <w:t>ment au « capitalisme rhénan » : souci du long terme, du lien avec l'indu</w:t>
      </w:r>
      <w:r w:rsidRPr="00BB11AF">
        <w:t>s</w:t>
      </w:r>
      <w:r w:rsidRPr="00BB11AF">
        <w:t>trie, etc. (« modèle rhénan »), mais plutôt par un attachement plus marqué à l'ordre juridique des marchés et à la limitation constitutio</w:t>
      </w:r>
      <w:r w:rsidRPr="00BB11AF">
        <w:t>n</w:t>
      </w:r>
      <w:r w:rsidRPr="00BB11AF">
        <w:t>nelle du rôle de l'État dans l'économie.</w:t>
      </w:r>
    </w:p>
  </w:footnote>
  <w:footnote w:id="124">
    <w:p w:rsidR="003A3061" w:rsidRDefault="003A3061">
      <w:pPr>
        <w:pStyle w:val="Notedebasdepage"/>
      </w:pPr>
      <w:r>
        <w:rPr>
          <w:rStyle w:val="Appelnotedebasdep"/>
        </w:rPr>
        <w:footnoteRef/>
      </w:r>
      <w:r>
        <w:t xml:space="preserve"> </w:t>
      </w:r>
      <w:r>
        <w:tab/>
      </w:r>
      <w:r w:rsidRPr="00BB11AF">
        <w:t xml:space="preserve">Consultable en ligne : </w:t>
      </w:r>
      <w:hyperlink r:id="rId7" w:history="1">
        <w:r>
          <w:rPr>
            <w:rStyle w:val="Lienhypertexte"/>
            <w:lang w:bidi="en-US"/>
          </w:rPr>
          <w:t>http</w:t>
        </w:r>
        <w:r w:rsidRPr="00BB11AF">
          <w:rPr>
            <w:rStyle w:val="Lienhypertexte"/>
            <w:lang w:bidi="en-US"/>
          </w:rPr>
          <w:t>://www.decroissance.qc.ca/manifeste</w:t>
        </w:r>
      </w:hyperlink>
    </w:p>
  </w:footnote>
  <w:footnote w:id="125">
    <w:p w:rsidR="003A3061" w:rsidRDefault="003A3061">
      <w:pPr>
        <w:pStyle w:val="Notedebasdepage"/>
      </w:pPr>
      <w:r>
        <w:rPr>
          <w:rStyle w:val="Appelnotedebasdep"/>
        </w:rPr>
        <w:footnoteRef/>
      </w:r>
      <w:r>
        <w:t xml:space="preserve"> </w:t>
      </w:r>
      <w:r>
        <w:tab/>
      </w:r>
      <w:r w:rsidRPr="00BB11AF">
        <w:t>Essayiste, professeur de science politique, journaliste, Paul Ariès est l'un des principaux hérauts de la décroissance en France, tendance gauche républ</w:t>
      </w:r>
      <w:r w:rsidRPr="00BB11AF">
        <w:t>i</w:t>
      </w:r>
      <w:r w:rsidRPr="00BB11AF">
        <w:t>caine.</w:t>
      </w:r>
    </w:p>
  </w:footnote>
  <w:footnote w:id="126">
    <w:p w:rsidR="003A3061" w:rsidRDefault="003A3061">
      <w:pPr>
        <w:pStyle w:val="Notedebasdepage"/>
      </w:pPr>
      <w:r>
        <w:rPr>
          <w:rStyle w:val="Appelnotedebasdep"/>
        </w:rPr>
        <w:footnoteRef/>
      </w:r>
      <w:r>
        <w:t xml:space="preserve"> </w:t>
      </w:r>
      <w:r>
        <w:tab/>
      </w:r>
      <w:r w:rsidRPr="00BB11AF">
        <w:t>Rappelons brièvement que la croissance désigne l'augmentation de biens et de services, ayant une valeur monétaire, produits par une population donnée. En d'autres termes, la croissance, c'est l'augment</w:t>
      </w:r>
      <w:r w:rsidRPr="00BB11AF">
        <w:t>a</w:t>
      </w:r>
      <w:r w:rsidRPr="00BB11AF">
        <w:t>tion de la production de marchandises ; une production mesurée dans nos États-nations par le f</w:t>
      </w:r>
      <w:r w:rsidRPr="00BB11AF">
        <w:t>a</w:t>
      </w:r>
      <w:r w:rsidRPr="00BB11AF">
        <w:t>meux Produit intérieur brut (PIB), un ind</w:t>
      </w:r>
      <w:r w:rsidRPr="00BB11AF">
        <w:t>i</w:t>
      </w:r>
      <w:r w:rsidRPr="00BB11AF">
        <w:t>cateur inventé pendant la Grande dépression aux États-Unis.</w:t>
      </w:r>
    </w:p>
  </w:footnote>
  <w:footnote w:id="127">
    <w:p w:rsidR="003A3061" w:rsidRDefault="003A3061">
      <w:pPr>
        <w:pStyle w:val="Notedebasdepage"/>
      </w:pPr>
      <w:r>
        <w:rPr>
          <w:rStyle w:val="Appelnotedebasdep"/>
        </w:rPr>
        <w:footnoteRef/>
      </w:r>
      <w:r>
        <w:t xml:space="preserve"> </w:t>
      </w:r>
      <w:r>
        <w:tab/>
      </w:r>
      <w:r w:rsidRPr="00BB11AF">
        <w:t>Une idée formalisée notamment par les fondateurs de l'économie politique classique, à commencer par Adam Smith, il y a plus de deux siècles maint</w:t>
      </w:r>
      <w:r w:rsidRPr="00BB11AF">
        <w:t>e</w:t>
      </w:r>
      <w:r w:rsidRPr="00BB11AF">
        <w:t>nant.</w:t>
      </w:r>
    </w:p>
  </w:footnote>
  <w:footnote w:id="128">
    <w:p w:rsidR="003A3061" w:rsidRDefault="003A3061">
      <w:pPr>
        <w:pStyle w:val="Notedebasdepage"/>
      </w:pPr>
      <w:r>
        <w:rPr>
          <w:rStyle w:val="Appelnotedebasdep"/>
        </w:rPr>
        <w:footnoteRef/>
      </w:r>
      <w:r>
        <w:t xml:space="preserve"> </w:t>
      </w:r>
      <w:r>
        <w:tab/>
      </w:r>
      <w:r w:rsidRPr="00BB11AF">
        <w:t>Économiste marxiste, spécialiste du développement, Latouche est professeur émérite à l'Université Paris-sud (Sceaux). C'est l'un des principaux penseurs de la décroissance en France.</w:t>
      </w:r>
    </w:p>
  </w:footnote>
  <w:footnote w:id="129">
    <w:p w:rsidR="003A3061" w:rsidRDefault="003A3061">
      <w:pPr>
        <w:pStyle w:val="Notedebasdepage"/>
      </w:pPr>
      <w:r>
        <w:rPr>
          <w:rStyle w:val="Appelnotedebasdep"/>
        </w:rPr>
        <w:footnoteRef/>
      </w:r>
      <w:r>
        <w:t xml:space="preserve"> </w:t>
      </w:r>
      <w:r>
        <w:tab/>
      </w:r>
      <w:r w:rsidRPr="00BB11AF">
        <w:t>Vincent Cheynet et Bruno Clémentin, qui lancent l'expression « décroissance soutenable » en 2002, cherchaient aussi semble-t-il à retro</w:t>
      </w:r>
      <w:r w:rsidRPr="00BB11AF">
        <w:t>u</w:t>
      </w:r>
      <w:r w:rsidRPr="00BB11AF">
        <w:t>ver le sens originel du qualificatif « sustainable », qui a finalement été tr</w:t>
      </w:r>
      <w:r w:rsidRPr="00BB11AF">
        <w:t>a</w:t>
      </w:r>
      <w:r w:rsidRPr="00BB11AF">
        <w:t>duit dans la francophonie par le très vague « durable ».</w:t>
      </w:r>
    </w:p>
  </w:footnote>
  <w:footnote w:id="130">
    <w:p w:rsidR="003A3061" w:rsidRDefault="003A3061">
      <w:pPr>
        <w:pStyle w:val="Notedebasdepage"/>
      </w:pPr>
      <w:r>
        <w:rPr>
          <w:rStyle w:val="Appelnotedebasdep"/>
        </w:rPr>
        <w:footnoteRef/>
      </w:r>
      <w:r>
        <w:t xml:space="preserve"> </w:t>
      </w:r>
      <w:r>
        <w:tab/>
      </w:r>
      <w:r w:rsidRPr="00BB11AF">
        <w:t>Signalons en particulier John Stuart-Mill (1806-1873), qui défendit la poss</w:t>
      </w:r>
      <w:r w:rsidRPr="00BB11AF">
        <w:t>i</w:t>
      </w:r>
      <w:r w:rsidRPr="00BB11AF">
        <w:t>bilité d'une économie stationnaire, ainsi que Sergei P</w:t>
      </w:r>
      <w:r w:rsidRPr="00BB11AF">
        <w:t>o</w:t>
      </w:r>
      <w:r w:rsidRPr="00BB11AF">
        <w:t>dolinsky (1850-1891), qui tenta d'alerter Marx et Engels sur les limites therm</w:t>
      </w:r>
      <w:r w:rsidRPr="00BB11AF">
        <w:t>o</w:t>
      </w:r>
      <w:r w:rsidRPr="00BB11AF">
        <w:t>dynamiques de la croissance capitaliste. Mais on peut aussi mentionner le géographe allemand Ernst Friedrich (1867- ?) pour qui la révolution industrielle reposait sur une « économie de pillage » (Raubwir</w:t>
      </w:r>
      <w:r w:rsidRPr="00BB11AF">
        <w:t>t</w:t>
      </w:r>
      <w:r w:rsidRPr="00BB11AF">
        <w:t>schaft).</w:t>
      </w:r>
    </w:p>
  </w:footnote>
  <w:footnote w:id="131">
    <w:p w:rsidR="003A3061" w:rsidRDefault="003A3061">
      <w:pPr>
        <w:pStyle w:val="Notedebasdepage"/>
      </w:pPr>
      <w:r>
        <w:rPr>
          <w:rStyle w:val="Appelnotedebasdep"/>
        </w:rPr>
        <w:footnoteRef/>
      </w:r>
      <w:r>
        <w:t xml:space="preserve"> </w:t>
      </w:r>
      <w:r>
        <w:tab/>
      </w:r>
      <w:r w:rsidRPr="00BB11AF">
        <w:t>Titre français : « Halte à la croissance ? »</w:t>
      </w:r>
    </w:p>
  </w:footnote>
  <w:footnote w:id="132">
    <w:p w:rsidR="003A3061" w:rsidRDefault="003A3061">
      <w:pPr>
        <w:pStyle w:val="Notedebasdepage"/>
      </w:pPr>
      <w:r>
        <w:rPr>
          <w:rStyle w:val="Appelnotedebasdep"/>
        </w:rPr>
        <w:footnoteRef/>
      </w:r>
      <w:r>
        <w:t xml:space="preserve"> </w:t>
      </w:r>
      <w:r>
        <w:tab/>
      </w:r>
      <w:r w:rsidRPr="00BB11AF">
        <w:t>Sur l'histoire de la mouvance « décroissanciste » en France, voir le travail de Timothée Duverger (2011).</w:t>
      </w:r>
    </w:p>
  </w:footnote>
  <w:footnote w:id="133">
    <w:p w:rsidR="003A3061" w:rsidRDefault="003A3061">
      <w:pPr>
        <w:pStyle w:val="Notedebasdepage"/>
      </w:pPr>
      <w:r>
        <w:rPr>
          <w:rStyle w:val="Appelnotedebasdep"/>
        </w:rPr>
        <w:footnoteRef/>
      </w:r>
      <w:r>
        <w:t xml:space="preserve"> </w:t>
      </w:r>
      <w:r>
        <w:tab/>
      </w:r>
      <w:r w:rsidRPr="00BB11AF">
        <w:t>Le Nouvel Observateur, 12-18 juin 1972, cité par Timothée Duverger (2011 :42). On notera cependant la formule contradictoire util</w:t>
      </w:r>
      <w:r w:rsidRPr="00BB11AF">
        <w:t>i</w:t>
      </w:r>
      <w:r w:rsidRPr="00BB11AF">
        <w:t>sée par Mansholt : « [...] une croissance en-dessous de zéro [...] », comme si le mot « décroissance » était imprononçable !</w:t>
      </w:r>
    </w:p>
  </w:footnote>
  <w:footnote w:id="134">
    <w:p w:rsidR="003A3061" w:rsidRDefault="003A3061">
      <w:pPr>
        <w:pStyle w:val="Notedebasdepage"/>
      </w:pPr>
      <w:r>
        <w:rPr>
          <w:rStyle w:val="Appelnotedebasdep"/>
        </w:rPr>
        <w:footnoteRef/>
      </w:r>
      <w:r>
        <w:t xml:space="preserve"> </w:t>
      </w:r>
      <w:r>
        <w:tab/>
      </w:r>
      <w:r w:rsidRPr="00BB11AF">
        <w:t>Publicitaire reconverti dans la critique du consumérisme et de la publicité, Vincent Cheynet est le fondateur (en 1999) du journal Ca</w:t>
      </w:r>
      <w:r w:rsidRPr="00BB11AF">
        <w:t>s</w:t>
      </w:r>
      <w:r w:rsidRPr="00BB11AF">
        <w:t>seurs de Pub et de l'association éponyme.</w:t>
      </w:r>
    </w:p>
  </w:footnote>
  <w:footnote w:id="135">
    <w:p w:rsidR="003A3061" w:rsidRDefault="003A3061">
      <w:pPr>
        <w:pStyle w:val="Notedebasdepage"/>
      </w:pPr>
      <w:r>
        <w:rPr>
          <w:rStyle w:val="Appelnotedebasdep"/>
        </w:rPr>
        <w:footnoteRef/>
      </w:r>
      <w:r>
        <w:t xml:space="preserve"> </w:t>
      </w:r>
      <w:r>
        <w:tab/>
      </w:r>
      <w:r w:rsidRPr="00BB11AF">
        <w:t>François Partant est un économiste spécialiste du développ</w:t>
      </w:r>
      <w:r w:rsidRPr="00BB11AF">
        <w:t>e</w:t>
      </w:r>
      <w:r w:rsidRPr="00BB11AF">
        <w:t>ment devenu critique du développement, auteur notamment de : La fin du développement (1982).</w:t>
      </w:r>
    </w:p>
  </w:footnote>
  <w:footnote w:id="136">
    <w:p w:rsidR="003A3061" w:rsidRDefault="003A3061">
      <w:pPr>
        <w:pStyle w:val="Notedebasdepage"/>
      </w:pPr>
      <w:r>
        <w:rPr>
          <w:rStyle w:val="Appelnotedebasdep"/>
        </w:rPr>
        <w:footnoteRef/>
      </w:r>
      <w:r>
        <w:t xml:space="preserve"> </w:t>
      </w:r>
      <w:r>
        <w:tab/>
      </w:r>
      <w:r w:rsidRPr="00BB11AF">
        <w:t>Une partie des contributions à ce colloque ont été publiées en 2011 (Abr</w:t>
      </w:r>
      <w:r w:rsidRPr="00BB11AF">
        <w:t>a</w:t>
      </w:r>
      <w:r w:rsidRPr="00BB11AF">
        <w:t>ham et al.).</w:t>
      </w:r>
    </w:p>
  </w:footnote>
  <w:footnote w:id="137">
    <w:p w:rsidR="003A3061" w:rsidRDefault="003A3061">
      <w:pPr>
        <w:pStyle w:val="Notedebasdepage"/>
      </w:pPr>
      <w:r>
        <w:rPr>
          <w:rStyle w:val="Appelnotedebasdep"/>
        </w:rPr>
        <w:footnoteRef/>
      </w:r>
      <w:r>
        <w:t xml:space="preserve"> </w:t>
      </w:r>
      <w:r>
        <w:tab/>
      </w:r>
      <w:r w:rsidRPr="00BB11AF">
        <w:t>Voir Ecological Economics 2010, volume 69 et 2011, volume 70 ; Journal of Cleaner Production 2010, volume 18 et 2013, volume 38 ; Futures 2012, volume 44 ; Capitalism Nature Socialism 2012, volume 23.</w:t>
      </w:r>
    </w:p>
  </w:footnote>
  <w:footnote w:id="138">
    <w:p w:rsidR="003A3061" w:rsidRDefault="003A3061">
      <w:pPr>
        <w:pStyle w:val="Notedebasdepage"/>
      </w:pPr>
      <w:r>
        <w:rPr>
          <w:rStyle w:val="Appelnotedebasdep"/>
        </w:rPr>
        <w:footnoteRef/>
      </w:r>
      <w:r>
        <w:t xml:space="preserve"> </w:t>
      </w:r>
      <w:r>
        <w:tab/>
      </w:r>
      <w:r w:rsidRPr="00BB11AF">
        <w:t xml:space="preserve">Entretien dans L'Écologithèque, 28 avril 2010, consultable en ligne : </w:t>
      </w:r>
      <w:hyperlink r:id="rId8" w:history="1">
        <w:r w:rsidRPr="00BB11AF">
          <w:rPr>
            <w:rStyle w:val="Lienhypertexte"/>
            <w:lang w:bidi="en-US"/>
          </w:rPr>
          <w:t>http://www.ecologitheque.com/itwaries.html</w:t>
        </w:r>
      </w:hyperlink>
    </w:p>
  </w:footnote>
  <w:footnote w:id="139">
    <w:p w:rsidR="003A3061" w:rsidRDefault="003A3061">
      <w:pPr>
        <w:pStyle w:val="Notedebasdepage"/>
      </w:pPr>
      <w:r>
        <w:rPr>
          <w:rStyle w:val="Appelnotedebasdep"/>
        </w:rPr>
        <w:footnoteRef/>
      </w:r>
      <w:r>
        <w:t xml:space="preserve"> </w:t>
      </w:r>
      <w:r>
        <w:tab/>
      </w:r>
      <w:r w:rsidRPr="00BB11AF">
        <w:t>Ce terme a été proposé pour souligner le fait que les activités humaines ont désormais un tel impact sur la planète, que l'on peut cons</w:t>
      </w:r>
      <w:r w:rsidRPr="00BB11AF">
        <w:t>i</w:t>
      </w:r>
      <w:r w:rsidRPr="00BB11AF">
        <w:t>dérer que nous sommes entrés dans une nouvelle ère géologique.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061" w:rsidRDefault="003A3061" w:rsidP="003A3061">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Crise et mise en crise. Actes du colloque de l’ACSALF 2012.</w:t>
    </w:r>
    <w:r w:rsidRPr="00C90835">
      <w:rPr>
        <w:rFonts w:ascii="Times New Roman" w:hAnsi="Times New Roman"/>
      </w:rPr>
      <w:t xml:space="preserve"> </w:t>
    </w:r>
    <w:r>
      <w:rPr>
        <w:rFonts w:ascii="Times New Roman" w:hAnsi="Times New Roman"/>
      </w:rPr>
      <w:t>(2015)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5C513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6</w:t>
    </w:r>
    <w:r>
      <w:rPr>
        <w:rStyle w:val="Numrodepage"/>
        <w:rFonts w:ascii="Times New Roman" w:hAnsi="Times New Roman"/>
      </w:rPr>
      <w:fldChar w:fldCharType="end"/>
    </w:r>
  </w:p>
  <w:p w:rsidR="003A3061" w:rsidRDefault="003A3061">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727"/>
    <w:multiLevelType w:val="multilevel"/>
    <w:tmpl w:val="EC9E1B60"/>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3"/>
        <w:szCs w:val="13"/>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5108EB"/>
    <w:multiLevelType w:val="multilevel"/>
    <w:tmpl w:val="BA9EB3EC"/>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C4B9F"/>
    <w:multiLevelType w:val="multilevel"/>
    <w:tmpl w:val="CF58F050"/>
    <w:lvl w:ilvl="0">
      <w:start w:val="15"/>
      <w:numFmt w:val="decimal"/>
      <w:lvlText w:val="%1"/>
      <w:lvlJc w:val="left"/>
      <w:rPr>
        <w:rFonts w:ascii="Arial" w:eastAsia="Arial" w:hAnsi="Arial" w:cs="AppleGothic"/>
        <w:b/>
        <w:bCs/>
        <w:i w:val="0"/>
        <w:iCs w:val="0"/>
        <w:smallCaps w:val="0"/>
        <w:strike w:val="0"/>
        <w:color w:val="000000"/>
        <w:spacing w:val="0"/>
        <w:w w:val="100"/>
        <w:position w:val="0"/>
        <w:sz w:val="12"/>
        <w:szCs w:val="12"/>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441F0"/>
    <w:multiLevelType w:val="multilevel"/>
    <w:tmpl w:val="B9DA91A0"/>
    <w:lvl w:ilvl="0">
      <w:start w:val="1"/>
      <w:numFmt w:val="decimal"/>
      <w:lvlText w:val="%1"/>
      <w:lvlJc w:val="left"/>
      <w:rPr>
        <w:rFonts w:ascii="Arial" w:eastAsia="Arial" w:hAnsi="Arial" w:cs="AppleGothic"/>
        <w:b/>
        <w:bCs/>
        <w:i w:val="0"/>
        <w:iCs w:val="0"/>
        <w:smallCaps w:val="0"/>
        <w:strike w:val="0"/>
        <w:color w:val="000000"/>
        <w:spacing w:val="0"/>
        <w:w w:val="100"/>
        <w:position w:val="0"/>
        <w:sz w:val="12"/>
        <w:szCs w:val="12"/>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290013"/>
    <w:multiLevelType w:val="multilevel"/>
    <w:tmpl w:val="2280E4D6"/>
    <w:lvl w:ilvl="0">
      <w:start w:val="1"/>
      <w:numFmt w:val="bullet"/>
      <w:lvlText w:val="-"/>
      <w:lvlJc w:val="left"/>
      <w:rPr>
        <w:rFonts w:ascii="Arial" w:eastAsia="Arial" w:hAnsi="Arial" w:cs="AppleGothic"/>
        <w:b/>
        <w:bCs/>
        <w:i w:val="0"/>
        <w:iCs w:val="0"/>
        <w:smallCaps w:val="0"/>
        <w:strike w:val="0"/>
        <w:color w:val="000000"/>
        <w:spacing w:val="0"/>
        <w:w w:val="100"/>
        <w:position w:val="0"/>
        <w:sz w:val="13"/>
        <w:szCs w:val="13"/>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CA4D69"/>
    <w:multiLevelType w:val="multilevel"/>
    <w:tmpl w:val="0C2C5356"/>
    <w:lvl w:ilvl="0">
      <w:start w:val="3"/>
      <w:numFmt w:val="decimal"/>
      <w:lvlText w:val="%1"/>
      <w:lvlJc w:val="left"/>
      <w:rPr>
        <w:rFonts w:ascii="Arial" w:eastAsia="Arial" w:hAnsi="Arial" w:cs="AppleGothic"/>
        <w:b/>
        <w:bCs/>
        <w:i w:val="0"/>
        <w:iCs w:val="0"/>
        <w:smallCaps w:val="0"/>
        <w:strike w:val="0"/>
        <w:color w:val="000000"/>
        <w:spacing w:val="0"/>
        <w:w w:val="100"/>
        <w:position w:val="0"/>
        <w:sz w:val="13"/>
        <w:szCs w:val="13"/>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AE7960"/>
    <w:multiLevelType w:val="multilevel"/>
    <w:tmpl w:val="3A6A8466"/>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A80D25"/>
    <w:multiLevelType w:val="multilevel"/>
    <w:tmpl w:val="D43C9D4C"/>
    <w:lvl w:ilvl="0">
      <w:start w:val="1"/>
      <w:numFmt w:val="decimal"/>
      <w:lvlText w:val="%1"/>
      <w:lvlJc w:val="left"/>
      <w:rPr>
        <w:rFonts w:ascii="Arial" w:eastAsia="Arial" w:hAnsi="Arial" w:cs="AppleGothic"/>
        <w:b/>
        <w:bCs/>
        <w:i w:val="0"/>
        <w:iCs w:val="0"/>
        <w:smallCaps w:val="0"/>
        <w:strike w:val="0"/>
        <w:color w:val="000000"/>
        <w:spacing w:val="0"/>
        <w:w w:val="100"/>
        <w:position w:val="0"/>
        <w:sz w:val="13"/>
        <w:szCs w:val="13"/>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E35174"/>
    <w:multiLevelType w:val="multilevel"/>
    <w:tmpl w:val="07A0D452"/>
    <w:lvl w:ilvl="0">
      <w:start w:val="1"/>
      <w:numFmt w:val="bullet"/>
      <w:lvlText w:val="*"/>
      <w:lvlJc w:val="left"/>
      <w:rPr>
        <w:rFonts w:ascii="Arial" w:eastAsia="Arial" w:hAnsi="Arial" w:cs="AppleGothic"/>
        <w:b w:val="0"/>
        <w:bCs w:val="0"/>
        <w:i/>
        <w:iCs/>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6E1136"/>
    <w:multiLevelType w:val="multilevel"/>
    <w:tmpl w:val="3C02AC74"/>
    <w:lvl w:ilvl="0">
      <w:start w:val="8"/>
      <w:numFmt w:val="decimal"/>
      <w:lvlText w:val="%1-"/>
      <w:lvlJc w:val="left"/>
      <w:rPr>
        <w:rFonts w:ascii="Arial" w:eastAsia="Arial" w:hAnsi="Arial" w:cs="AppleGothic"/>
        <w:b w:val="0"/>
        <w:bCs w:val="0"/>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4A15BD"/>
    <w:multiLevelType w:val="multilevel"/>
    <w:tmpl w:val="6BA4E07A"/>
    <w:lvl w:ilvl="0">
      <w:start w:val="5"/>
      <w:numFmt w:val="decimal"/>
      <w:lvlText w:val="%1"/>
      <w:lvlJc w:val="left"/>
      <w:rPr>
        <w:rFonts w:ascii="Arial" w:eastAsia="Arial" w:hAnsi="Arial" w:cs="AppleGothic"/>
        <w:b/>
        <w:bCs/>
        <w:i w:val="0"/>
        <w:iCs w:val="0"/>
        <w:smallCaps w:val="0"/>
        <w:strike w:val="0"/>
        <w:color w:val="000000"/>
        <w:spacing w:val="0"/>
        <w:w w:val="100"/>
        <w:position w:val="0"/>
        <w:sz w:val="13"/>
        <w:szCs w:val="13"/>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9562FA"/>
    <w:multiLevelType w:val="multilevel"/>
    <w:tmpl w:val="B55AE486"/>
    <w:lvl w:ilvl="0">
      <w:start w:val="1"/>
      <w:numFmt w:val="decimal"/>
      <w:lvlText w:val="%1"/>
      <w:lvlJc w:val="left"/>
      <w:rPr>
        <w:rFonts w:ascii="Arial" w:eastAsia="Arial" w:hAnsi="Arial" w:cs="AppleGothic"/>
        <w:b/>
        <w:bCs/>
        <w:i w:val="0"/>
        <w:iCs w:val="0"/>
        <w:smallCaps w:val="0"/>
        <w:strike w:val="0"/>
        <w:color w:val="000000"/>
        <w:spacing w:val="0"/>
        <w:w w:val="100"/>
        <w:position w:val="0"/>
        <w:sz w:val="12"/>
        <w:szCs w:val="12"/>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1D4C4A"/>
    <w:multiLevelType w:val="multilevel"/>
    <w:tmpl w:val="1480B7B8"/>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9B5418"/>
    <w:multiLevelType w:val="multilevel"/>
    <w:tmpl w:val="AFBA05A4"/>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3"/>
        <w:szCs w:val="13"/>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E41E52"/>
    <w:multiLevelType w:val="multilevel"/>
    <w:tmpl w:val="BB58D74C"/>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A46985"/>
    <w:multiLevelType w:val="multilevel"/>
    <w:tmpl w:val="B87280FA"/>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4B2796"/>
    <w:multiLevelType w:val="multilevel"/>
    <w:tmpl w:val="BD329EAA"/>
    <w:lvl w:ilvl="0">
      <w:start w:val="1"/>
      <w:numFmt w:val="decimal"/>
      <w:lvlText w:val="%1"/>
      <w:lvlJc w:val="left"/>
      <w:rPr>
        <w:rFonts w:ascii="Arial" w:eastAsia="Arial" w:hAnsi="Arial" w:cs="AppleGothic"/>
        <w:b/>
        <w:bCs/>
        <w:i w:val="0"/>
        <w:iCs w:val="0"/>
        <w:smallCaps w:val="0"/>
        <w:strike w:val="0"/>
        <w:color w:val="000000"/>
        <w:spacing w:val="0"/>
        <w:w w:val="100"/>
        <w:position w:val="0"/>
        <w:sz w:val="13"/>
        <w:szCs w:val="13"/>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4672FA"/>
    <w:multiLevelType w:val="multilevel"/>
    <w:tmpl w:val="4A1EBA8E"/>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4942DE"/>
    <w:multiLevelType w:val="multilevel"/>
    <w:tmpl w:val="0EBA41C2"/>
    <w:lvl w:ilvl="0">
      <w:start w:val="1"/>
      <w:numFmt w:val="decimal"/>
      <w:lvlText w:val="%1"/>
      <w:lvlJc w:val="left"/>
      <w:rPr>
        <w:rFonts w:ascii="Arial" w:eastAsia="Arial" w:hAnsi="Arial" w:cs="AppleGothic"/>
        <w:b/>
        <w:bCs/>
        <w:i w:val="0"/>
        <w:iCs w:val="0"/>
        <w:smallCaps w:val="0"/>
        <w:strike w:val="0"/>
        <w:color w:val="000000"/>
        <w:spacing w:val="0"/>
        <w:w w:val="100"/>
        <w:position w:val="0"/>
        <w:sz w:val="12"/>
        <w:szCs w:val="12"/>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6F3E06"/>
    <w:multiLevelType w:val="multilevel"/>
    <w:tmpl w:val="4760A2C2"/>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7A4D96"/>
    <w:multiLevelType w:val="multilevel"/>
    <w:tmpl w:val="7C5AE946"/>
    <w:lvl w:ilvl="0">
      <w:start w:val="1"/>
      <w:numFmt w:val="decimal"/>
      <w:lvlText w:val="11.%1"/>
      <w:lvlJc w:val="left"/>
      <w:rPr>
        <w:rFonts w:ascii="Arial" w:eastAsia="Arial" w:hAnsi="Arial" w:cs="AppleGothic"/>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F35AA1"/>
    <w:multiLevelType w:val="multilevel"/>
    <w:tmpl w:val="36047DD2"/>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945058"/>
    <w:multiLevelType w:val="multilevel"/>
    <w:tmpl w:val="FFD89348"/>
    <w:lvl w:ilvl="0">
      <w:start w:val="1"/>
      <w:numFmt w:val="decimal"/>
      <w:lvlText w:val="%1"/>
      <w:lvlJc w:val="left"/>
      <w:rPr>
        <w:rFonts w:ascii="Arial" w:eastAsia="Arial" w:hAnsi="Arial" w:cs="AppleGothic"/>
        <w:b/>
        <w:bCs/>
        <w:i w:val="0"/>
        <w:iCs w:val="0"/>
        <w:smallCaps w:val="0"/>
        <w:strike w:val="0"/>
        <w:color w:val="000000"/>
        <w:spacing w:val="0"/>
        <w:w w:val="100"/>
        <w:position w:val="0"/>
        <w:sz w:val="13"/>
        <w:szCs w:val="13"/>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D96C1E"/>
    <w:multiLevelType w:val="multilevel"/>
    <w:tmpl w:val="1A544ED8"/>
    <w:lvl w:ilvl="0">
      <w:start w:val="6"/>
      <w:numFmt w:val="decimal"/>
      <w:lvlText w:val="%1"/>
      <w:lvlJc w:val="left"/>
      <w:rPr>
        <w:rFonts w:ascii="Arial" w:eastAsia="Arial" w:hAnsi="Arial" w:cs="AppleGothic"/>
        <w:b/>
        <w:bCs/>
        <w:i w:val="0"/>
        <w:iCs w:val="0"/>
        <w:smallCaps w:val="0"/>
        <w:strike w:val="0"/>
        <w:color w:val="000000"/>
        <w:spacing w:val="0"/>
        <w:w w:val="100"/>
        <w:position w:val="0"/>
        <w:sz w:val="12"/>
        <w:szCs w:val="12"/>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B25065"/>
    <w:multiLevelType w:val="multilevel"/>
    <w:tmpl w:val="0C2E8E32"/>
    <w:lvl w:ilvl="0">
      <w:start w:val="1"/>
      <w:numFmt w:val="bullet"/>
      <w:lvlText w:val="—"/>
      <w:lvlJc w:val="left"/>
      <w:rPr>
        <w:rFonts w:ascii="Arial" w:eastAsia="Arial" w:hAnsi="Arial" w:cs="AppleGothic"/>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B4A8D"/>
    <w:multiLevelType w:val="multilevel"/>
    <w:tmpl w:val="950C6D68"/>
    <w:lvl w:ilvl="0">
      <w:start w:val="1"/>
      <w:numFmt w:val="decimal"/>
      <w:lvlText w:val="%1"/>
      <w:lvlJc w:val="left"/>
      <w:rPr>
        <w:rFonts w:ascii="Arial" w:eastAsia="Arial" w:hAnsi="Arial" w:cs="AppleGothic"/>
        <w:b w:val="0"/>
        <w:bCs w:val="0"/>
        <w:i w:val="0"/>
        <w:iCs w:val="0"/>
        <w:smallCaps w:val="0"/>
        <w:strike w:val="0"/>
        <w:color w:val="000000"/>
        <w:spacing w:val="0"/>
        <w:w w:val="100"/>
        <w:position w:val="0"/>
        <w:sz w:val="13"/>
        <w:szCs w:val="13"/>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9A3EDE"/>
    <w:multiLevelType w:val="multilevel"/>
    <w:tmpl w:val="F466A2FA"/>
    <w:lvl w:ilvl="0">
      <w:start w:val="1"/>
      <w:numFmt w:val="decimal"/>
      <w:lvlText w:val="%1"/>
      <w:lvlJc w:val="left"/>
      <w:rPr>
        <w:rFonts w:ascii="Arial" w:eastAsia="Arial" w:hAnsi="Arial" w:cs="AppleGothic"/>
        <w:b/>
        <w:bCs/>
        <w:i w:val="0"/>
        <w:iCs w:val="0"/>
        <w:smallCaps w:val="0"/>
        <w:strike w:val="0"/>
        <w:color w:val="000000"/>
        <w:spacing w:val="0"/>
        <w:w w:val="100"/>
        <w:position w:val="0"/>
        <w:sz w:val="12"/>
        <w:szCs w:val="12"/>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7647B5"/>
    <w:multiLevelType w:val="multilevel"/>
    <w:tmpl w:val="6490460C"/>
    <w:lvl w:ilvl="0">
      <w:start w:val="1"/>
      <w:numFmt w:val="decimal"/>
      <w:lvlText w:val="25.%1"/>
      <w:lvlJc w:val="left"/>
      <w:rPr>
        <w:rFonts w:ascii="Arial" w:eastAsia="Arial" w:hAnsi="Arial" w:cs="AppleGothic"/>
        <w:b w:val="0"/>
        <w:bCs w:val="0"/>
        <w:i w:val="0"/>
        <w:iCs w:val="0"/>
        <w:smallCaps w:val="0"/>
        <w:strike w:val="0"/>
        <w:color w:val="000000"/>
        <w:spacing w:val="0"/>
        <w:w w:val="100"/>
        <w:position w:val="0"/>
        <w:sz w:val="16"/>
        <w:szCs w:val="1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7"/>
  </w:num>
  <w:num w:numId="4">
    <w:abstractNumId w:val="8"/>
  </w:num>
  <w:num w:numId="5">
    <w:abstractNumId w:val="0"/>
  </w:num>
  <w:num w:numId="6">
    <w:abstractNumId w:val="13"/>
  </w:num>
  <w:num w:numId="7">
    <w:abstractNumId w:val="27"/>
  </w:num>
  <w:num w:numId="8">
    <w:abstractNumId w:val="20"/>
  </w:num>
  <w:num w:numId="9">
    <w:abstractNumId w:val="25"/>
  </w:num>
  <w:num w:numId="10">
    <w:abstractNumId w:val="5"/>
  </w:num>
  <w:num w:numId="11">
    <w:abstractNumId w:val="16"/>
  </w:num>
  <w:num w:numId="12">
    <w:abstractNumId w:val="10"/>
  </w:num>
  <w:num w:numId="13">
    <w:abstractNumId w:val="4"/>
  </w:num>
  <w:num w:numId="14">
    <w:abstractNumId w:val="12"/>
  </w:num>
  <w:num w:numId="15">
    <w:abstractNumId w:val="22"/>
  </w:num>
  <w:num w:numId="16">
    <w:abstractNumId w:val="21"/>
  </w:num>
  <w:num w:numId="17">
    <w:abstractNumId w:val="7"/>
  </w:num>
  <w:num w:numId="18">
    <w:abstractNumId w:val="15"/>
  </w:num>
  <w:num w:numId="19">
    <w:abstractNumId w:val="11"/>
  </w:num>
  <w:num w:numId="20">
    <w:abstractNumId w:val="19"/>
  </w:num>
  <w:num w:numId="21">
    <w:abstractNumId w:val="14"/>
  </w:num>
  <w:num w:numId="22">
    <w:abstractNumId w:val="3"/>
  </w:num>
  <w:num w:numId="23">
    <w:abstractNumId w:val="1"/>
  </w:num>
  <w:num w:numId="24">
    <w:abstractNumId w:val="26"/>
  </w:num>
  <w:num w:numId="25">
    <w:abstractNumId w:val="23"/>
  </w:num>
  <w:num w:numId="26">
    <w:abstractNumId w:val="2"/>
  </w:num>
  <w:num w:numId="27">
    <w:abstractNumId w:val="2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56B29"/>
    <w:rsid w:val="003A3061"/>
    <w:rsid w:val="005C513B"/>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CDABA597-8CD9-CA4C-BDF8-BCA44F05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AC65D2"/>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6614FD"/>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3B091F"/>
    <w:pPr>
      <w:spacing w:before="120" w:after="120"/>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5F6132"/>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5F6132"/>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191259"/>
    <w:pPr>
      <w:spacing w:before="120" w:after="120"/>
      <w:ind w:firstLine="0"/>
      <w:jc w:val="center"/>
    </w:pPr>
    <w:rPr>
      <w:color w:val="0000FF"/>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paragraph" w:customStyle="1" w:styleId="b">
    <w:name w:val="b"/>
    <w:basedOn w:val="Normal"/>
    <w:autoRedefine/>
    <w:rsid w:val="00AC65D2"/>
    <w:pPr>
      <w:spacing w:before="120" w:after="120"/>
      <w:ind w:left="720"/>
    </w:pPr>
    <w:rPr>
      <w:i/>
      <w:color w:val="0000FF"/>
    </w:rPr>
  </w:style>
  <w:style w:type="character" w:customStyle="1" w:styleId="Lgendedelimage">
    <w:name w:val="Légende de l'image_"/>
    <w:link w:val="Lgendedelimage0"/>
    <w:rsid w:val="00AC65D2"/>
    <w:rPr>
      <w:rFonts w:ascii="Arial" w:eastAsia="Arial" w:hAnsi="Arial" w:cs="Arial"/>
      <w:sz w:val="16"/>
      <w:szCs w:val="16"/>
      <w:shd w:val="clear" w:color="auto" w:fill="FFFFFF"/>
    </w:rPr>
  </w:style>
  <w:style w:type="character" w:customStyle="1" w:styleId="Tabledesmatires">
    <w:name w:val="Table des matières_"/>
    <w:link w:val="Tabledesmatires0"/>
    <w:rsid w:val="00AC65D2"/>
    <w:rPr>
      <w:rFonts w:ascii="Arial" w:eastAsia="Arial" w:hAnsi="Arial" w:cs="Arial"/>
      <w:sz w:val="18"/>
      <w:szCs w:val="18"/>
      <w:shd w:val="clear" w:color="auto" w:fill="FFFFFF"/>
    </w:rPr>
  </w:style>
  <w:style w:type="character" w:customStyle="1" w:styleId="Tabledesmatires2">
    <w:name w:val="Table des matières (2)_"/>
    <w:link w:val="Tabledesmatires20"/>
    <w:rsid w:val="00AC65D2"/>
    <w:rPr>
      <w:rFonts w:ascii="Arial" w:eastAsia="Arial" w:hAnsi="Arial" w:cs="Arial"/>
      <w:sz w:val="16"/>
      <w:szCs w:val="16"/>
      <w:shd w:val="clear" w:color="auto" w:fill="FFFFFF"/>
    </w:rPr>
  </w:style>
  <w:style w:type="character" w:customStyle="1" w:styleId="Corpsdutexte57ptItalique">
    <w:name w:val="Corps du texte (5) + 7 pt;Italique"/>
    <w:rsid w:val="00AC65D2"/>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5TimesNewRoman45pt">
    <w:name w:val="Corps du texte (5) + Times New Roman;4.5 pt"/>
    <w:rsid w:val="00AC65D2"/>
    <w:rPr>
      <w:rFonts w:ascii="Times New Roman" w:eastAsia="Times New Roman" w:hAnsi="Times New Roman" w:cs="Times New Roman"/>
      <w:b w:val="0"/>
      <w:bCs w:val="0"/>
      <w:i w:val="0"/>
      <w:iCs w:val="0"/>
      <w:smallCaps w:val="0"/>
      <w:strike w:val="0"/>
      <w:color w:val="000000"/>
      <w:spacing w:val="0"/>
      <w:w w:val="100"/>
      <w:position w:val="0"/>
      <w:sz w:val="9"/>
      <w:szCs w:val="9"/>
      <w:u w:val="none"/>
      <w:lang w:val="fr-FR" w:eastAsia="fr-FR" w:bidi="fr-FR"/>
    </w:rPr>
  </w:style>
  <w:style w:type="character" w:customStyle="1" w:styleId="En-tte213ptGrasEspacement0pt">
    <w:name w:val="En-tête #2 + 13 pt;Gras;Espacement 0 pt"/>
    <w:rsid w:val="00AC65D2"/>
    <w:rPr>
      <w:rFonts w:ascii="Arial" w:eastAsia="Arial" w:hAnsi="Arial" w:cs="Arial"/>
      <w:b/>
      <w:bCs/>
      <w:i w:val="0"/>
      <w:iCs w:val="0"/>
      <w:smallCaps w:val="0"/>
      <w:strike w:val="0"/>
      <w:color w:val="000000"/>
      <w:spacing w:val="0"/>
      <w:w w:val="100"/>
      <w:position w:val="0"/>
      <w:sz w:val="26"/>
      <w:szCs w:val="26"/>
      <w:u w:val="none"/>
      <w:lang w:val="fr-FR" w:eastAsia="fr-FR" w:bidi="fr-FR"/>
    </w:rPr>
  </w:style>
  <w:style w:type="character" w:customStyle="1" w:styleId="En-tte485ptNonGras">
    <w:name w:val="En-tête #4 + 8.5 pt;Non Gras"/>
    <w:rsid w:val="00AC65D2"/>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En-tteoupieddepage55ptItaliquechelle100">
    <w:name w:val="En-tête ou pied de page + 5.5 pt;Italique;Échelle 100%"/>
    <w:rsid w:val="00AC65D2"/>
    <w:rPr>
      <w:rFonts w:ascii="Arial" w:eastAsia="Arial" w:hAnsi="Arial" w:cs="Arial"/>
      <w:b w:val="0"/>
      <w:bCs w:val="0"/>
      <w:i/>
      <w:iCs/>
      <w:smallCaps w:val="0"/>
      <w:strike w:val="0"/>
      <w:color w:val="000000"/>
      <w:spacing w:val="0"/>
      <w:w w:val="100"/>
      <w:position w:val="0"/>
      <w:sz w:val="11"/>
      <w:szCs w:val="11"/>
      <w:u w:val="none"/>
      <w:lang w:val="fr-FR" w:eastAsia="fr-FR" w:bidi="fr-FR"/>
    </w:rPr>
  </w:style>
  <w:style w:type="character" w:customStyle="1" w:styleId="En-tteoupieddepage20">
    <w:name w:val="En-tête ou pied de page (2)_"/>
    <w:rsid w:val="00AC65D2"/>
    <w:rPr>
      <w:rFonts w:ascii="Arial" w:eastAsia="Arial" w:hAnsi="Arial" w:cs="Arial"/>
      <w:b w:val="0"/>
      <w:bCs w:val="0"/>
      <w:i w:val="0"/>
      <w:iCs w:val="0"/>
      <w:smallCaps w:val="0"/>
      <w:strike w:val="0"/>
      <w:sz w:val="8"/>
      <w:szCs w:val="8"/>
      <w:u w:val="none"/>
    </w:rPr>
  </w:style>
  <w:style w:type="character" w:customStyle="1" w:styleId="En-tteoupieddepage265pt">
    <w:name w:val="En-tête ou pied de page (2) + 6.5 pt"/>
    <w:rsid w:val="00AC65D2"/>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En-tte4NonGras">
    <w:name w:val="En-tête #4 + Non Gras"/>
    <w:rsid w:val="00AC65D2"/>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En-tteoupieddepage4ptchelle100">
    <w:name w:val="En-tête ou pied de page + 4 pt;Échelle 100%"/>
    <w:rsid w:val="00AC65D2"/>
    <w:rPr>
      <w:rFonts w:ascii="Arial" w:eastAsia="Arial" w:hAnsi="Arial" w:cs="Arial"/>
      <w:b w:val="0"/>
      <w:bCs w:val="0"/>
      <w:i w:val="0"/>
      <w:iCs w:val="0"/>
      <w:smallCaps w:val="0"/>
      <w:strike w:val="0"/>
      <w:color w:val="000000"/>
      <w:spacing w:val="0"/>
      <w:w w:val="100"/>
      <w:position w:val="0"/>
      <w:sz w:val="8"/>
      <w:szCs w:val="8"/>
      <w:u w:val="none"/>
      <w:lang w:val="fr-FR" w:eastAsia="fr-FR" w:bidi="fr-FR"/>
    </w:rPr>
  </w:style>
  <w:style w:type="character" w:customStyle="1" w:styleId="En-tteoupieddepage65ptchelle100">
    <w:name w:val="En-tête ou pied de page + 6.5 pt;Échelle 100%"/>
    <w:rsid w:val="00AC65D2"/>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Corpsdutexte2TimesNewRoman7pt">
    <w:name w:val="Corps du texte (2) + Times New Roman;7 pt"/>
    <w:rsid w:val="00AC65D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57ptItaliqueExact">
    <w:name w:val="Corps du texte (5) + 7 pt;Italique Exact"/>
    <w:rsid w:val="00AC65D2"/>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275ptGrasItalique">
    <w:name w:val="Corps du texte (2) + 7.5 pt;Gras;Italique"/>
    <w:rsid w:val="00AC65D2"/>
    <w:rPr>
      <w:rFonts w:ascii="Arial" w:eastAsia="Arial" w:hAnsi="Arial" w:cs="Arial"/>
      <w:b/>
      <w:bCs/>
      <w:i/>
      <w:iCs/>
      <w:smallCaps w:val="0"/>
      <w:strike w:val="0"/>
      <w:color w:val="000000"/>
      <w:spacing w:val="0"/>
      <w:w w:val="100"/>
      <w:position w:val="0"/>
      <w:sz w:val="15"/>
      <w:szCs w:val="15"/>
      <w:u w:val="none"/>
      <w:lang w:val="fr-FR" w:eastAsia="fr-FR" w:bidi="fr-FR"/>
    </w:rPr>
  </w:style>
  <w:style w:type="character" w:customStyle="1" w:styleId="Corpsdutexte2210ptItalique">
    <w:name w:val="Corps du texte (22) + 10 pt;Italique"/>
    <w:rsid w:val="00AC65D2"/>
    <w:rPr>
      <w:rFonts w:ascii="Arial" w:eastAsia="Arial" w:hAnsi="Arial" w:cs="Arial"/>
      <w:b w:val="0"/>
      <w:bCs w:val="0"/>
      <w:i/>
      <w:iCs/>
      <w:smallCaps w:val="0"/>
      <w:strike w:val="0"/>
      <w:color w:val="000000"/>
      <w:spacing w:val="0"/>
      <w:w w:val="100"/>
      <w:position w:val="0"/>
      <w:sz w:val="20"/>
      <w:szCs w:val="20"/>
      <w:u w:val="none"/>
      <w:lang w:val="fr-FR" w:eastAsia="fr-FR" w:bidi="fr-FR"/>
    </w:rPr>
  </w:style>
  <w:style w:type="character" w:customStyle="1" w:styleId="En-tte214ptGrasEspacement0pt">
    <w:name w:val="En-tête #2 + 14 pt;Gras;Espacement 0 pt"/>
    <w:rsid w:val="00AC65D2"/>
    <w:rPr>
      <w:rFonts w:ascii="Arial" w:eastAsia="Arial" w:hAnsi="Arial" w:cs="Arial"/>
      <w:b/>
      <w:bCs/>
      <w:i w:val="0"/>
      <w:iCs w:val="0"/>
      <w:smallCaps w:val="0"/>
      <w:strike w:val="0"/>
      <w:color w:val="000000"/>
      <w:spacing w:val="0"/>
      <w:w w:val="100"/>
      <w:position w:val="0"/>
      <w:sz w:val="28"/>
      <w:szCs w:val="28"/>
      <w:u w:val="none"/>
      <w:lang w:val="fr-FR" w:eastAsia="fr-FR" w:bidi="fr-FR"/>
    </w:rPr>
  </w:style>
  <w:style w:type="character" w:customStyle="1" w:styleId="Corpsdutexte5TimesNewRoman65ptGras">
    <w:name w:val="Corps du texte (5) + Times New Roman;6.5 pt;Gras"/>
    <w:rsid w:val="00AC65D2"/>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128ptGras">
    <w:name w:val="Corps du texte (12) + 8 pt;Gras"/>
    <w:rsid w:val="00AC65D2"/>
    <w:rPr>
      <w:rFonts w:ascii="Arial" w:eastAsia="Arial" w:hAnsi="Arial" w:cs="Arial"/>
      <w:b/>
      <w:bCs/>
      <w:i w:val="0"/>
      <w:iCs w:val="0"/>
      <w:smallCaps w:val="0"/>
      <w:strike w:val="0"/>
      <w:color w:val="000000"/>
      <w:spacing w:val="0"/>
      <w:w w:val="100"/>
      <w:position w:val="0"/>
      <w:sz w:val="16"/>
      <w:szCs w:val="16"/>
      <w:u w:val="none"/>
      <w:lang w:val="fr-FR" w:eastAsia="fr-FR" w:bidi="fr-FR"/>
    </w:rPr>
  </w:style>
  <w:style w:type="character" w:customStyle="1" w:styleId="Lgendedelimage2">
    <w:name w:val="Légende de l'image (2)_"/>
    <w:link w:val="Lgendedelimage20"/>
    <w:rsid w:val="00AC65D2"/>
    <w:rPr>
      <w:rFonts w:ascii="Arial" w:eastAsia="Arial" w:hAnsi="Arial" w:cs="Arial"/>
      <w:sz w:val="13"/>
      <w:szCs w:val="13"/>
      <w:shd w:val="clear" w:color="auto" w:fill="FFFFFF"/>
    </w:rPr>
  </w:style>
  <w:style w:type="character" w:customStyle="1" w:styleId="Lgendedelimage2Italique">
    <w:name w:val="Légende de l'image (2) + Italique"/>
    <w:rsid w:val="00AC65D2"/>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LgendedutableauTimesNewRomanGras">
    <w:name w:val="Légende du tableau + Times New Roman;Gras"/>
    <w:rsid w:val="00AC65D2"/>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245ptItalique">
    <w:name w:val="Corps du texte (2) + 4.5 pt;Italique"/>
    <w:rsid w:val="00AC65D2"/>
    <w:rPr>
      <w:rFonts w:ascii="Arial" w:eastAsia="Arial" w:hAnsi="Arial" w:cs="Arial"/>
      <w:b w:val="0"/>
      <w:bCs w:val="0"/>
      <w:i/>
      <w:iCs/>
      <w:smallCaps w:val="0"/>
      <w:strike w:val="0"/>
      <w:color w:val="000000"/>
      <w:spacing w:val="0"/>
      <w:w w:val="100"/>
      <w:position w:val="0"/>
      <w:sz w:val="9"/>
      <w:szCs w:val="9"/>
      <w:u w:val="none"/>
      <w:lang w:val="fr-FR" w:eastAsia="fr-FR" w:bidi="fr-FR"/>
    </w:rPr>
  </w:style>
  <w:style w:type="character" w:customStyle="1" w:styleId="Corpsdutexte2TimesNewRoman65ptGras">
    <w:name w:val="Corps du texte (2) + Times New Roman;6.5 pt;Gras"/>
    <w:rsid w:val="00AC65D2"/>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27ptGras">
    <w:name w:val="Corps du texte (2) + 7 pt;Gras"/>
    <w:rsid w:val="00AC65D2"/>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Lgendedutableau245ptNonGrasItalique">
    <w:name w:val="Légende du tableau (2) + 4.5 pt;Non Gras;Italique"/>
    <w:rsid w:val="00AC65D2"/>
    <w:rPr>
      <w:rFonts w:ascii="Arial" w:eastAsia="Arial" w:hAnsi="Arial" w:cs="Arial"/>
      <w:b w:val="0"/>
      <w:bCs w:val="0"/>
      <w:i/>
      <w:iCs/>
      <w:smallCaps w:val="0"/>
      <w:strike w:val="0"/>
      <w:color w:val="000000"/>
      <w:spacing w:val="0"/>
      <w:w w:val="100"/>
      <w:position w:val="0"/>
      <w:sz w:val="9"/>
      <w:szCs w:val="9"/>
      <w:u w:val="none"/>
      <w:lang w:val="fr-FR" w:eastAsia="fr-FR" w:bidi="fr-FR"/>
    </w:rPr>
  </w:style>
  <w:style w:type="character" w:customStyle="1" w:styleId="LgendedutableauItalique">
    <w:name w:val="Légende du tableau + Italique"/>
    <w:rsid w:val="00AC65D2"/>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Lgendedutableau3">
    <w:name w:val="Légende du tableau (3)_"/>
    <w:link w:val="Lgendedutableau30"/>
    <w:rsid w:val="00AC65D2"/>
    <w:rPr>
      <w:rFonts w:ascii="Arial" w:eastAsia="Arial" w:hAnsi="Arial" w:cs="Arial"/>
      <w:sz w:val="11"/>
      <w:szCs w:val="11"/>
      <w:shd w:val="clear" w:color="auto" w:fill="FFFFFF"/>
    </w:rPr>
  </w:style>
  <w:style w:type="character" w:customStyle="1" w:styleId="Lgendedutableau37ptItalique">
    <w:name w:val="Légende du tableau (3) + 7 pt;Italique"/>
    <w:rsid w:val="00AC65D2"/>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2TimesNewRoman6pt">
    <w:name w:val="Corps du texte (2) + Times New Roman;6 pt"/>
    <w:rsid w:val="00AC65D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Corpsdutexte22TimesNewRomanGras">
    <w:name w:val="Corps du texte (22) + Times New Roman;Gras"/>
    <w:rsid w:val="00AC65D2"/>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Corpsdutexte5TimesNewRoman75ptGras">
    <w:name w:val="Corps du texte (5) + Times New Roman;7.5 pt;Gras"/>
    <w:rsid w:val="00AC65D2"/>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585ptEspacement0pt">
    <w:name w:val="Corps du texte (5) + 8.5 pt;Espacement 0 pt"/>
    <w:rsid w:val="00AC65D2"/>
    <w:rPr>
      <w:rFonts w:ascii="Arial" w:eastAsia="Arial" w:hAnsi="Arial" w:cs="Arial"/>
      <w:b w:val="0"/>
      <w:bCs w:val="0"/>
      <w:i w:val="0"/>
      <w:iCs w:val="0"/>
      <w:smallCaps w:val="0"/>
      <w:strike w:val="0"/>
      <w:color w:val="000000"/>
      <w:spacing w:val="-10"/>
      <w:w w:val="100"/>
      <w:position w:val="0"/>
      <w:sz w:val="17"/>
      <w:szCs w:val="17"/>
      <w:u w:val="none"/>
      <w:lang w:val="fr-FR" w:eastAsia="fr-FR" w:bidi="fr-FR"/>
    </w:rPr>
  </w:style>
  <w:style w:type="paragraph" w:customStyle="1" w:styleId="Lgendedelimage0">
    <w:name w:val="Légende de l'image"/>
    <w:basedOn w:val="Normal"/>
    <w:link w:val="Lgendedelimage"/>
    <w:rsid w:val="00AC65D2"/>
    <w:pPr>
      <w:widowControl w:val="0"/>
      <w:shd w:val="clear" w:color="auto" w:fill="FFFFFF"/>
      <w:spacing w:line="0" w:lineRule="atLeast"/>
      <w:ind w:firstLine="2"/>
    </w:pPr>
    <w:rPr>
      <w:rFonts w:ascii="Arial" w:eastAsia="Arial" w:hAnsi="Arial"/>
      <w:sz w:val="16"/>
      <w:szCs w:val="16"/>
      <w:lang w:val="x-none" w:eastAsia="x-none"/>
    </w:rPr>
  </w:style>
  <w:style w:type="paragraph" w:customStyle="1" w:styleId="Tabledesmatires0">
    <w:name w:val="Table des matières"/>
    <w:basedOn w:val="Normal"/>
    <w:link w:val="Tabledesmatires"/>
    <w:rsid w:val="00AC65D2"/>
    <w:pPr>
      <w:widowControl w:val="0"/>
      <w:shd w:val="clear" w:color="auto" w:fill="FFFFFF"/>
      <w:spacing w:before="60" w:line="216" w:lineRule="exact"/>
      <w:ind w:hanging="1"/>
      <w:jc w:val="both"/>
    </w:pPr>
    <w:rPr>
      <w:rFonts w:ascii="Arial" w:eastAsia="Arial" w:hAnsi="Arial"/>
      <w:sz w:val="18"/>
      <w:szCs w:val="18"/>
      <w:lang w:val="x-none" w:eastAsia="x-none"/>
    </w:rPr>
  </w:style>
  <w:style w:type="paragraph" w:customStyle="1" w:styleId="Tabledesmatires20">
    <w:name w:val="Table des matières (2)"/>
    <w:basedOn w:val="Normal"/>
    <w:link w:val="Tabledesmatires2"/>
    <w:rsid w:val="00AC65D2"/>
    <w:pPr>
      <w:widowControl w:val="0"/>
      <w:shd w:val="clear" w:color="auto" w:fill="FFFFFF"/>
      <w:spacing w:after="420" w:line="216" w:lineRule="exact"/>
      <w:ind w:hanging="1"/>
      <w:jc w:val="both"/>
    </w:pPr>
    <w:rPr>
      <w:rFonts w:ascii="Arial" w:eastAsia="Arial" w:hAnsi="Arial"/>
      <w:sz w:val="16"/>
      <w:szCs w:val="16"/>
      <w:lang w:val="x-none" w:eastAsia="x-none"/>
    </w:rPr>
  </w:style>
  <w:style w:type="paragraph" w:customStyle="1" w:styleId="Lgendedelimage20">
    <w:name w:val="Légende de l'image (2)"/>
    <w:basedOn w:val="Normal"/>
    <w:link w:val="Lgendedelimage2"/>
    <w:rsid w:val="00AC65D2"/>
    <w:pPr>
      <w:widowControl w:val="0"/>
      <w:shd w:val="clear" w:color="auto" w:fill="FFFFFF"/>
      <w:spacing w:line="0" w:lineRule="atLeast"/>
      <w:ind w:firstLine="29"/>
    </w:pPr>
    <w:rPr>
      <w:rFonts w:ascii="Arial" w:eastAsia="Arial" w:hAnsi="Arial"/>
      <w:sz w:val="13"/>
      <w:szCs w:val="13"/>
      <w:lang w:val="x-none" w:eastAsia="x-none"/>
    </w:rPr>
  </w:style>
  <w:style w:type="paragraph" w:customStyle="1" w:styleId="Lgendedutableau30">
    <w:name w:val="Légende du tableau (3)"/>
    <w:basedOn w:val="Normal"/>
    <w:link w:val="Lgendedutableau3"/>
    <w:rsid w:val="00AC65D2"/>
    <w:pPr>
      <w:widowControl w:val="0"/>
      <w:shd w:val="clear" w:color="auto" w:fill="FFFFFF"/>
      <w:spacing w:line="182" w:lineRule="exact"/>
      <w:jc w:val="center"/>
    </w:pPr>
    <w:rPr>
      <w:rFonts w:ascii="Arial" w:eastAsia="Arial" w:hAnsi="Arial"/>
      <w:sz w:val="11"/>
      <w:szCs w:val="11"/>
      <w:lang w:val="x-none" w:eastAsia="x-none"/>
    </w:rPr>
  </w:style>
  <w:style w:type="character" w:customStyle="1" w:styleId="Corpsdutexte475ptNonGras">
    <w:name w:val="Corps du texte (4) + 7.5 pt;Non Gras"/>
    <w:rsid w:val="00E931CF"/>
    <w:rPr>
      <w:rFonts w:ascii="Arial" w:eastAsia="Arial" w:hAnsi="Arial" w:cs="Arial"/>
      <w:b/>
      <w:bCs/>
      <w:i w:val="0"/>
      <w:iCs w:val="0"/>
      <w:smallCaps w:val="0"/>
      <w:strike w:val="0"/>
      <w:color w:val="000000"/>
      <w:spacing w:val="0"/>
      <w:w w:val="100"/>
      <w:position w:val="0"/>
      <w:sz w:val="15"/>
      <w:szCs w:val="15"/>
      <w:u w:val="none"/>
      <w:lang w:val="fr-FR" w:eastAsia="fr-FR" w:bidi="fr-FR"/>
    </w:rPr>
  </w:style>
  <w:style w:type="character" w:customStyle="1" w:styleId="Corpsdutexte475ptNonGrasEspacement0pt">
    <w:name w:val="Corps du texte (4) + 7.5 pt;Non Gras;Espacement 0 pt"/>
    <w:rsid w:val="00E931CF"/>
    <w:rPr>
      <w:rFonts w:ascii="Arial" w:eastAsia="Arial" w:hAnsi="Arial" w:cs="Arial"/>
      <w:b/>
      <w:bCs/>
      <w:i w:val="0"/>
      <w:iCs w:val="0"/>
      <w:smallCaps w:val="0"/>
      <w:strike w:val="0"/>
      <w:color w:val="000000"/>
      <w:spacing w:val="-10"/>
      <w:w w:val="100"/>
      <w:position w:val="0"/>
      <w:sz w:val="15"/>
      <w:szCs w:val="15"/>
      <w:u w:val="none"/>
      <w:lang w:val="fr-FR" w:eastAsia="fr-FR" w:bidi="fr-FR"/>
    </w:rPr>
  </w:style>
  <w:style w:type="character" w:customStyle="1" w:styleId="Corpsdutexte555ptItalique">
    <w:name w:val="Corps du texte (5) + 5.5 pt;Italique"/>
    <w:rsid w:val="00E931CF"/>
    <w:rPr>
      <w:rFonts w:ascii="Arial" w:eastAsia="Arial" w:hAnsi="Arial" w:cs="Arial"/>
      <w:b w:val="0"/>
      <w:bCs w:val="0"/>
      <w:i/>
      <w:iCs/>
      <w:smallCaps w:val="0"/>
      <w:strike w:val="0"/>
      <w:color w:val="000000"/>
      <w:spacing w:val="0"/>
      <w:w w:val="100"/>
      <w:position w:val="0"/>
      <w:sz w:val="11"/>
      <w:szCs w:val="11"/>
      <w:u w:val="none"/>
      <w:lang w:val="fr-FR" w:eastAsia="fr-FR" w:bidi="fr-FR"/>
    </w:rPr>
  </w:style>
  <w:style w:type="character" w:customStyle="1" w:styleId="En-tte112ptGrasEspacement0pt">
    <w:name w:val="En-tête #1 + 12 pt;Gras;Espacement 0 pt"/>
    <w:rsid w:val="00E931CF"/>
    <w:rPr>
      <w:rFonts w:ascii="Arial" w:eastAsia="Arial" w:hAnsi="Arial" w:cs="Arial"/>
      <w:b/>
      <w:bCs/>
      <w:i w:val="0"/>
      <w:iCs w:val="0"/>
      <w:smallCaps w:val="0"/>
      <w:strike w:val="0"/>
      <w:color w:val="000000"/>
      <w:spacing w:val="0"/>
      <w:w w:val="100"/>
      <w:position w:val="0"/>
      <w:sz w:val="24"/>
      <w:szCs w:val="24"/>
      <w:u w:val="none"/>
      <w:lang w:val="fr-FR" w:eastAsia="fr-FR" w:bidi="fr-FR"/>
    </w:rPr>
  </w:style>
  <w:style w:type="character" w:customStyle="1" w:styleId="En-tte22">
    <w:name w:val="En-tête #2 (2)_"/>
    <w:link w:val="En-tte220"/>
    <w:rsid w:val="00E931CF"/>
    <w:rPr>
      <w:rFonts w:ascii="Arial" w:eastAsia="Arial" w:hAnsi="Arial" w:cs="Arial"/>
      <w:b/>
      <w:bCs/>
      <w:shd w:val="clear" w:color="auto" w:fill="FFFFFF"/>
    </w:rPr>
  </w:style>
  <w:style w:type="character" w:customStyle="1" w:styleId="En-tte2285ptNonGras">
    <w:name w:val="En-tête #2 (2) + 8.5 pt;Non Gras"/>
    <w:rsid w:val="00E931CF"/>
    <w:rPr>
      <w:rFonts w:ascii="Arial" w:eastAsia="Arial" w:hAnsi="Arial" w:cs="Arial"/>
      <w:b w:val="0"/>
      <w:bCs w:val="0"/>
      <w:i w:val="0"/>
      <w:iCs w:val="0"/>
      <w:smallCaps w:val="0"/>
      <w:strike w:val="0"/>
      <w:color w:val="000000"/>
      <w:spacing w:val="0"/>
      <w:w w:val="100"/>
      <w:position w:val="0"/>
      <w:sz w:val="17"/>
      <w:szCs w:val="17"/>
      <w:u w:val="none"/>
      <w:lang w:val="fr-FR" w:eastAsia="fr-FR" w:bidi="fr-FR"/>
    </w:rPr>
  </w:style>
  <w:style w:type="character" w:customStyle="1" w:styleId="Corpsdutexte455ptNonGras">
    <w:name w:val="Corps du texte (4) + 5.5 pt;Non Gras"/>
    <w:rsid w:val="00E931CF"/>
    <w:rPr>
      <w:rFonts w:ascii="Arial" w:eastAsia="Arial" w:hAnsi="Arial" w:cs="Arial"/>
      <w:b/>
      <w:bCs/>
      <w:i w:val="0"/>
      <w:iCs w:val="0"/>
      <w:smallCaps w:val="0"/>
      <w:strike w:val="0"/>
      <w:color w:val="000000"/>
      <w:spacing w:val="0"/>
      <w:w w:val="100"/>
      <w:position w:val="0"/>
      <w:sz w:val="11"/>
      <w:szCs w:val="11"/>
      <w:u w:val="none"/>
      <w:lang w:val="fr-FR" w:eastAsia="fr-FR" w:bidi="fr-FR"/>
    </w:rPr>
  </w:style>
  <w:style w:type="character" w:customStyle="1" w:styleId="Corpsdutexte410ptNonGrasItalique">
    <w:name w:val="Corps du texte (4) + 10 pt;Non Gras;Italique"/>
    <w:rsid w:val="00E931CF"/>
    <w:rPr>
      <w:b/>
      <w:bCs/>
      <w:i/>
      <w:iCs/>
      <w:color w:val="000000"/>
      <w:spacing w:val="0"/>
      <w:w w:val="100"/>
      <w:position w:val="0"/>
      <w:sz w:val="20"/>
      <w:szCs w:val="20"/>
      <w:lang w:val="fr-FR" w:eastAsia="fr-FR" w:bidi="fr-FR"/>
    </w:rPr>
  </w:style>
  <w:style w:type="character" w:customStyle="1" w:styleId="Corpsdutexte45ptNonGrasEspacement0ptchelle150">
    <w:name w:val="Corps du texte (4) + 5 pt;Non Gras;Espacement 0 pt;Échelle 150%"/>
    <w:rsid w:val="00E931CF"/>
    <w:rPr>
      <w:rFonts w:ascii="Arial" w:eastAsia="Arial" w:hAnsi="Arial" w:cs="Arial"/>
      <w:b/>
      <w:bCs/>
      <w:i w:val="0"/>
      <w:iCs w:val="0"/>
      <w:smallCaps w:val="0"/>
      <w:strike w:val="0"/>
      <w:color w:val="000000"/>
      <w:spacing w:val="-10"/>
      <w:w w:val="150"/>
      <w:position w:val="0"/>
      <w:sz w:val="10"/>
      <w:szCs w:val="10"/>
      <w:u w:val="none"/>
      <w:lang w:val="fr-FR" w:eastAsia="fr-FR" w:bidi="fr-FR"/>
    </w:rPr>
  </w:style>
  <w:style w:type="character" w:customStyle="1" w:styleId="Corpsdutexte565ptGras">
    <w:name w:val="Corps du texte (5) + 6.5 pt;Gras"/>
    <w:rsid w:val="00E931CF"/>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En-tteoupieddepage75ptItaliqueEspacement0ptchelle100">
    <w:name w:val="En-tête ou pied de page + 7.5 pt;Italique;Espacement 0 pt;Échelle 100%"/>
    <w:rsid w:val="00E931CF"/>
    <w:rPr>
      <w:rFonts w:ascii="Arial" w:eastAsia="Arial" w:hAnsi="Arial" w:cs="Arial"/>
      <w:b/>
      <w:bCs/>
      <w:i/>
      <w:iCs/>
      <w:smallCaps w:val="0"/>
      <w:strike w:val="0"/>
      <w:color w:val="000000"/>
      <w:spacing w:val="10"/>
      <w:w w:val="100"/>
      <w:position w:val="0"/>
      <w:sz w:val="15"/>
      <w:szCs w:val="15"/>
      <w:u w:val="none"/>
      <w:lang w:val="fr-FR" w:eastAsia="fr-FR" w:bidi="fr-FR"/>
    </w:rPr>
  </w:style>
  <w:style w:type="character" w:customStyle="1" w:styleId="Corpsdutexte565ptGrasItalique">
    <w:name w:val="Corps du texte (5) + 6.5 pt;Gras;Italique"/>
    <w:rsid w:val="00E931CF"/>
    <w:rPr>
      <w:rFonts w:ascii="Arial" w:eastAsia="Arial" w:hAnsi="Arial" w:cs="Arial"/>
      <w:b/>
      <w:bCs/>
      <w:i/>
      <w:iCs/>
      <w:smallCaps w:val="0"/>
      <w:strike w:val="0"/>
      <w:color w:val="000000"/>
      <w:spacing w:val="0"/>
      <w:w w:val="100"/>
      <w:position w:val="0"/>
      <w:sz w:val="13"/>
      <w:szCs w:val="13"/>
      <w:u w:val="none"/>
      <w:lang w:val="fr-FR" w:eastAsia="fr-FR" w:bidi="fr-FR"/>
    </w:rPr>
  </w:style>
  <w:style w:type="character" w:customStyle="1" w:styleId="Corpsdutexte575ptchelle80">
    <w:name w:val="Corps du texte (5) + 7.5 pt;Échelle 80%"/>
    <w:rsid w:val="00E931CF"/>
    <w:rPr>
      <w:rFonts w:ascii="Arial" w:eastAsia="Arial" w:hAnsi="Arial" w:cs="Arial"/>
      <w:b w:val="0"/>
      <w:bCs w:val="0"/>
      <w:i w:val="0"/>
      <w:iCs w:val="0"/>
      <w:smallCaps w:val="0"/>
      <w:strike w:val="0"/>
      <w:color w:val="000000"/>
      <w:spacing w:val="0"/>
      <w:w w:val="80"/>
      <w:position w:val="0"/>
      <w:sz w:val="15"/>
      <w:szCs w:val="15"/>
      <w:u w:val="none"/>
      <w:lang w:val="fr-FR" w:eastAsia="fr-FR" w:bidi="fr-FR"/>
    </w:rPr>
  </w:style>
  <w:style w:type="paragraph" w:customStyle="1" w:styleId="En-tte220">
    <w:name w:val="En-tête #2 (2)"/>
    <w:basedOn w:val="Normal"/>
    <w:link w:val="En-tte22"/>
    <w:rsid w:val="00E931CF"/>
    <w:pPr>
      <w:widowControl w:val="0"/>
      <w:shd w:val="clear" w:color="auto" w:fill="FFFFFF"/>
      <w:spacing w:line="413" w:lineRule="exact"/>
      <w:jc w:val="center"/>
      <w:outlineLvl w:val="1"/>
    </w:pPr>
    <w:rPr>
      <w:rFonts w:ascii="Arial" w:eastAsia="Arial" w:hAnsi="Arial"/>
      <w:b/>
      <w:bCs/>
      <w:sz w:val="20"/>
      <w:lang w:val="x-none" w:eastAsia="x-none"/>
    </w:rPr>
  </w:style>
  <w:style w:type="character" w:customStyle="1" w:styleId="En-tteoupieddepageItalique">
    <w:name w:val="En-tête ou pied de page + Italique"/>
    <w:rsid w:val="00E5290A"/>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4Italiquechelle100">
    <w:name w:val="Corps du texte (4) + Italique;Échelle 100%"/>
    <w:rsid w:val="00E5290A"/>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44ptchelle100">
    <w:name w:val="Corps du texte (4) + 4 pt;Échelle 100%"/>
    <w:rsid w:val="00E5290A"/>
    <w:rPr>
      <w:rFonts w:ascii="Arial" w:eastAsia="Arial" w:hAnsi="Arial" w:cs="Arial"/>
      <w:b w:val="0"/>
      <w:bCs w:val="0"/>
      <w:i w:val="0"/>
      <w:iCs w:val="0"/>
      <w:smallCaps w:val="0"/>
      <w:strike w:val="0"/>
      <w:color w:val="000000"/>
      <w:spacing w:val="0"/>
      <w:w w:val="100"/>
      <w:position w:val="0"/>
      <w:sz w:val="8"/>
      <w:szCs w:val="8"/>
      <w:u w:val="none"/>
      <w:lang w:val="fr-FR" w:eastAsia="fr-FR" w:bidi="fr-FR"/>
    </w:rPr>
  </w:style>
  <w:style w:type="character" w:customStyle="1" w:styleId="En-tteoupieddepage4pt">
    <w:name w:val="En-tête ou pied de page + 4 pt"/>
    <w:rsid w:val="00E5290A"/>
    <w:rPr>
      <w:rFonts w:ascii="Arial" w:eastAsia="Arial" w:hAnsi="Arial" w:cs="Arial"/>
      <w:b w:val="0"/>
      <w:bCs w:val="0"/>
      <w:i w:val="0"/>
      <w:iCs w:val="0"/>
      <w:smallCaps w:val="0"/>
      <w:strike w:val="0"/>
      <w:color w:val="000000"/>
      <w:spacing w:val="0"/>
      <w:w w:val="100"/>
      <w:position w:val="0"/>
      <w:sz w:val="8"/>
      <w:szCs w:val="8"/>
      <w:u w:val="none"/>
      <w:lang w:val="fr-FR" w:eastAsia="fr-FR" w:bidi="fr-FR"/>
    </w:rPr>
  </w:style>
  <w:style w:type="character" w:customStyle="1" w:styleId="En-tteoupieddepage65pt">
    <w:name w:val="En-tête ou pied de page + 6.5 pt"/>
    <w:rsid w:val="00E5290A"/>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Corpsdutexte2TimesNewRoman85ptGras">
    <w:name w:val="Corps du texte (2) + Times New Roman;8.5 pt;Gras"/>
    <w:rsid w:val="00E5290A"/>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9NonGrasItaliquechelle100">
    <w:name w:val="Corps du texte (9) + Non Gras;Italique;Échelle 100%"/>
    <w:rsid w:val="00E5290A"/>
    <w:rPr>
      <w:rFonts w:ascii="Arial" w:eastAsia="Arial" w:hAnsi="Arial" w:cs="Arial"/>
      <w:b/>
      <w:bCs/>
      <w:i/>
      <w:iCs/>
      <w:smallCaps w:val="0"/>
      <w:strike w:val="0"/>
      <w:color w:val="000000"/>
      <w:spacing w:val="0"/>
      <w:w w:val="100"/>
      <w:position w:val="0"/>
      <w:sz w:val="16"/>
      <w:szCs w:val="16"/>
      <w:u w:val="none"/>
      <w:lang w:val="fr-FR" w:eastAsia="fr-FR" w:bidi="fr-FR"/>
    </w:rPr>
  </w:style>
  <w:style w:type="character" w:customStyle="1" w:styleId="Lgendedelimage2Exact">
    <w:name w:val="Légende de l'image (2) Exact"/>
    <w:rsid w:val="00E5290A"/>
    <w:rPr>
      <w:rFonts w:ascii="Arial" w:eastAsia="Arial" w:hAnsi="Arial" w:cs="Arial"/>
      <w:b/>
      <w:bCs/>
      <w:i w:val="0"/>
      <w:iCs w:val="0"/>
      <w:smallCaps w:val="0"/>
      <w:strike w:val="0"/>
      <w:sz w:val="16"/>
      <w:szCs w:val="16"/>
      <w:u w:val="none"/>
    </w:rPr>
  </w:style>
  <w:style w:type="character" w:customStyle="1" w:styleId="Corpsdutexte4Italiquechelle100Exact">
    <w:name w:val="Corps du texte (4) + Italique;Échelle 100% Exact"/>
    <w:rsid w:val="00E5290A"/>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Lgendedelimage3Exact">
    <w:name w:val="Légende de l'image (3) Exact"/>
    <w:link w:val="Lgendedelimage3"/>
    <w:rsid w:val="00E5290A"/>
    <w:rPr>
      <w:rFonts w:ascii="Arial" w:eastAsia="Arial" w:hAnsi="Arial" w:cs="Arial"/>
      <w:b/>
      <w:bCs/>
      <w:sz w:val="13"/>
      <w:szCs w:val="13"/>
      <w:shd w:val="clear" w:color="auto" w:fill="FFFFFF"/>
    </w:rPr>
  </w:style>
  <w:style w:type="character" w:customStyle="1" w:styleId="Lgendedelimage4Exact">
    <w:name w:val="Légende de l'image (4) Exact"/>
    <w:link w:val="Lgendedelimage4"/>
    <w:rsid w:val="00E5290A"/>
    <w:rPr>
      <w:rFonts w:ascii="Arial" w:eastAsia="Arial" w:hAnsi="Arial" w:cs="Arial"/>
      <w:b/>
      <w:bCs/>
      <w:sz w:val="11"/>
      <w:szCs w:val="11"/>
      <w:shd w:val="clear" w:color="auto" w:fill="FFFFFF"/>
    </w:rPr>
  </w:style>
  <w:style w:type="character" w:customStyle="1" w:styleId="Corpsdutexte105ptNonGraschelle150">
    <w:name w:val="Corps du texte (10) + 5 pt;Non Gras;Échelle 150%"/>
    <w:rsid w:val="00E5290A"/>
    <w:rPr>
      <w:rFonts w:ascii="Arial" w:eastAsia="Arial" w:hAnsi="Arial" w:cs="Arial"/>
      <w:b/>
      <w:bCs/>
      <w:i w:val="0"/>
      <w:iCs w:val="0"/>
      <w:smallCaps w:val="0"/>
      <w:strike w:val="0"/>
      <w:color w:val="000000"/>
      <w:spacing w:val="0"/>
      <w:w w:val="150"/>
      <w:position w:val="0"/>
      <w:sz w:val="10"/>
      <w:szCs w:val="10"/>
      <w:u w:val="none"/>
      <w:lang w:val="fr-FR" w:eastAsia="fr-FR" w:bidi="fr-FR"/>
    </w:rPr>
  </w:style>
  <w:style w:type="character" w:customStyle="1" w:styleId="Lgendedelimage25ptItalique">
    <w:name w:val="Légende de l'image (2) + 5 pt;Italique"/>
    <w:rsid w:val="00E5290A"/>
    <w:rPr>
      <w:rFonts w:ascii="Arial" w:eastAsia="Arial" w:hAnsi="Arial" w:cs="Arial"/>
      <w:b/>
      <w:bCs/>
      <w:i/>
      <w:iCs/>
      <w:smallCaps w:val="0"/>
      <w:strike w:val="0"/>
      <w:color w:val="000000"/>
      <w:spacing w:val="0"/>
      <w:w w:val="100"/>
      <w:position w:val="0"/>
      <w:sz w:val="10"/>
      <w:szCs w:val="10"/>
      <w:u w:val="none"/>
      <w:lang w:val="fr-FR" w:eastAsia="fr-FR" w:bidi="fr-FR"/>
    </w:rPr>
  </w:style>
  <w:style w:type="character" w:customStyle="1" w:styleId="Lgendedelimage27ptItalique">
    <w:name w:val="Légende de l'image (2) + 7 pt;Italique"/>
    <w:rsid w:val="00E5290A"/>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27ptGrasItalique">
    <w:name w:val="Corps du texte (2) + 7 pt;Gras;Italique"/>
    <w:rsid w:val="00E5290A"/>
    <w:rPr>
      <w:rFonts w:ascii="Arial" w:eastAsia="Arial" w:hAnsi="Arial" w:cs="Arial"/>
      <w:b/>
      <w:bCs/>
      <w:i/>
      <w:iCs/>
      <w:smallCaps w:val="0"/>
      <w:strike w:val="0"/>
      <w:color w:val="000000"/>
      <w:spacing w:val="0"/>
      <w:w w:val="100"/>
      <w:position w:val="0"/>
      <w:sz w:val="14"/>
      <w:szCs w:val="14"/>
      <w:u w:val="none"/>
      <w:lang w:val="fr-FR" w:eastAsia="fr-FR" w:bidi="fr-FR"/>
    </w:rPr>
  </w:style>
  <w:style w:type="character" w:customStyle="1" w:styleId="En-tteoupieddepagechelle80">
    <w:name w:val="En-tête ou pied de page + Échelle 80%"/>
    <w:rsid w:val="00E5290A"/>
    <w:rPr>
      <w:rFonts w:ascii="Arial" w:eastAsia="Arial" w:hAnsi="Arial" w:cs="Arial"/>
      <w:b w:val="0"/>
      <w:bCs w:val="0"/>
      <w:i w:val="0"/>
      <w:iCs w:val="0"/>
      <w:smallCaps w:val="0"/>
      <w:strike w:val="0"/>
      <w:color w:val="000000"/>
      <w:spacing w:val="0"/>
      <w:w w:val="80"/>
      <w:position w:val="0"/>
      <w:sz w:val="14"/>
      <w:szCs w:val="14"/>
      <w:u w:val="none"/>
      <w:lang w:val="fr-FR" w:eastAsia="fr-FR" w:bidi="fr-FR"/>
    </w:rPr>
  </w:style>
  <w:style w:type="character" w:customStyle="1" w:styleId="Corpsdutexte465ptchelle100">
    <w:name w:val="Corps du texte (4) + 6.5 pt;Échelle 100%"/>
    <w:rsid w:val="00E5290A"/>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Corpsdutexte7TimesNewRoman85ptGrasNonItalique">
    <w:name w:val="Corps du texte (7) + Times New Roman;8.5 pt;Gras;Non Italique"/>
    <w:rsid w:val="00E5290A"/>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77ptGrasEspacement0pt">
    <w:name w:val="Corps du texte (7) + 7 pt;Gras;Espacement 0 pt"/>
    <w:rsid w:val="00E5290A"/>
    <w:rPr>
      <w:rFonts w:ascii="Arial" w:eastAsia="Arial" w:hAnsi="Arial" w:cs="Arial"/>
      <w:b/>
      <w:bCs/>
      <w:i/>
      <w:iCs/>
      <w:smallCaps w:val="0"/>
      <w:strike w:val="0"/>
      <w:color w:val="000000"/>
      <w:spacing w:val="-10"/>
      <w:w w:val="100"/>
      <w:position w:val="0"/>
      <w:sz w:val="14"/>
      <w:szCs w:val="14"/>
      <w:u w:val="none"/>
      <w:lang w:val="fr-FR" w:eastAsia="fr-FR" w:bidi="fr-FR"/>
    </w:rPr>
  </w:style>
  <w:style w:type="character" w:customStyle="1" w:styleId="Corpsdutexte48ptGraschelle75">
    <w:name w:val="Corps du texte (4) + 8 pt;Gras;Échelle 75%"/>
    <w:rsid w:val="00E5290A"/>
    <w:rPr>
      <w:rFonts w:ascii="Arial" w:eastAsia="Arial" w:hAnsi="Arial" w:cs="Arial"/>
      <w:b/>
      <w:bCs/>
      <w:i w:val="0"/>
      <w:iCs w:val="0"/>
      <w:smallCaps w:val="0"/>
      <w:strike w:val="0"/>
      <w:color w:val="000000"/>
      <w:spacing w:val="0"/>
      <w:w w:val="75"/>
      <w:position w:val="0"/>
      <w:sz w:val="16"/>
      <w:szCs w:val="16"/>
      <w:u w:val="none"/>
      <w:lang w:val="fr-FR" w:eastAsia="fr-FR" w:bidi="fr-FR"/>
    </w:rPr>
  </w:style>
  <w:style w:type="paragraph" w:customStyle="1" w:styleId="Lgendedelimage3">
    <w:name w:val="Légende de l'image (3)"/>
    <w:basedOn w:val="Normal"/>
    <w:link w:val="Lgendedelimage3Exact"/>
    <w:rsid w:val="00E5290A"/>
    <w:pPr>
      <w:widowControl w:val="0"/>
      <w:shd w:val="clear" w:color="auto" w:fill="FFFFFF"/>
      <w:spacing w:line="163" w:lineRule="exact"/>
      <w:jc w:val="center"/>
    </w:pPr>
    <w:rPr>
      <w:rFonts w:ascii="Arial" w:eastAsia="Arial" w:hAnsi="Arial"/>
      <w:b/>
      <w:bCs/>
      <w:sz w:val="13"/>
      <w:szCs w:val="13"/>
      <w:lang w:val="x-none" w:eastAsia="x-none"/>
    </w:rPr>
  </w:style>
  <w:style w:type="paragraph" w:customStyle="1" w:styleId="Lgendedelimage4">
    <w:name w:val="Légende de l'image (4)"/>
    <w:basedOn w:val="Normal"/>
    <w:link w:val="Lgendedelimage4Exact"/>
    <w:rsid w:val="00E5290A"/>
    <w:pPr>
      <w:widowControl w:val="0"/>
      <w:shd w:val="clear" w:color="auto" w:fill="FFFFFF"/>
      <w:spacing w:line="149" w:lineRule="exact"/>
      <w:jc w:val="center"/>
    </w:pPr>
    <w:rPr>
      <w:rFonts w:ascii="Arial" w:eastAsia="Arial" w:hAnsi="Arial"/>
      <w:b/>
      <w:bCs/>
      <w:sz w:val="11"/>
      <w:szCs w:val="11"/>
      <w:lang w:val="x-none" w:eastAsia="x-none"/>
    </w:rPr>
  </w:style>
  <w:style w:type="paragraph" w:customStyle="1" w:styleId="figst">
    <w:name w:val="fig_st"/>
    <w:basedOn w:val="fig"/>
    <w:rsid w:val="00375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www.cjb.ma/268-les-archives/275-archives-news/a-propos-du-livre-de-b-talidi-les-islamistes-et-le-printemps-arabe-ascension-defis-et-gestion-du-pouvoir-1753.html" TargetMode="External"/><Relationship Id="rId21" Type="http://schemas.openxmlformats.org/officeDocument/2006/relationships/image" Target="media/image6.jpeg"/><Relationship Id="rId42" Type="http://schemas.openxmlformats.org/officeDocument/2006/relationships/hyperlink" Target="http://edant.clarin.c0m/diari0/2003/10/28/p-01201.htm" TargetMode="External"/><Relationship Id="rId47" Type="http://schemas.openxmlformats.org/officeDocument/2006/relationships/image" Target="media/image9.jpeg"/><Relationship Id="rId63" Type="http://schemas.openxmlformats.org/officeDocument/2006/relationships/hyperlink" Target="http://stats.oecd.org/lndex.aspx?DatasetCode=ALFS_SUMTAB" TargetMode="External"/><Relationship Id="rId68" Type="http://schemas.openxmlformats.org/officeDocument/2006/relationships/hyperlink" Target="http://dx.doi.org/doi:10.1522/cla.due.for2" TargetMode="External"/><Relationship Id="rId2" Type="http://schemas.openxmlformats.org/officeDocument/2006/relationships/styles" Target="styles.xml"/><Relationship Id="rId16" Type="http://schemas.openxmlformats.org/officeDocument/2006/relationships/hyperlink" Target="mailto:marguerite.souliere@uOttawa.ca" TargetMode="External"/><Relationship Id="rId29" Type="http://schemas.openxmlformats.org/officeDocument/2006/relationships/hyperlink" Target="http://perspective.usherbrooke.ca/" TargetMode="External"/><Relationship Id="rId11" Type="http://schemas.openxmlformats.org/officeDocument/2006/relationships/hyperlink" Target="http://bibliotheque.uqac.ca/" TargetMode="External"/><Relationship Id="rId24" Type="http://schemas.openxmlformats.org/officeDocument/2006/relationships/hyperlink" Target="http://www.ceri-sciences-po.org" TargetMode="External"/><Relationship Id="rId32" Type="http://schemas.openxmlformats.org/officeDocument/2006/relationships/hyperlink" Target="http://afe.easia.columbia.edu/at/jp_bureau/govtjb13.html" TargetMode="External"/><Relationship Id="rId37" Type="http://schemas.openxmlformats.org/officeDocument/2006/relationships/hyperlink" Target="http://www.theguardian.com/culture/2012/sep/21/nuruddin-salah-life-in-writing" TargetMode="External"/><Relationship Id="rId40" Type="http://schemas.openxmlformats.org/officeDocument/2006/relationships/hyperlink" Target="http://hdr.undp.org/en/reports/national/africa/somalia/Somalia%20Report%202012.pdf" TargetMode="External"/><Relationship Id="rId45" Type="http://schemas.openxmlformats.org/officeDocument/2006/relationships/hyperlink" Target="http://redalyc.uaemex.mx/pdf/308/30813328002.pdf" TargetMode="External"/><Relationship Id="rId53" Type="http://schemas.openxmlformats.org/officeDocument/2006/relationships/hyperlink" Target="http://topincomes.g-mond.parisschoolofeconomics.eu" TargetMode="External"/><Relationship Id="rId58" Type="http://schemas.openxmlformats.org/officeDocument/2006/relationships/hyperlink" Target="http://www.laviedesidees.fr/lnegalites-une-crise-pour-rien.html" TargetMode="External"/><Relationship Id="rId66" Type="http://schemas.openxmlformats.org/officeDocument/2006/relationships/hyperlink" Target="http://www.quebecsolidaire.net/le-parti/a-propos/"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oecd.org/fr/els/politiquesetdonneessociales/49177707.pdf" TargetMode="External"/><Relationship Id="rId19" Type="http://schemas.openxmlformats.org/officeDocument/2006/relationships/image" Target="media/image4.png"/><Relationship Id="rId14" Type="http://schemas.openxmlformats.org/officeDocument/2006/relationships/hyperlink" Target="http://classiques.uqac.ca/inter/benevoles_equipe/liste_toussaint_rejeanne.html" TargetMode="External"/><Relationship Id="rId22" Type="http://schemas.openxmlformats.org/officeDocument/2006/relationships/hyperlink" Target="mailto:marguerite.souliere@uOttawa.ca" TargetMode="External"/><Relationship Id="rId27" Type="http://schemas.openxmlformats.org/officeDocument/2006/relationships/hyperlink" Target="http://www.arab-reform.net/morocco-towards-cohabitation-between-king-and-islamists" TargetMode="External"/><Relationship Id="rId30" Type="http://schemas.openxmlformats.org/officeDocument/2006/relationships/hyperlink" Target="http://blogs.scientificamerican.com/observations/2011/02/01/are-high-food-prices-fueling-revolution-in-egypt/" TargetMode="External"/><Relationship Id="rId35" Type="http://schemas.openxmlformats.org/officeDocument/2006/relationships/hyperlink" Target="http://ffp.statesindex.org/rankings" TargetMode="External"/><Relationship Id="rId43" Type="http://schemas.openxmlformats.org/officeDocument/2006/relationships/hyperlink" Target="http://www.lanacion.com.ar/553552-kirchner-endurecio-su-postura-con-los-piqueteros" TargetMode="External"/><Relationship Id="rId48" Type="http://schemas.openxmlformats.org/officeDocument/2006/relationships/image" Target="media/image10.jpeg"/><Relationship Id="rId56" Type="http://schemas.openxmlformats.org/officeDocument/2006/relationships/hyperlink" Target="http://www.asse-solidarite.qc.ca/documents/fr/femmes" TargetMode="External"/><Relationship Id="rId64" Type="http://schemas.openxmlformats.org/officeDocument/2006/relationships/hyperlink" Target="http://www.oecd-ilibrary.org/economics/country-statistical-profiles-key-tables-from-oecd_20752288" TargetMode="External"/><Relationship Id="rId69" Type="http://schemas.openxmlformats.org/officeDocument/2006/relationships/hyperlink" Target="http://www.monde-diplomatique.fr/2012/07/GAYON/47951" TargetMode="External"/><Relationship Id="rId8" Type="http://schemas.openxmlformats.org/officeDocument/2006/relationships/image" Target="media/image1.jpeg"/><Relationship Id="rId51" Type="http://schemas.openxmlformats.org/officeDocument/2006/relationships/image" Target="media/image13.jpeg"/><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mailto:rtoussaint@aei.ca" TargetMode="External"/><Relationship Id="rId17" Type="http://schemas.openxmlformats.org/officeDocument/2006/relationships/hyperlink" Target="mailto:Andre.Tremblay@uottawa.ca" TargetMode="External"/><Relationship Id="rId25" Type="http://schemas.openxmlformats.org/officeDocument/2006/relationships/hyperlink" Target="http://dx.doi.org/doi:10.1522/030145289" TargetMode="External"/><Relationship Id="rId33" Type="http://schemas.openxmlformats.org/officeDocument/2006/relationships/hyperlink" Target="http://news.bbc.co.Uk/2/hi/africa/7802622.stm" TargetMode="External"/><Relationship Id="rId38" Type="http://schemas.openxmlformats.org/officeDocument/2006/relationships/hyperlink" Target="http://www.sswc-som.com/index.php?page=accomlishments" TargetMode="External"/><Relationship Id="rId46" Type="http://schemas.openxmlformats.org/officeDocument/2006/relationships/image" Target="media/image8.jpeg"/><Relationship Id="rId59" Type="http://schemas.openxmlformats.org/officeDocument/2006/relationships/hyperlink" Target="http://www.inspq.qc.ca/pdf/publicati0ns/1603_M0rtaliteSuicideQc_1981A2010_MAJ201" TargetMode="External"/><Relationship Id="rId67" Type="http://schemas.openxmlformats.org/officeDocument/2006/relationships/hyperlink" Target="http://www.asse-solidarite.qc.ca/documents/fr/recherches_analyses/" TargetMode="External"/><Relationship Id="rId20" Type="http://schemas.openxmlformats.org/officeDocument/2006/relationships/image" Target="media/image5.jpeg"/><Relationship Id="rId41" Type="http://schemas.openxmlformats.org/officeDocument/2006/relationships/hyperlink" Target="http://redalyc.uaemex.mx/pdf/308/30813328002.pdf" TargetMode="External"/><Relationship Id="rId54" Type="http://schemas.openxmlformats.org/officeDocument/2006/relationships/hyperlink" Target="http://www.chairs-chaires.gc.ca/program-programme/strategic_research_plan-plan_recherche_strategique-fra.aspx" TargetMode="External"/><Relationship Id="rId62" Type="http://schemas.openxmlformats.org/officeDocument/2006/relationships/hyperlink" Target="http://dx.doi.org/10.1787/9789264119550-fr" TargetMode="External"/><Relationship Id="rId70" Type="http://schemas.openxmlformats.org/officeDocument/2006/relationships/hyperlink" Target="http://classiques.uqac.ca/classiques/simiand_francois/fluctuations_eco_crise_mondiale/fluctuations.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7.jpeg"/><Relationship Id="rId28" Type="http://schemas.openxmlformats.org/officeDocument/2006/relationships/hyperlink" Target="http://www.yassine.net/ar/document/663.shtml" TargetMode="External"/><Relationship Id="rId36" Type="http://schemas.openxmlformats.org/officeDocument/2006/relationships/hyperlink" Target="http://www.hrw.org/sites/default/files/reports/somalia0214_ForUpload.pdf" TargetMode="External"/><Relationship Id="rId49" Type="http://schemas.openxmlformats.org/officeDocument/2006/relationships/image" Target="media/image11.jpeg"/><Relationship Id="rId57" Type="http://schemas.openxmlformats.org/officeDocument/2006/relationships/hyperlink" Target="http://www.mediarabe.info/spip.php7article741" TargetMode="External"/><Relationship Id="rId10" Type="http://schemas.openxmlformats.org/officeDocument/2006/relationships/image" Target="media/image2.jpeg"/><Relationship Id="rId31" Type="http://schemas.openxmlformats.org/officeDocument/2006/relationships/hyperlink" Target="http://www.japanesestudies.org.uk/discussionpapers/Chapple.html" TargetMode="External"/><Relationship Id="rId44" Type="http://schemas.openxmlformats.org/officeDocument/2006/relationships/hyperlink" Target="http://www.scielo.cl/scielo.php&#160;?pid=So7i8-656820iioooioooi4&amp;script=sci_arttext" TargetMode="External"/><Relationship Id="rId52" Type="http://schemas.openxmlformats.org/officeDocument/2006/relationships/image" Target="media/image14.jpeg"/><Relationship Id="rId60" Type="http://schemas.openxmlformats.org/officeDocument/2006/relationships/hyperlink" Target="http://masetto" TargetMode="External"/><Relationship Id="rId65" Type="http://schemas.openxmlformats.org/officeDocument/2006/relationships/hyperlink" Target="http://www.who.int/whosis/mort/download/en/index.html"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3" Type="http://schemas.openxmlformats.org/officeDocument/2006/relationships/hyperlink" Target="http://classiques.uqac.ca/inter/benevoles_equipe/liste_toussaint_rejeanne.html" TargetMode="External"/><Relationship Id="rId18" Type="http://schemas.openxmlformats.org/officeDocument/2006/relationships/hyperlink" Target="mailto:marie-claude.haince@umontreal.ca" TargetMode="External"/><Relationship Id="rId39" Type="http://schemas.openxmlformats.org/officeDocument/2006/relationships/hyperlink" Target="http://www.unicef.org/media/files/FGCM_Lo_res.pdf" TargetMode="External"/><Relationship Id="rId34" Type="http://schemas.openxmlformats.org/officeDocument/2006/relationships/hyperlink" Target="http://www.bbc.co.uk/news/world-africa-17116237" TargetMode="External"/><Relationship Id="rId50" Type="http://schemas.openxmlformats.org/officeDocument/2006/relationships/image" Target="media/image12.jpeg"/><Relationship Id="rId55" Type="http://schemas.openxmlformats.org/officeDocument/2006/relationships/hyperlink" Target="http://www.asse-solidarite.qc.ca/documents/fr/instances/CLASSE/Cahiers/" TargetMode="External"/><Relationship Id="rId7" Type="http://schemas.openxmlformats.org/officeDocument/2006/relationships/hyperlink" Target="http://classiques.uqac.ca/" TargetMode="External"/><Relationship Id="rId71" Type="http://schemas.openxmlformats.org/officeDocument/2006/relationships/hyperlink" Target="http://classiques.uqac.ca/contemporains/ACSALF/colloque_ACSALF_1982/Enjeux_soc_decroissance.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cologitheque.com/itwaries.html" TargetMode="External"/><Relationship Id="rId3" Type="http://schemas.openxmlformats.org/officeDocument/2006/relationships/hyperlink" Target="http://ecolemontagnerouge.com/" TargetMode="External"/><Relationship Id="rId7" Type="http://schemas.openxmlformats.org/officeDocument/2006/relationships/hyperlink" Target="http://www.decroissance.qc.ca/manifeste" TargetMode="External"/><Relationship Id="rId2" Type="http://schemas.openxmlformats.org/officeDocument/2006/relationships/hyperlink" Target="http://www.pm.gc.ca/fra/nouvelles/2012/10/13/declaration-du-premier-ministre-du-canada-au-i4e-sommet-de-la-francophonie#sthash.fs5Tiilg.dpuf" TargetMode="External"/><Relationship Id="rId1" Type="http://schemas.openxmlformats.org/officeDocument/2006/relationships/hyperlink" Target="http://www.sswc-som.com/index.php?page=accomplishments" TargetMode="External"/><Relationship Id="rId6" Type="http://schemas.openxmlformats.org/officeDocument/2006/relationships/hyperlink" Target="http://www.chaos-international.org/" TargetMode="External"/><Relationship Id="rId5" Type="http://schemas.openxmlformats.org/officeDocument/2006/relationships/hyperlink" Target="http://www.bankofengland.co.uk/publications/Documents/speeches/2011/speech533.pdf" TargetMode="External"/><Relationship Id="rId4" Type="http://schemas.openxmlformats.org/officeDocument/2006/relationships/hyperlink" Target="http://www.nobelprize.org/nobel_prizes/economic-sciences/laureates/20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92809</Words>
  <Characters>510454</Characters>
  <Application>Microsoft Office Word</Application>
  <DocSecurity>0</DocSecurity>
  <Lines>4253</Lines>
  <Paragraphs>1204</Paragraphs>
  <ScaleCrop>false</ScaleCrop>
  <HeadingPairs>
    <vt:vector size="2" baseType="variant">
      <vt:variant>
        <vt:lpstr>Title</vt:lpstr>
      </vt:variant>
      <vt:variant>
        <vt:i4>1</vt:i4>
      </vt:variant>
    </vt:vector>
  </HeadingPairs>
  <TitlesOfParts>
    <vt:vector size="1" baseType="lpstr">
      <vt:lpstr>Crise et mise en crise.</vt:lpstr>
    </vt:vector>
  </TitlesOfParts>
  <Manager>Réjeanne Toussaint, bénévole, 2020</Manager>
  <Company>Les Classiques des sciences sociales</Company>
  <LinksUpToDate>false</LinksUpToDate>
  <CharactersWithSpaces>602059</CharactersWithSpaces>
  <SharedDoc>false</SharedDoc>
  <HyperlinkBase/>
  <HLinks>
    <vt:vector size="690" baseType="variant">
      <vt:variant>
        <vt:i4>6553625</vt:i4>
      </vt:variant>
      <vt:variant>
        <vt:i4>240</vt:i4>
      </vt:variant>
      <vt:variant>
        <vt:i4>0</vt:i4>
      </vt:variant>
      <vt:variant>
        <vt:i4>5</vt:i4>
      </vt:variant>
      <vt:variant>
        <vt:lpwstr/>
      </vt:variant>
      <vt:variant>
        <vt:lpwstr>tdm</vt:lpwstr>
      </vt:variant>
      <vt:variant>
        <vt:i4>2555944</vt:i4>
      </vt:variant>
      <vt:variant>
        <vt:i4>237</vt:i4>
      </vt:variant>
      <vt:variant>
        <vt:i4>0</vt:i4>
      </vt:variant>
      <vt:variant>
        <vt:i4>5</vt:i4>
      </vt:variant>
      <vt:variant>
        <vt:lpwstr>http://classiques.uqac.ca/contemporains/ACSALF/colloque_ACSALF_1982/Enjeux_soc_decroissance.html</vt:lpwstr>
      </vt:variant>
      <vt:variant>
        <vt:lpwstr/>
      </vt:variant>
      <vt:variant>
        <vt:i4>6553625</vt:i4>
      </vt:variant>
      <vt:variant>
        <vt:i4>234</vt:i4>
      </vt:variant>
      <vt:variant>
        <vt:i4>0</vt:i4>
      </vt:variant>
      <vt:variant>
        <vt:i4>5</vt:i4>
      </vt:variant>
      <vt:variant>
        <vt:lpwstr/>
      </vt:variant>
      <vt:variant>
        <vt:lpwstr>tdm</vt:lpwstr>
      </vt:variant>
      <vt:variant>
        <vt:i4>4063325</vt:i4>
      </vt:variant>
      <vt:variant>
        <vt:i4>231</vt:i4>
      </vt:variant>
      <vt:variant>
        <vt:i4>0</vt:i4>
      </vt:variant>
      <vt:variant>
        <vt:i4>5</vt:i4>
      </vt:variant>
      <vt:variant>
        <vt:lpwstr>http://classiques.uqac.ca/classiques/simiand_francois/fluctuations_eco_crise_mondiale/fluctuations.html</vt:lpwstr>
      </vt:variant>
      <vt:variant>
        <vt:lpwstr/>
      </vt:variant>
      <vt:variant>
        <vt:i4>4194313</vt:i4>
      </vt:variant>
      <vt:variant>
        <vt:i4>228</vt:i4>
      </vt:variant>
      <vt:variant>
        <vt:i4>0</vt:i4>
      </vt:variant>
      <vt:variant>
        <vt:i4>5</vt:i4>
      </vt:variant>
      <vt:variant>
        <vt:lpwstr>http://www.monde-diplomatique.fr/2012/07/GAYON/47951</vt:lpwstr>
      </vt:variant>
      <vt:variant>
        <vt:lpwstr/>
      </vt:variant>
      <vt:variant>
        <vt:i4>7340150</vt:i4>
      </vt:variant>
      <vt:variant>
        <vt:i4>225</vt:i4>
      </vt:variant>
      <vt:variant>
        <vt:i4>0</vt:i4>
      </vt:variant>
      <vt:variant>
        <vt:i4>5</vt:i4>
      </vt:variant>
      <vt:variant>
        <vt:lpwstr>http://dx.doi.org/doi:10.1522/cla.due.for2</vt:lpwstr>
      </vt:variant>
      <vt:variant>
        <vt:lpwstr/>
      </vt:variant>
      <vt:variant>
        <vt:i4>6553625</vt:i4>
      </vt:variant>
      <vt:variant>
        <vt:i4>222</vt:i4>
      </vt:variant>
      <vt:variant>
        <vt:i4>0</vt:i4>
      </vt:variant>
      <vt:variant>
        <vt:i4>5</vt:i4>
      </vt:variant>
      <vt:variant>
        <vt:lpwstr/>
      </vt:variant>
      <vt:variant>
        <vt:lpwstr>tdm</vt:lpwstr>
      </vt:variant>
      <vt:variant>
        <vt:i4>2621507</vt:i4>
      </vt:variant>
      <vt:variant>
        <vt:i4>219</vt:i4>
      </vt:variant>
      <vt:variant>
        <vt:i4>0</vt:i4>
      </vt:variant>
      <vt:variant>
        <vt:i4>5</vt:i4>
      </vt:variant>
      <vt:variant>
        <vt:lpwstr>http://www.asse-solidarite.qc.ca/documents/fr/recherches_analyses/</vt:lpwstr>
      </vt:variant>
      <vt:variant>
        <vt:lpwstr/>
      </vt:variant>
      <vt:variant>
        <vt:i4>1048677</vt:i4>
      </vt:variant>
      <vt:variant>
        <vt:i4>216</vt:i4>
      </vt:variant>
      <vt:variant>
        <vt:i4>0</vt:i4>
      </vt:variant>
      <vt:variant>
        <vt:i4>5</vt:i4>
      </vt:variant>
      <vt:variant>
        <vt:lpwstr>http://www.quebecsolidaire.net/le-parti/a-propos/</vt:lpwstr>
      </vt:variant>
      <vt:variant>
        <vt:lpwstr/>
      </vt:variant>
      <vt:variant>
        <vt:i4>4456562</vt:i4>
      </vt:variant>
      <vt:variant>
        <vt:i4>213</vt:i4>
      </vt:variant>
      <vt:variant>
        <vt:i4>0</vt:i4>
      </vt:variant>
      <vt:variant>
        <vt:i4>5</vt:i4>
      </vt:variant>
      <vt:variant>
        <vt:lpwstr>http://www.who.int/whosis/mort/download/en/index.html</vt:lpwstr>
      </vt:variant>
      <vt:variant>
        <vt:lpwstr/>
      </vt:variant>
      <vt:variant>
        <vt:i4>5373954</vt:i4>
      </vt:variant>
      <vt:variant>
        <vt:i4>210</vt:i4>
      </vt:variant>
      <vt:variant>
        <vt:i4>0</vt:i4>
      </vt:variant>
      <vt:variant>
        <vt:i4>5</vt:i4>
      </vt:variant>
      <vt:variant>
        <vt:lpwstr>http://www.oecd-ilibrary.org/economics/country-statistical-profiles-key-tables-from-oecd_20752288</vt:lpwstr>
      </vt:variant>
      <vt:variant>
        <vt:lpwstr/>
      </vt:variant>
      <vt:variant>
        <vt:i4>3997775</vt:i4>
      </vt:variant>
      <vt:variant>
        <vt:i4>207</vt:i4>
      </vt:variant>
      <vt:variant>
        <vt:i4>0</vt:i4>
      </vt:variant>
      <vt:variant>
        <vt:i4>5</vt:i4>
      </vt:variant>
      <vt:variant>
        <vt:lpwstr>http://stats.oecd.org/lndex.aspx?DatasetCode=ALFS_SUMTAB</vt:lpwstr>
      </vt:variant>
      <vt:variant>
        <vt:lpwstr/>
      </vt:variant>
      <vt:variant>
        <vt:i4>3211326</vt:i4>
      </vt:variant>
      <vt:variant>
        <vt:i4>204</vt:i4>
      </vt:variant>
      <vt:variant>
        <vt:i4>0</vt:i4>
      </vt:variant>
      <vt:variant>
        <vt:i4>5</vt:i4>
      </vt:variant>
      <vt:variant>
        <vt:lpwstr>http://dx.doi.org/10.1787/9789264119550-fr</vt:lpwstr>
      </vt:variant>
      <vt:variant>
        <vt:lpwstr/>
      </vt:variant>
      <vt:variant>
        <vt:i4>6553609</vt:i4>
      </vt:variant>
      <vt:variant>
        <vt:i4>201</vt:i4>
      </vt:variant>
      <vt:variant>
        <vt:i4>0</vt:i4>
      </vt:variant>
      <vt:variant>
        <vt:i4>5</vt:i4>
      </vt:variant>
      <vt:variant>
        <vt:lpwstr>http://www.oecd.org/fr/els/politiquesetdonneessociales/49177707.pdf</vt:lpwstr>
      </vt:variant>
      <vt:variant>
        <vt:lpwstr/>
      </vt:variant>
      <vt:variant>
        <vt:i4>3014777</vt:i4>
      </vt:variant>
      <vt:variant>
        <vt:i4>198</vt:i4>
      </vt:variant>
      <vt:variant>
        <vt:i4>0</vt:i4>
      </vt:variant>
      <vt:variant>
        <vt:i4>5</vt:i4>
      </vt:variant>
      <vt:variant>
        <vt:lpwstr>http://masetto</vt:lpwstr>
      </vt:variant>
      <vt:variant>
        <vt:lpwstr/>
      </vt:variant>
      <vt:variant>
        <vt:i4>4653153</vt:i4>
      </vt:variant>
      <vt:variant>
        <vt:i4>195</vt:i4>
      </vt:variant>
      <vt:variant>
        <vt:i4>0</vt:i4>
      </vt:variant>
      <vt:variant>
        <vt:i4>5</vt:i4>
      </vt:variant>
      <vt:variant>
        <vt:lpwstr>http://www.inspq.qc.ca/pdf/publicati0ns/1603_M0rtaliteSuicideQc_1981A2010_MAJ201</vt:lpwstr>
      </vt:variant>
      <vt:variant>
        <vt:lpwstr/>
      </vt:variant>
      <vt:variant>
        <vt:i4>3145736</vt:i4>
      </vt:variant>
      <vt:variant>
        <vt:i4>192</vt:i4>
      </vt:variant>
      <vt:variant>
        <vt:i4>0</vt:i4>
      </vt:variant>
      <vt:variant>
        <vt:i4>5</vt:i4>
      </vt:variant>
      <vt:variant>
        <vt:lpwstr>http://www.laviedesidees.fr/lnegalites-une-crise-pour-rien.html</vt:lpwstr>
      </vt:variant>
      <vt:variant>
        <vt:lpwstr/>
      </vt:variant>
      <vt:variant>
        <vt:i4>4194425</vt:i4>
      </vt:variant>
      <vt:variant>
        <vt:i4>189</vt:i4>
      </vt:variant>
      <vt:variant>
        <vt:i4>0</vt:i4>
      </vt:variant>
      <vt:variant>
        <vt:i4>5</vt:i4>
      </vt:variant>
      <vt:variant>
        <vt:lpwstr>http://www.mediarabe.info/spip.php7article741</vt:lpwstr>
      </vt:variant>
      <vt:variant>
        <vt:lpwstr/>
      </vt:variant>
      <vt:variant>
        <vt:i4>262146</vt:i4>
      </vt:variant>
      <vt:variant>
        <vt:i4>186</vt:i4>
      </vt:variant>
      <vt:variant>
        <vt:i4>0</vt:i4>
      </vt:variant>
      <vt:variant>
        <vt:i4>5</vt:i4>
      </vt:variant>
      <vt:variant>
        <vt:lpwstr>http://www.asse-solidarite.qc.ca/documents/fr/femmes</vt:lpwstr>
      </vt:variant>
      <vt:variant>
        <vt:lpwstr/>
      </vt:variant>
      <vt:variant>
        <vt:i4>2490380</vt:i4>
      </vt:variant>
      <vt:variant>
        <vt:i4>183</vt:i4>
      </vt:variant>
      <vt:variant>
        <vt:i4>0</vt:i4>
      </vt:variant>
      <vt:variant>
        <vt:i4>5</vt:i4>
      </vt:variant>
      <vt:variant>
        <vt:lpwstr>http://www.asse-solidarite.qc.ca/documents/fr/instances/CLASSE/Cahiers/</vt:lpwstr>
      </vt:variant>
      <vt:variant>
        <vt:lpwstr/>
      </vt:variant>
      <vt:variant>
        <vt:i4>8126547</vt:i4>
      </vt:variant>
      <vt:variant>
        <vt:i4>180</vt:i4>
      </vt:variant>
      <vt:variant>
        <vt:i4>0</vt:i4>
      </vt:variant>
      <vt:variant>
        <vt:i4>5</vt:i4>
      </vt:variant>
      <vt:variant>
        <vt:lpwstr>http://www.chairs-chaires.gc.ca/program-programme/strategic_research_plan-plan_recherche_strategique-fra.aspx</vt:lpwstr>
      </vt:variant>
      <vt:variant>
        <vt:lpwstr/>
      </vt:variant>
      <vt:variant>
        <vt:i4>7077937</vt:i4>
      </vt:variant>
      <vt:variant>
        <vt:i4>177</vt:i4>
      </vt:variant>
      <vt:variant>
        <vt:i4>0</vt:i4>
      </vt:variant>
      <vt:variant>
        <vt:i4>5</vt:i4>
      </vt:variant>
      <vt:variant>
        <vt:lpwstr>http://topincomes.g-mond.parisschoolofeconomics.eu</vt:lpwstr>
      </vt:variant>
      <vt:variant>
        <vt:lpwstr/>
      </vt:variant>
      <vt:variant>
        <vt:i4>6553625</vt:i4>
      </vt:variant>
      <vt:variant>
        <vt:i4>174</vt:i4>
      </vt:variant>
      <vt:variant>
        <vt:i4>0</vt:i4>
      </vt:variant>
      <vt:variant>
        <vt:i4>5</vt:i4>
      </vt:variant>
      <vt:variant>
        <vt:lpwstr/>
      </vt:variant>
      <vt:variant>
        <vt:lpwstr>tdm</vt:lpwstr>
      </vt:variant>
      <vt:variant>
        <vt:i4>6553625</vt:i4>
      </vt:variant>
      <vt:variant>
        <vt:i4>171</vt:i4>
      </vt:variant>
      <vt:variant>
        <vt:i4>0</vt:i4>
      </vt:variant>
      <vt:variant>
        <vt:i4>5</vt:i4>
      </vt:variant>
      <vt:variant>
        <vt:lpwstr/>
      </vt:variant>
      <vt:variant>
        <vt:lpwstr>tdm</vt:lpwstr>
      </vt:variant>
      <vt:variant>
        <vt:i4>6553625</vt:i4>
      </vt:variant>
      <vt:variant>
        <vt:i4>168</vt:i4>
      </vt:variant>
      <vt:variant>
        <vt:i4>0</vt:i4>
      </vt:variant>
      <vt:variant>
        <vt:i4>5</vt:i4>
      </vt:variant>
      <vt:variant>
        <vt:lpwstr/>
      </vt:variant>
      <vt:variant>
        <vt:lpwstr>tdm</vt:lpwstr>
      </vt:variant>
      <vt:variant>
        <vt:i4>1179720</vt:i4>
      </vt:variant>
      <vt:variant>
        <vt:i4>165</vt:i4>
      </vt:variant>
      <vt:variant>
        <vt:i4>0</vt:i4>
      </vt:variant>
      <vt:variant>
        <vt:i4>5</vt:i4>
      </vt:variant>
      <vt:variant>
        <vt:lpwstr>http://redalyc.uaemex.mx/pdf/308/30813328002.pdf</vt:lpwstr>
      </vt:variant>
      <vt:variant>
        <vt:lpwstr/>
      </vt:variant>
      <vt:variant>
        <vt:i4>720995</vt:i4>
      </vt:variant>
      <vt:variant>
        <vt:i4>162</vt:i4>
      </vt:variant>
      <vt:variant>
        <vt:i4>0</vt:i4>
      </vt:variant>
      <vt:variant>
        <vt:i4>5</vt:i4>
      </vt:variant>
      <vt:variant>
        <vt:lpwstr>http://www.scielo.cl/scielo.php%C2%A0?pid=So7i8-656820iioooioooi4&amp;script=sci_arttext</vt:lpwstr>
      </vt:variant>
      <vt:variant>
        <vt:lpwstr/>
      </vt:variant>
      <vt:variant>
        <vt:i4>3932216</vt:i4>
      </vt:variant>
      <vt:variant>
        <vt:i4>159</vt:i4>
      </vt:variant>
      <vt:variant>
        <vt:i4>0</vt:i4>
      </vt:variant>
      <vt:variant>
        <vt:i4>5</vt:i4>
      </vt:variant>
      <vt:variant>
        <vt:lpwstr>http://www.lanacion.com.ar/553552-kirchner-endurecio-su-postura-con-los-piqueteros</vt:lpwstr>
      </vt:variant>
      <vt:variant>
        <vt:lpwstr/>
      </vt:variant>
      <vt:variant>
        <vt:i4>6029427</vt:i4>
      </vt:variant>
      <vt:variant>
        <vt:i4>156</vt:i4>
      </vt:variant>
      <vt:variant>
        <vt:i4>0</vt:i4>
      </vt:variant>
      <vt:variant>
        <vt:i4>5</vt:i4>
      </vt:variant>
      <vt:variant>
        <vt:lpwstr>http://edant.clarin.c0m/diari0/2003/10/28/p-01201.htm</vt:lpwstr>
      </vt:variant>
      <vt:variant>
        <vt:lpwstr/>
      </vt:variant>
      <vt:variant>
        <vt:i4>1179720</vt:i4>
      </vt:variant>
      <vt:variant>
        <vt:i4>153</vt:i4>
      </vt:variant>
      <vt:variant>
        <vt:i4>0</vt:i4>
      </vt:variant>
      <vt:variant>
        <vt:i4>5</vt:i4>
      </vt:variant>
      <vt:variant>
        <vt:lpwstr>http://redalyc.uaemex.mx/pdf/308/30813328002.pdf</vt:lpwstr>
      </vt:variant>
      <vt:variant>
        <vt:lpwstr/>
      </vt:variant>
      <vt:variant>
        <vt:i4>6553625</vt:i4>
      </vt:variant>
      <vt:variant>
        <vt:i4>150</vt:i4>
      </vt:variant>
      <vt:variant>
        <vt:i4>0</vt:i4>
      </vt:variant>
      <vt:variant>
        <vt:i4>5</vt:i4>
      </vt:variant>
      <vt:variant>
        <vt:lpwstr/>
      </vt:variant>
      <vt:variant>
        <vt:lpwstr>tdm</vt:lpwstr>
      </vt:variant>
      <vt:variant>
        <vt:i4>3080227</vt:i4>
      </vt:variant>
      <vt:variant>
        <vt:i4>147</vt:i4>
      </vt:variant>
      <vt:variant>
        <vt:i4>0</vt:i4>
      </vt:variant>
      <vt:variant>
        <vt:i4>5</vt:i4>
      </vt:variant>
      <vt:variant>
        <vt:lpwstr>http://hdr.undp.org/en/reports/national/africa/somalia/Somalia Report 2012.pdf</vt:lpwstr>
      </vt:variant>
      <vt:variant>
        <vt:lpwstr/>
      </vt:variant>
      <vt:variant>
        <vt:i4>3604480</vt:i4>
      </vt:variant>
      <vt:variant>
        <vt:i4>144</vt:i4>
      </vt:variant>
      <vt:variant>
        <vt:i4>0</vt:i4>
      </vt:variant>
      <vt:variant>
        <vt:i4>5</vt:i4>
      </vt:variant>
      <vt:variant>
        <vt:lpwstr>http://www.unicef.org/media/files/FGCM_Lo_res.pdf</vt:lpwstr>
      </vt:variant>
      <vt:variant>
        <vt:lpwstr/>
      </vt:variant>
      <vt:variant>
        <vt:i4>655468</vt:i4>
      </vt:variant>
      <vt:variant>
        <vt:i4>141</vt:i4>
      </vt:variant>
      <vt:variant>
        <vt:i4>0</vt:i4>
      </vt:variant>
      <vt:variant>
        <vt:i4>5</vt:i4>
      </vt:variant>
      <vt:variant>
        <vt:lpwstr>http://www.sswc-som.com/index.php?page=accomlishments</vt:lpwstr>
      </vt:variant>
      <vt:variant>
        <vt:lpwstr/>
      </vt:variant>
      <vt:variant>
        <vt:i4>5046321</vt:i4>
      </vt:variant>
      <vt:variant>
        <vt:i4>138</vt:i4>
      </vt:variant>
      <vt:variant>
        <vt:i4>0</vt:i4>
      </vt:variant>
      <vt:variant>
        <vt:i4>5</vt:i4>
      </vt:variant>
      <vt:variant>
        <vt:lpwstr>http://www.theguardian.com/culture/2012/sep/21/nuruddin-salah-life-in-writing</vt:lpwstr>
      </vt:variant>
      <vt:variant>
        <vt:lpwstr/>
      </vt:variant>
      <vt:variant>
        <vt:i4>6094883</vt:i4>
      </vt:variant>
      <vt:variant>
        <vt:i4>135</vt:i4>
      </vt:variant>
      <vt:variant>
        <vt:i4>0</vt:i4>
      </vt:variant>
      <vt:variant>
        <vt:i4>5</vt:i4>
      </vt:variant>
      <vt:variant>
        <vt:lpwstr>http://www.hrw.org/sites/default/files/reports/somalia0214_ForUpload.pdf</vt:lpwstr>
      </vt:variant>
      <vt:variant>
        <vt:lpwstr/>
      </vt:variant>
      <vt:variant>
        <vt:i4>6226034</vt:i4>
      </vt:variant>
      <vt:variant>
        <vt:i4>132</vt:i4>
      </vt:variant>
      <vt:variant>
        <vt:i4>0</vt:i4>
      </vt:variant>
      <vt:variant>
        <vt:i4>5</vt:i4>
      </vt:variant>
      <vt:variant>
        <vt:lpwstr>http://classiques.uqac.ca/contemporains/goldmann_lucien/Pour_une_socio_du_roman/Pour_une_socio_du_roman.html</vt:lpwstr>
      </vt:variant>
      <vt:variant>
        <vt:lpwstr/>
      </vt:variant>
      <vt:variant>
        <vt:i4>2424925</vt:i4>
      </vt:variant>
      <vt:variant>
        <vt:i4>129</vt:i4>
      </vt:variant>
      <vt:variant>
        <vt:i4>0</vt:i4>
      </vt:variant>
      <vt:variant>
        <vt:i4>5</vt:i4>
      </vt:variant>
      <vt:variant>
        <vt:lpwstr>http://ffp.statesindex.org/rankings</vt:lpwstr>
      </vt:variant>
      <vt:variant>
        <vt:lpwstr/>
      </vt:variant>
      <vt:variant>
        <vt:i4>8323072</vt:i4>
      </vt:variant>
      <vt:variant>
        <vt:i4>126</vt:i4>
      </vt:variant>
      <vt:variant>
        <vt:i4>0</vt:i4>
      </vt:variant>
      <vt:variant>
        <vt:i4>5</vt:i4>
      </vt:variant>
      <vt:variant>
        <vt:lpwstr>http://www.bbc.co.uk/news/world-africa-17116237</vt:lpwstr>
      </vt:variant>
      <vt:variant>
        <vt:lpwstr/>
      </vt:variant>
      <vt:variant>
        <vt:i4>1966142</vt:i4>
      </vt:variant>
      <vt:variant>
        <vt:i4>123</vt:i4>
      </vt:variant>
      <vt:variant>
        <vt:i4>0</vt:i4>
      </vt:variant>
      <vt:variant>
        <vt:i4>5</vt:i4>
      </vt:variant>
      <vt:variant>
        <vt:lpwstr>http://news.bbc.co.Uk/2/hi/africa/7802622.stm</vt:lpwstr>
      </vt:variant>
      <vt:variant>
        <vt:lpwstr/>
      </vt:variant>
      <vt:variant>
        <vt:i4>6553625</vt:i4>
      </vt:variant>
      <vt:variant>
        <vt:i4>120</vt:i4>
      </vt:variant>
      <vt:variant>
        <vt:i4>0</vt:i4>
      </vt:variant>
      <vt:variant>
        <vt:i4>5</vt:i4>
      </vt:variant>
      <vt:variant>
        <vt:lpwstr/>
      </vt:variant>
      <vt:variant>
        <vt:lpwstr>tdm</vt:lpwstr>
      </vt:variant>
      <vt:variant>
        <vt:i4>6553625</vt:i4>
      </vt:variant>
      <vt:variant>
        <vt:i4>117</vt:i4>
      </vt:variant>
      <vt:variant>
        <vt:i4>0</vt:i4>
      </vt:variant>
      <vt:variant>
        <vt:i4>5</vt:i4>
      </vt:variant>
      <vt:variant>
        <vt:lpwstr/>
      </vt:variant>
      <vt:variant>
        <vt:lpwstr>tdm</vt:lpwstr>
      </vt:variant>
      <vt:variant>
        <vt:i4>7209025</vt:i4>
      </vt:variant>
      <vt:variant>
        <vt:i4>114</vt:i4>
      </vt:variant>
      <vt:variant>
        <vt:i4>0</vt:i4>
      </vt:variant>
      <vt:variant>
        <vt:i4>5</vt:i4>
      </vt:variant>
      <vt:variant>
        <vt:lpwstr>http://afe.easia.columbia.edu/at/jp_bureau/govtjb13.html</vt:lpwstr>
      </vt:variant>
      <vt:variant>
        <vt:lpwstr/>
      </vt:variant>
      <vt:variant>
        <vt:i4>7929949</vt:i4>
      </vt:variant>
      <vt:variant>
        <vt:i4>111</vt:i4>
      </vt:variant>
      <vt:variant>
        <vt:i4>0</vt:i4>
      </vt:variant>
      <vt:variant>
        <vt:i4>5</vt:i4>
      </vt:variant>
      <vt:variant>
        <vt:lpwstr>http://www.japanesestudies.org.uk/discussionpapers/Chapple.html</vt:lpwstr>
      </vt:variant>
      <vt:variant>
        <vt:lpwstr/>
      </vt:variant>
      <vt:variant>
        <vt:i4>6553625</vt:i4>
      </vt:variant>
      <vt:variant>
        <vt:i4>108</vt:i4>
      </vt:variant>
      <vt:variant>
        <vt:i4>0</vt:i4>
      </vt:variant>
      <vt:variant>
        <vt:i4>5</vt:i4>
      </vt:variant>
      <vt:variant>
        <vt:lpwstr/>
      </vt:variant>
      <vt:variant>
        <vt:lpwstr>tdm</vt:lpwstr>
      </vt:variant>
      <vt:variant>
        <vt:i4>7143529</vt:i4>
      </vt:variant>
      <vt:variant>
        <vt:i4>105</vt:i4>
      </vt:variant>
      <vt:variant>
        <vt:i4>0</vt:i4>
      </vt:variant>
      <vt:variant>
        <vt:i4>5</vt:i4>
      </vt:variant>
      <vt:variant>
        <vt:lpwstr>http://perspective.usherbrooke.ca/</vt:lpwstr>
      </vt:variant>
      <vt:variant>
        <vt:lpwstr/>
      </vt:variant>
      <vt:variant>
        <vt:i4>1441901</vt:i4>
      </vt:variant>
      <vt:variant>
        <vt:i4>102</vt:i4>
      </vt:variant>
      <vt:variant>
        <vt:i4>0</vt:i4>
      </vt:variant>
      <vt:variant>
        <vt:i4>5</vt:i4>
      </vt:variant>
      <vt:variant>
        <vt:lpwstr>http://blogs.scientificamerican.com/observations/2011/02/01/are-high-food-prices-fueling-revolution-in-egypt/</vt:lpwstr>
      </vt:variant>
      <vt:variant>
        <vt:lpwstr/>
      </vt:variant>
      <vt:variant>
        <vt:i4>7143529</vt:i4>
      </vt:variant>
      <vt:variant>
        <vt:i4>99</vt:i4>
      </vt:variant>
      <vt:variant>
        <vt:i4>0</vt:i4>
      </vt:variant>
      <vt:variant>
        <vt:i4>5</vt:i4>
      </vt:variant>
      <vt:variant>
        <vt:lpwstr>http://perspective.usherbrooke.ca/</vt:lpwstr>
      </vt:variant>
      <vt:variant>
        <vt:lpwstr/>
      </vt:variant>
      <vt:variant>
        <vt:i4>6553625</vt:i4>
      </vt:variant>
      <vt:variant>
        <vt:i4>96</vt:i4>
      </vt:variant>
      <vt:variant>
        <vt:i4>0</vt:i4>
      </vt:variant>
      <vt:variant>
        <vt:i4>5</vt:i4>
      </vt:variant>
      <vt:variant>
        <vt:lpwstr/>
      </vt:variant>
      <vt:variant>
        <vt:lpwstr>tdm</vt:lpwstr>
      </vt:variant>
      <vt:variant>
        <vt:i4>1835020</vt:i4>
      </vt:variant>
      <vt:variant>
        <vt:i4>93</vt:i4>
      </vt:variant>
      <vt:variant>
        <vt:i4>0</vt:i4>
      </vt:variant>
      <vt:variant>
        <vt:i4>5</vt:i4>
      </vt:variant>
      <vt:variant>
        <vt:lpwstr>http://www.yassine.net/ar/document/663.shtml</vt:lpwstr>
      </vt:variant>
      <vt:variant>
        <vt:lpwstr/>
      </vt:variant>
      <vt:variant>
        <vt:i4>7864371</vt:i4>
      </vt:variant>
      <vt:variant>
        <vt:i4>90</vt:i4>
      </vt:variant>
      <vt:variant>
        <vt:i4>0</vt:i4>
      </vt:variant>
      <vt:variant>
        <vt:i4>5</vt:i4>
      </vt:variant>
      <vt:variant>
        <vt:lpwstr>http://www.arab-reform.net/morocco-towards-cohabitation-between-king-and-islamists</vt:lpwstr>
      </vt:variant>
      <vt:variant>
        <vt:lpwstr/>
      </vt:variant>
      <vt:variant>
        <vt:i4>3211350</vt:i4>
      </vt:variant>
      <vt:variant>
        <vt:i4>87</vt:i4>
      </vt:variant>
      <vt:variant>
        <vt:i4>0</vt:i4>
      </vt:variant>
      <vt:variant>
        <vt:i4>5</vt:i4>
      </vt:variant>
      <vt:variant>
        <vt:lpwstr>http://www.cjb.ma/268-les-archives/275-archives-news/a-propos-du-livre-de-b-talidi-les-islamistes-et-le-printemps-arabe-ascension-defis-et-gestion-du-pouvoir-1753.html</vt:lpwstr>
      </vt:variant>
      <vt:variant>
        <vt:lpwstr/>
      </vt:variant>
      <vt:variant>
        <vt:i4>3866718</vt:i4>
      </vt:variant>
      <vt:variant>
        <vt:i4>84</vt:i4>
      </vt:variant>
      <vt:variant>
        <vt:i4>0</vt:i4>
      </vt:variant>
      <vt:variant>
        <vt:i4>5</vt:i4>
      </vt:variant>
      <vt:variant>
        <vt:lpwstr>http://dx.doi.org/doi:10.1522/030145289</vt:lpwstr>
      </vt:variant>
      <vt:variant>
        <vt:lpwstr/>
      </vt:variant>
      <vt:variant>
        <vt:i4>2949127</vt:i4>
      </vt:variant>
      <vt:variant>
        <vt:i4>81</vt:i4>
      </vt:variant>
      <vt:variant>
        <vt:i4>0</vt:i4>
      </vt:variant>
      <vt:variant>
        <vt:i4>5</vt:i4>
      </vt:variant>
      <vt:variant>
        <vt:lpwstr>http://www.ceri-sciences-po.org</vt:lpwstr>
      </vt:variant>
      <vt:variant>
        <vt:lpwstr/>
      </vt:variant>
      <vt:variant>
        <vt:i4>6553625</vt:i4>
      </vt:variant>
      <vt:variant>
        <vt:i4>78</vt:i4>
      </vt:variant>
      <vt:variant>
        <vt:i4>0</vt:i4>
      </vt:variant>
      <vt:variant>
        <vt:i4>5</vt:i4>
      </vt:variant>
      <vt:variant>
        <vt:lpwstr/>
      </vt:variant>
      <vt:variant>
        <vt:lpwstr>tdm</vt:lpwstr>
      </vt:variant>
      <vt:variant>
        <vt:i4>6553625</vt:i4>
      </vt:variant>
      <vt:variant>
        <vt:i4>75</vt:i4>
      </vt:variant>
      <vt:variant>
        <vt:i4>0</vt:i4>
      </vt:variant>
      <vt:variant>
        <vt:i4>5</vt:i4>
      </vt:variant>
      <vt:variant>
        <vt:lpwstr/>
      </vt:variant>
      <vt:variant>
        <vt:lpwstr>tdm</vt:lpwstr>
      </vt:variant>
      <vt:variant>
        <vt:i4>6553625</vt:i4>
      </vt:variant>
      <vt:variant>
        <vt:i4>72</vt:i4>
      </vt:variant>
      <vt:variant>
        <vt:i4>0</vt:i4>
      </vt:variant>
      <vt:variant>
        <vt:i4>5</vt:i4>
      </vt:variant>
      <vt:variant>
        <vt:lpwstr/>
      </vt:variant>
      <vt:variant>
        <vt:lpwstr>tdm</vt:lpwstr>
      </vt:variant>
      <vt:variant>
        <vt:i4>3276864</vt:i4>
      </vt:variant>
      <vt:variant>
        <vt:i4>69</vt:i4>
      </vt:variant>
      <vt:variant>
        <vt:i4>0</vt:i4>
      </vt:variant>
      <vt:variant>
        <vt:i4>5</vt:i4>
      </vt:variant>
      <vt:variant>
        <vt:lpwstr/>
      </vt:variant>
      <vt:variant>
        <vt:lpwstr>Crise_et_mise_en_crise_texte_13</vt:lpwstr>
      </vt:variant>
      <vt:variant>
        <vt:i4>3276865</vt:i4>
      </vt:variant>
      <vt:variant>
        <vt:i4>66</vt:i4>
      </vt:variant>
      <vt:variant>
        <vt:i4>0</vt:i4>
      </vt:variant>
      <vt:variant>
        <vt:i4>5</vt:i4>
      </vt:variant>
      <vt:variant>
        <vt:lpwstr/>
      </vt:variant>
      <vt:variant>
        <vt:lpwstr>Crise_et_mise_en_crise_texte_12</vt:lpwstr>
      </vt:variant>
      <vt:variant>
        <vt:i4>3276866</vt:i4>
      </vt:variant>
      <vt:variant>
        <vt:i4>63</vt:i4>
      </vt:variant>
      <vt:variant>
        <vt:i4>0</vt:i4>
      </vt:variant>
      <vt:variant>
        <vt:i4>5</vt:i4>
      </vt:variant>
      <vt:variant>
        <vt:lpwstr/>
      </vt:variant>
      <vt:variant>
        <vt:lpwstr>Crise_et_mise_en_crise_texte_11</vt:lpwstr>
      </vt:variant>
      <vt:variant>
        <vt:i4>3276867</vt:i4>
      </vt:variant>
      <vt:variant>
        <vt:i4>60</vt:i4>
      </vt:variant>
      <vt:variant>
        <vt:i4>0</vt:i4>
      </vt:variant>
      <vt:variant>
        <vt:i4>5</vt:i4>
      </vt:variant>
      <vt:variant>
        <vt:lpwstr/>
      </vt:variant>
      <vt:variant>
        <vt:lpwstr>Crise_et_mise_en_crise_texte_10</vt:lpwstr>
      </vt:variant>
      <vt:variant>
        <vt:i4>3342410</vt:i4>
      </vt:variant>
      <vt:variant>
        <vt:i4>57</vt:i4>
      </vt:variant>
      <vt:variant>
        <vt:i4>0</vt:i4>
      </vt:variant>
      <vt:variant>
        <vt:i4>5</vt:i4>
      </vt:variant>
      <vt:variant>
        <vt:lpwstr/>
      </vt:variant>
      <vt:variant>
        <vt:lpwstr>Crise_et_mise_en_crise_texte_09</vt:lpwstr>
      </vt:variant>
      <vt:variant>
        <vt:i4>3342411</vt:i4>
      </vt:variant>
      <vt:variant>
        <vt:i4>54</vt:i4>
      </vt:variant>
      <vt:variant>
        <vt:i4>0</vt:i4>
      </vt:variant>
      <vt:variant>
        <vt:i4>5</vt:i4>
      </vt:variant>
      <vt:variant>
        <vt:lpwstr/>
      </vt:variant>
      <vt:variant>
        <vt:lpwstr>Crise_et_mise_en_crise_texte_08</vt:lpwstr>
      </vt:variant>
      <vt:variant>
        <vt:i4>3342404</vt:i4>
      </vt:variant>
      <vt:variant>
        <vt:i4>51</vt:i4>
      </vt:variant>
      <vt:variant>
        <vt:i4>0</vt:i4>
      </vt:variant>
      <vt:variant>
        <vt:i4>5</vt:i4>
      </vt:variant>
      <vt:variant>
        <vt:lpwstr/>
      </vt:variant>
      <vt:variant>
        <vt:lpwstr>Crise_et_mise_en_crise_texte_07</vt:lpwstr>
      </vt:variant>
      <vt:variant>
        <vt:i4>3342405</vt:i4>
      </vt:variant>
      <vt:variant>
        <vt:i4>48</vt:i4>
      </vt:variant>
      <vt:variant>
        <vt:i4>0</vt:i4>
      </vt:variant>
      <vt:variant>
        <vt:i4>5</vt:i4>
      </vt:variant>
      <vt:variant>
        <vt:lpwstr/>
      </vt:variant>
      <vt:variant>
        <vt:lpwstr>Crise_et_mise_en_crise_texte_06</vt:lpwstr>
      </vt:variant>
      <vt:variant>
        <vt:i4>3342406</vt:i4>
      </vt:variant>
      <vt:variant>
        <vt:i4>45</vt:i4>
      </vt:variant>
      <vt:variant>
        <vt:i4>0</vt:i4>
      </vt:variant>
      <vt:variant>
        <vt:i4>5</vt:i4>
      </vt:variant>
      <vt:variant>
        <vt:lpwstr/>
      </vt:variant>
      <vt:variant>
        <vt:lpwstr>Crise_et_mise_en_crise_texte_05</vt:lpwstr>
      </vt:variant>
      <vt:variant>
        <vt:i4>3342407</vt:i4>
      </vt:variant>
      <vt:variant>
        <vt:i4>42</vt:i4>
      </vt:variant>
      <vt:variant>
        <vt:i4>0</vt:i4>
      </vt:variant>
      <vt:variant>
        <vt:i4>5</vt:i4>
      </vt:variant>
      <vt:variant>
        <vt:lpwstr/>
      </vt:variant>
      <vt:variant>
        <vt:lpwstr>Crise_et_mise_en_crise_texte_04</vt:lpwstr>
      </vt:variant>
      <vt:variant>
        <vt:i4>3342400</vt:i4>
      </vt:variant>
      <vt:variant>
        <vt:i4>39</vt:i4>
      </vt:variant>
      <vt:variant>
        <vt:i4>0</vt:i4>
      </vt:variant>
      <vt:variant>
        <vt:i4>5</vt:i4>
      </vt:variant>
      <vt:variant>
        <vt:lpwstr/>
      </vt:variant>
      <vt:variant>
        <vt:lpwstr>Crise_et_mise_en_crise_texte_03</vt:lpwstr>
      </vt:variant>
      <vt:variant>
        <vt:i4>3342401</vt:i4>
      </vt:variant>
      <vt:variant>
        <vt:i4>36</vt:i4>
      </vt:variant>
      <vt:variant>
        <vt:i4>0</vt:i4>
      </vt:variant>
      <vt:variant>
        <vt:i4>5</vt:i4>
      </vt:variant>
      <vt:variant>
        <vt:lpwstr/>
      </vt:variant>
      <vt:variant>
        <vt:lpwstr>Crise_et_mise_en_crise_texte_02</vt:lpwstr>
      </vt:variant>
      <vt:variant>
        <vt:i4>3342402</vt:i4>
      </vt:variant>
      <vt:variant>
        <vt:i4>33</vt:i4>
      </vt:variant>
      <vt:variant>
        <vt:i4>0</vt:i4>
      </vt:variant>
      <vt:variant>
        <vt:i4>5</vt:i4>
      </vt:variant>
      <vt:variant>
        <vt:lpwstr/>
      </vt:variant>
      <vt:variant>
        <vt:lpwstr>Crise_et_mise_en_crise_texte_01</vt:lpwstr>
      </vt:variant>
      <vt:variant>
        <vt:i4>6553625</vt:i4>
      </vt:variant>
      <vt:variant>
        <vt:i4>30</vt:i4>
      </vt:variant>
      <vt:variant>
        <vt:i4>0</vt:i4>
      </vt:variant>
      <vt:variant>
        <vt:i4>5</vt:i4>
      </vt:variant>
      <vt:variant>
        <vt:lpwstr/>
      </vt:variant>
      <vt:variant>
        <vt:lpwstr>tdm</vt:lpwstr>
      </vt:variant>
      <vt:variant>
        <vt:i4>4259931</vt:i4>
      </vt:variant>
      <vt:variant>
        <vt:i4>27</vt:i4>
      </vt:variant>
      <vt:variant>
        <vt:i4>0</vt:i4>
      </vt:variant>
      <vt:variant>
        <vt:i4>5</vt:i4>
      </vt:variant>
      <vt:variant>
        <vt:lpwstr>mailto:marguerite.souliere@uOttawa.ca</vt:lpwstr>
      </vt:variant>
      <vt:variant>
        <vt:lpwstr/>
      </vt:variant>
      <vt:variant>
        <vt:i4>4063342</vt:i4>
      </vt:variant>
      <vt:variant>
        <vt:i4>24</vt:i4>
      </vt:variant>
      <vt:variant>
        <vt:i4>0</vt:i4>
      </vt:variant>
      <vt:variant>
        <vt:i4>5</vt:i4>
      </vt:variant>
      <vt:variant>
        <vt:lpwstr>mailto:marie-claude.haince@umontreal.ca</vt:lpwstr>
      </vt:variant>
      <vt:variant>
        <vt:lpwstr/>
      </vt:variant>
      <vt:variant>
        <vt:i4>7536656</vt:i4>
      </vt:variant>
      <vt:variant>
        <vt:i4>21</vt:i4>
      </vt:variant>
      <vt:variant>
        <vt:i4>0</vt:i4>
      </vt:variant>
      <vt:variant>
        <vt:i4>5</vt:i4>
      </vt:variant>
      <vt:variant>
        <vt:lpwstr>mailto:Andre.Tremblay@uottawa.ca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6946872</vt:i4>
      </vt:variant>
      <vt:variant>
        <vt:i4>21</vt:i4>
      </vt:variant>
      <vt:variant>
        <vt:i4>0</vt:i4>
      </vt:variant>
      <vt:variant>
        <vt:i4>5</vt:i4>
      </vt:variant>
      <vt:variant>
        <vt:lpwstr>http://www.ecologitheque.com/itwaries.html</vt:lpwstr>
      </vt:variant>
      <vt:variant>
        <vt:lpwstr/>
      </vt:variant>
      <vt:variant>
        <vt:i4>2752539</vt:i4>
      </vt:variant>
      <vt:variant>
        <vt:i4>18</vt:i4>
      </vt:variant>
      <vt:variant>
        <vt:i4>0</vt:i4>
      </vt:variant>
      <vt:variant>
        <vt:i4>5</vt:i4>
      </vt:variant>
      <vt:variant>
        <vt:lpwstr>http://www.decroissance.qc.ca/manifeste</vt:lpwstr>
      </vt:variant>
      <vt:variant>
        <vt:lpwstr/>
      </vt:variant>
      <vt:variant>
        <vt:i4>3604502</vt:i4>
      </vt:variant>
      <vt:variant>
        <vt:i4>15</vt:i4>
      </vt:variant>
      <vt:variant>
        <vt:i4>0</vt:i4>
      </vt:variant>
      <vt:variant>
        <vt:i4>5</vt:i4>
      </vt:variant>
      <vt:variant>
        <vt:lpwstr>http://www.chaos-international.org/</vt:lpwstr>
      </vt:variant>
      <vt:variant>
        <vt:lpwstr/>
      </vt:variant>
      <vt:variant>
        <vt:i4>5832821</vt:i4>
      </vt:variant>
      <vt:variant>
        <vt:i4>12</vt:i4>
      </vt:variant>
      <vt:variant>
        <vt:i4>0</vt:i4>
      </vt:variant>
      <vt:variant>
        <vt:i4>5</vt:i4>
      </vt:variant>
      <vt:variant>
        <vt:lpwstr>http://www.bankofengland.co.uk/publications/Documents/speeches/2011/speech533.pdf</vt:lpwstr>
      </vt:variant>
      <vt:variant>
        <vt:lpwstr/>
      </vt:variant>
      <vt:variant>
        <vt:i4>8257562</vt:i4>
      </vt:variant>
      <vt:variant>
        <vt:i4>9</vt:i4>
      </vt:variant>
      <vt:variant>
        <vt:i4>0</vt:i4>
      </vt:variant>
      <vt:variant>
        <vt:i4>5</vt:i4>
      </vt:variant>
      <vt:variant>
        <vt:lpwstr>http://www.nobelprize.org/nobel_prizes/economic-sciences/laureates/2012/</vt:lpwstr>
      </vt:variant>
      <vt:variant>
        <vt:lpwstr/>
      </vt:variant>
      <vt:variant>
        <vt:i4>3866726</vt:i4>
      </vt:variant>
      <vt:variant>
        <vt:i4>6</vt:i4>
      </vt:variant>
      <vt:variant>
        <vt:i4>0</vt:i4>
      </vt:variant>
      <vt:variant>
        <vt:i4>5</vt:i4>
      </vt:variant>
      <vt:variant>
        <vt:lpwstr>http://ecolemontagnerouge.com/</vt:lpwstr>
      </vt:variant>
      <vt:variant>
        <vt:lpwstr/>
      </vt:variant>
      <vt:variant>
        <vt:i4>3801116</vt:i4>
      </vt:variant>
      <vt:variant>
        <vt:i4>3</vt:i4>
      </vt:variant>
      <vt:variant>
        <vt:i4>0</vt:i4>
      </vt:variant>
      <vt:variant>
        <vt:i4>5</vt:i4>
      </vt:variant>
      <vt:variant>
        <vt:lpwstr>http://www.pm.gc.ca/fra/nouvelles/2012/10/13/declaration-du-premier-ministre-du-canada-au-i4e-sommet-de-la-francophonie</vt:lpwstr>
      </vt:variant>
      <vt:variant>
        <vt:lpwstr>sthash.fs5Tiilg.dpuf</vt:lpwstr>
      </vt:variant>
      <vt:variant>
        <vt:i4>7667811</vt:i4>
      </vt:variant>
      <vt:variant>
        <vt:i4>0</vt:i4>
      </vt:variant>
      <vt:variant>
        <vt:i4>0</vt:i4>
      </vt:variant>
      <vt:variant>
        <vt:i4>5</vt:i4>
      </vt:variant>
      <vt:variant>
        <vt:lpwstr>http://www.sswc-som.com/index.php?page=accomplishments</vt:lpwstr>
      </vt:variant>
      <vt:variant>
        <vt:lpwstr/>
      </vt:variant>
      <vt:variant>
        <vt:i4>2228293</vt:i4>
      </vt:variant>
      <vt:variant>
        <vt:i4>2329</vt:i4>
      </vt:variant>
      <vt:variant>
        <vt:i4>1031</vt:i4>
      </vt:variant>
      <vt:variant>
        <vt:i4>1</vt:i4>
      </vt:variant>
      <vt:variant>
        <vt:lpwstr>css_logo_gris</vt:lpwstr>
      </vt:variant>
      <vt:variant>
        <vt:lpwstr/>
      </vt:variant>
      <vt:variant>
        <vt:i4>5111880</vt:i4>
      </vt:variant>
      <vt:variant>
        <vt:i4>2618</vt:i4>
      </vt:variant>
      <vt:variant>
        <vt:i4>1025</vt:i4>
      </vt:variant>
      <vt:variant>
        <vt:i4>1</vt:i4>
      </vt:variant>
      <vt:variant>
        <vt:lpwstr>UQAC_logo_2018</vt:lpwstr>
      </vt:variant>
      <vt:variant>
        <vt:lpwstr/>
      </vt:variant>
      <vt:variant>
        <vt:i4>4194334</vt:i4>
      </vt:variant>
      <vt:variant>
        <vt:i4>5039</vt:i4>
      </vt:variant>
      <vt:variant>
        <vt:i4>1026</vt:i4>
      </vt:variant>
      <vt:variant>
        <vt:i4>1</vt:i4>
      </vt:variant>
      <vt:variant>
        <vt:lpwstr>Boite_aux_lettres_clair</vt:lpwstr>
      </vt:variant>
      <vt:variant>
        <vt:lpwstr/>
      </vt:variant>
      <vt:variant>
        <vt:i4>1703963</vt:i4>
      </vt:variant>
      <vt:variant>
        <vt:i4>5815</vt:i4>
      </vt:variant>
      <vt:variant>
        <vt:i4>1027</vt:i4>
      </vt:variant>
      <vt:variant>
        <vt:i4>1</vt:i4>
      </vt:variant>
      <vt:variant>
        <vt:lpwstr>fait_sur_mac</vt:lpwstr>
      </vt:variant>
      <vt:variant>
        <vt:lpwstr/>
      </vt:variant>
      <vt:variant>
        <vt:i4>2949176</vt:i4>
      </vt:variant>
      <vt:variant>
        <vt:i4>5948</vt:i4>
      </vt:variant>
      <vt:variant>
        <vt:i4>1028</vt:i4>
      </vt:variant>
      <vt:variant>
        <vt:i4>1</vt:i4>
      </vt:variant>
      <vt:variant>
        <vt:lpwstr>Crise_et_mise_en_crise_L50_low</vt:lpwstr>
      </vt:variant>
      <vt:variant>
        <vt:lpwstr/>
      </vt:variant>
      <vt:variant>
        <vt:i4>3670050</vt:i4>
      </vt:variant>
      <vt:variant>
        <vt:i4>6307</vt:i4>
      </vt:variant>
      <vt:variant>
        <vt:i4>1029</vt:i4>
      </vt:variant>
      <vt:variant>
        <vt:i4>1</vt:i4>
      </vt:variant>
      <vt:variant>
        <vt:lpwstr>ACSALF_logo_2018</vt:lpwstr>
      </vt:variant>
      <vt:variant>
        <vt:lpwstr/>
      </vt:variant>
      <vt:variant>
        <vt:i4>4194334</vt:i4>
      </vt:variant>
      <vt:variant>
        <vt:i4>6496</vt:i4>
      </vt:variant>
      <vt:variant>
        <vt:i4>1030</vt:i4>
      </vt:variant>
      <vt:variant>
        <vt:i4>1</vt:i4>
      </vt:variant>
      <vt:variant>
        <vt:lpwstr>Boite_aux_lettres_clair</vt:lpwstr>
      </vt:variant>
      <vt:variant>
        <vt:lpwstr/>
      </vt:variant>
      <vt:variant>
        <vt:i4>7209069</vt:i4>
      </vt:variant>
      <vt:variant>
        <vt:i4>471859</vt:i4>
      </vt:variant>
      <vt:variant>
        <vt:i4>1032</vt:i4>
      </vt:variant>
      <vt:variant>
        <vt:i4>1</vt:i4>
      </vt:variant>
      <vt:variant>
        <vt:lpwstr>fig_p_176_low</vt:lpwstr>
      </vt:variant>
      <vt:variant>
        <vt:lpwstr/>
      </vt:variant>
      <vt:variant>
        <vt:i4>7209059</vt:i4>
      </vt:variant>
      <vt:variant>
        <vt:i4>475018</vt:i4>
      </vt:variant>
      <vt:variant>
        <vt:i4>1033</vt:i4>
      </vt:variant>
      <vt:variant>
        <vt:i4>1</vt:i4>
      </vt:variant>
      <vt:variant>
        <vt:lpwstr>fig_p_178_low</vt:lpwstr>
      </vt:variant>
      <vt:variant>
        <vt:lpwstr/>
      </vt:variant>
      <vt:variant>
        <vt:i4>4391002</vt:i4>
      </vt:variant>
      <vt:variant>
        <vt:i4>482302</vt:i4>
      </vt:variant>
      <vt:variant>
        <vt:i4>1034</vt:i4>
      </vt:variant>
      <vt:variant>
        <vt:i4>1</vt:i4>
      </vt:variant>
      <vt:variant>
        <vt:lpwstr>fig_p_181a_st</vt:lpwstr>
      </vt:variant>
      <vt:variant>
        <vt:lpwstr/>
      </vt:variant>
      <vt:variant>
        <vt:i4>4194394</vt:i4>
      </vt:variant>
      <vt:variant>
        <vt:i4>482383</vt:i4>
      </vt:variant>
      <vt:variant>
        <vt:i4>1035</vt:i4>
      </vt:variant>
      <vt:variant>
        <vt:i4>1</vt:i4>
      </vt:variant>
      <vt:variant>
        <vt:lpwstr>Fig_p_181b_st</vt:lpwstr>
      </vt:variant>
      <vt:variant>
        <vt:lpwstr/>
      </vt:variant>
      <vt:variant>
        <vt:i4>4259930</vt:i4>
      </vt:variant>
      <vt:variant>
        <vt:i4>482461</vt:i4>
      </vt:variant>
      <vt:variant>
        <vt:i4>1036</vt:i4>
      </vt:variant>
      <vt:variant>
        <vt:i4>1</vt:i4>
      </vt:variant>
      <vt:variant>
        <vt:lpwstr>Fig_p_181c_st</vt:lpwstr>
      </vt:variant>
      <vt:variant>
        <vt:lpwstr/>
      </vt:variant>
      <vt:variant>
        <vt:i4>4587610</vt:i4>
      </vt:variant>
      <vt:variant>
        <vt:i4>482566</vt:i4>
      </vt:variant>
      <vt:variant>
        <vt:i4>1037</vt:i4>
      </vt:variant>
      <vt:variant>
        <vt:i4>1</vt:i4>
      </vt:variant>
      <vt:variant>
        <vt:lpwstr>Fig_p_181d_st</vt:lpwstr>
      </vt:variant>
      <vt:variant>
        <vt:lpwstr/>
      </vt:variant>
      <vt:variant>
        <vt:i4>6357051</vt:i4>
      </vt:variant>
      <vt:variant>
        <vt:i4>501145</vt:i4>
      </vt:variant>
      <vt:variant>
        <vt:i4>1038</vt:i4>
      </vt:variant>
      <vt:variant>
        <vt:i4>1</vt:i4>
      </vt:variant>
      <vt:variant>
        <vt:lpwstr>fig_p_188_st_low</vt:lpwstr>
      </vt:variant>
      <vt:variant>
        <vt:lpwstr/>
      </vt:variant>
      <vt:variant>
        <vt:i4>3932269</vt:i4>
      </vt:variant>
      <vt:variant>
        <vt:i4>-1</vt:i4>
      </vt:variant>
      <vt:variant>
        <vt:i4>1032</vt:i4>
      </vt:variant>
      <vt:variant>
        <vt:i4>1</vt:i4>
      </vt:variant>
      <vt:variant>
        <vt:lpwstr>image6</vt:lpwstr>
      </vt:variant>
      <vt:variant>
        <vt:lpwstr/>
      </vt:variant>
      <vt:variant>
        <vt:i4>3932269</vt:i4>
      </vt:variant>
      <vt:variant>
        <vt:i4>-1</vt:i4>
      </vt:variant>
      <vt:variant>
        <vt:i4>1034</vt:i4>
      </vt:variant>
      <vt:variant>
        <vt:i4>1</vt:i4>
      </vt:variant>
      <vt:variant>
        <vt:lpwstr>image6</vt:lpwstr>
      </vt:variant>
      <vt:variant>
        <vt:lpwstr/>
      </vt:variant>
      <vt:variant>
        <vt:i4>3932269</vt:i4>
      </vt:variant>
      <vt:variant>
        <vt:i4>-1</vt:i4>
      </vt:variant>
      <vt:variant>
        <vt:i4>1035</vt:i4>
      </vt:variant>
      <vt:variant>
        <vt:i4>1</vt:i4>
      </vt:variant>
      <vt:variant>
        <vt:lpwstr>image6</vt:lpwstr>
      </vt:variant>
      <vt:variant>
        <vt:lpwstr/>
      </vt:variant>
      <vt:variant>
        <vt:i4>3932269</vt:i4>
      </vt:variant>
      <vt:variant>
        <vt:i4>-1</vt:i4>
      </vt:variant>
      <vt:variant>
        <vt:i4>1036</vt:i4>
      </vt:variant>
      <vt:variant>
        <vt:i4>1</vt:i4>
      </vt:variant>
      <vt:variant>
        <vt:lpwstr>image6</vt:lpwstr>
      </vt:variant>
      <vt:variant>
        <vt:lpwstr/>
      </vt:variant>
      <vt:variant>
        <vt:i4>3932269</vt:i4>
      </vt:variant>
      <vt:variant>
        <vt:i4>-1</vt:i4>
      </vt:variant>
      <vt:variant>
        <vt:i4>1037</vt:i4>
      </vt:variant>
      <vt:variant>
        <vt:i4>1</vt:i4>
      </vt:variant>
      <vt:variant>
        <vt:lpwstr>image6</vt:lpwstr>
      </vt:variant>
      <vt:variant>
        <vt:lpwstr/>
      </vt:variant>
      <vt:variant>
        <vt:i4>3932269</vt:i4>
      </vt:variant>
      <vt:variant>
        <vt:i4>-1</vt:i4>
      </vt:variant>
      <vt:variant>
        <vt:i4>1038</vt:i4>
      </vt:variant>
      <vt:variant>
        <vt:i4>1</vt:i4>
      </vt:variant>
      <vt:variant>
        <vt:lpwstr>image6</vt:lpwstr>
      </vt:variant>
      <vt:variant>
        <vt:lpwstr/>
      </vt:variant>
      <vt:variant>
        <vt:i4>3932269</vt:i4>
      </vt:variant>
      <vt:variant>
        <vt:i4>-1</vt:i4>
      </vt:variant>
      <vt:variant>
        <vt:i4>1039</vt:i4>
      </vt:variant>
      <vt:variant>
        <vt:i4>1</vt:i4>
      </vt:variant>
      <vt:variant>
        <vt:lpwstr>image6</vt:lpwstr>
      </vt:variant>
      <vt:variant>
        <vt:lpwstr/>
      </vt:variant>
      <vt:variant>
        <vt:i4>3932269</vt:i4>
      </vt:variant>
      <vt:variant>
        <vt:i4>-1</vt:i4>
      </vt:variant>
      <vt:variant>
        <vt:i4>1040</vt:i4>
      </vt:variant>
      <vt:variant>
        <vt:i4>1</vt:i4>
      </vt:variant>
      <vt:variant>
        <vt:lpwstr>image6</vt:lpwstr>
      </vt:variant>
      <vt:variant>
        <vt:lpwstr/>
      </vt:variant>
      <vt:variant>
        <vt:i4>3932269</vt:i4>
      </vt:variant>
      <vt:variant>
        <vt:i4>-1</vt:i4>
      </vt:variant>
      <vt:variant>
        <vt:i4>1041</vt:i4>
      </vt:variant>
      <vt:variant>
        <vt:i4>1</vt:i4>
      </vt:variant>
      <vt:variant>
        <vt:lpwstr>image6</vt:lpwstr>
      </vt:variant>
      <vt:variant>
        <vt:lpwstr/>
      </vt:variant>
      <vt:variant>
        <vt:i4>3932269</vt:i4>
      </vt:variant>
      <vt:variant>
        <vt:i4>-1</vt:i4>
      </vt:variant>
      <vt:variant>
        <vt:i4>1042</vt:i4>
      </vt:variant>
      <vt:variant>
        <vt:i4>1</vt:i4>
      </vt:variant>
      <vt:variant>
        <vt:lpwstr>image6</vt:lpwstr>
      </vt:variant>
      <vt:variant>
        <vt:lpwstr/>
      </vt:variant>
      <vt:variant>
        <vt:i4>3932269</vt:i4>
      </vt:variant>
      <vt:variant>
        <vt:i4>-1</vt:i4>
      </vt:variant>
      <vt:variant>
        <vt:i4>1043</vt:i4>
      </vt:variant>
      <vt:variant>
        <vt:i4>1</vt:i4>
      </vt:variant>
      <vt:variant>
        <vt:lpwstr>image6</vt:lpwstr>
      </vt:variant>
      <vt:variant>
        <vt:lpwstr/>
      </vt:variant>
      <vt:variant>
        <vt:i4>3932269</vt:i4>
      </vt:variant>
      <vt:variant>
        <vt:i4>-1</vt:i4>
      </vt:variant>
      <vt:variant>
        <vt:i4>1045</vt:i4>
      </vt:variant>
      <vt:variant>
        <vt:i4>1</vt:i4>
      </vt:variant>
      <vt:variant>
        <vt:lpwstr>image6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Crise et mise en crise.</dc:title>
  <dc:subject>Actes du colloque de l'ACSALF, 2012.</dc:subject>
  <dc:creator>Sous la diredtion de André Tremblay et Marie-Claude Haince.</dc:creator>
  <cp:keywords>classiques.sc.soc@gmail.com</cp:keywords>
  <dc:description>http://classiques.uqac.ca/</dc:description>
  <cp:lastModifiedBy>Microsoft Office User</cp:lastModifiedBy>
  <cp:revision>2</cp:revision>
  <cp:lastPrinted>2001-08-26T19:33:00Z</cp:lastPrinted>
  <dcterms:created xsi:type="dcterms:W3CDTF">2020-05-16T13:06:00Z</dcterms:created>
  <dcterms:modified xsi:type="dcterms:W3CDTF">2020-05-16T13:06:00Z</dcterms:modified>
  <cp:category>jean-marie tremblay, sociologue, fondateur, 1993.</cp:category>
</cp:coreProperties>
</file>