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65175B" w:rsidRPr="00E07116" w14:paraId="55F9B752" w14:textId="77777777">
        <w:tblPrEx>
          <w:tblCellMar>
            <w:top w:w="0" w:type="dxa"/>
            <w:bottom w:w="0" w:type="dxa"/>
          </w:tblCellMar>
        </w:tblPrEx>
        <w:tc>
          <w:tcPr>
            <w:tcW w:w="9160" w:type="dxa"/>
            <w:shd w:val="clear" w:color="auto" w:fill="EEECE1"/>
          </w:tcPr>
          <w:p w14:paraId="451C858B" w14:textId="77777777" w:rsidR="0065175B" w:rsidRPr="00E07116" w:rsidRDefault="0065175B" w:rsidP="0065175B">
            <w:pPr>
              <w:pStyle w:val="En-tte"/>
              <w:tabs>
                <w:tab w:val="clear" w:pos="4320"/>
                <w:tab w:val="clear" w:pos="8640"/>
              </w:tabs>
              <w:rPr>
                <w:rFonts w:ascii="Times New Roman" w:hAnsi="Times New Roman"/>
                <w:sz w:val="28"/>
                <w:lang w:val="en-CA" w:bidi="ar-SA"/>
              </w:rPr>
            </w:pPr>
          </w:p>
          <w:p w14:paraId="723BF3CB" w14:textId="77777777" w:rsidR="0065175B" w:rsidRPr="00E07116" w:rsidRDefault="0065175B">
            <w:pPr>
              <w:ind w:firstLine="0"/>
              <w:jc w:val="center"/>
              <w:rPr>
                <w:b/>
                <w:lang w:bidi="ar-SA"/>
              </w:rPr>
            </w:pPr>
          </w:p>
          <w:p w14:paraId="0104ABD6" w14:textId="77777777" w:rsidR="0065175B" w:rsidRPr="00E07116" w:rsidRDefault="0065175B">
            <w:pPr>
              <w:ind w:firstLine="0"/>
              <w:jc w:val="center"/>
              <w:rPr>
                <w:b/>
                <w:lang w:bidi="ar-SA"/>
              </w:rPr>
            </w:pPr>
          </w:p>
          <w:p w14:paraId="2B40D23D" w14:textId="77777777" w:rsidR="0065175B" w:rsidRDefault="0065175B" w:rsidP="0065175B">
            <w:pPr>
              <w:ind w:firstLine="0"/>
              <w:jc w:val="center"/>
              <w:rPr>
                <w:b/>
                <w:sz w:val="20"/>
                <w:lang w:bidi="ar-SA"/>
              </w:rPr>
            </w:pPr>
          </w:p>
          <w:p w14:paraId="70CE290D" w14:textId="77777777" w:rsidR="0065175B" w:rsidRDefault="0065175B" w:rsidP="0065175B">
            <w:pPr>
              <w:ind w:firstLine="0"/>
              <w:jc w:val="center"/>
              <w:rPr>
                <w:b/>
                <w:sz w:val="20"/>
                <w:lang w:bidi="ar-SA"/>
              </w:rPr>
            </w:pPr>
          </w:p>
          <w:p w14:paraId="3009DA96" w14:textId="77777777" w:rsidR="0065175B" w:rsidRDefault="0065175B" w:rsidP="0065175B">
            <w:pPr>
              <w:ind w:firstLine="0"/>
              <w:jc w:val="center"/>
              <w:rPr>
                <w:b/>
                <w:sz w:val="36"/>
              </w:rPr>
            </w:pPr>
            <w:r>
              <w:rPr>
                <w:sz w:val="36"/>
              </w:rPr>
              <w:t>Claude Lessard</w:t>
            </w:r>
          </w:p>
          <w:p w14:paraId="05137C4B" w14:textId="77777777" w:rsidR="0065175B" w:rsidRPr="00677729" w:rsidRDefault="0065175B" w:rsidP="0065175B">
            <w:pPr>
              <w:ind w:firstLine="0"/>
              <w:jc w:val="center"/>
              <w:rPr>
                <w:sz w:val="20"/>
                <w:lang w:bidi="ar-SA"/>
              </w:rPr>
            </w:pPr>
            <w:r w:rsidRPr="00677729">
              <w:rPr>
                <w:sz w:val="20"/>
                <w:lang w:bidi="ar-SA"/>
              </w:rPr>
              <w:t>en collaboration avec André Brassard</w:t>
            </w:r>
          </w:p>
          <w:p w14:paraId="57940DE1" w14:textId="77777777" w:rsidR="0065175B" w:rsidRDefault="0065175B" w:rsidP="0065175B">
            <w:pPr>
              <w:ind w:firstLine="0"/>
              <w:jc w:val="center"/>
              <w:rPr>
                <w:sz w:val="20"/>
                <w:lang w:bidi="ar-SA"/>
              </w:rPr>
            </w:pPr>
            <w:r>
              <w:rPr>
                <w:sz w:val="20"/>
                <w:lang w:bidi="ar-SA"/>
              </w:rPr>
              <w:t>Faculté des sciences de l’éducation, Université de Montréal</w:t>
            </w:r>
          </w:p>
          <w:p w14:paraId="65E55943" w14:textId="622B5055" w:rsidR="0065175B" w:rsidRPr="00F3780C" w:rsidRDefault="0065175B" w:rsidP="0065175B">
            <w:pPr>
              <w:ind w:firstLine="0"/>
              <w:jc w:val="center"/>
              <w:rPr>
                <w:sz w:val="20"/>
                <w:lang w:bidi="ar-SA"/>
              </w:rPr>
            </w:pPr>
          </w:p>
          <w:p w14:paraId="2A9E4817" w14:textId="77777777" w:rsidR="0065175B" w:rsidRPr="00AA0F60" w:rsidRDefault="0065175B" w:rsidP="0065175B">
            <w:pPr>
              <w:pStyle w:val="Corpsdetexte"/>
              <w:widowControl w:val="0"/>
              <w:spacing w:before="0" w:after="0"/>
              <w:rPr>
                <w:sz w:val="44"/>
                <w:lang w:bidi="ar-SA"/>
              </w:rPr>
            </w:pPr>
            <w:r w:rsidRPr="00AA0F60">
              <w:rPr>
                <w:sz w:val="44"/>
                <w:lang w:bidi="ar-SA"/>
              </w:rPr>
              <w:t>(</w:t>
            </w:r>
            <w:r>
              <w:rPr>
                <w:sz w:val="44"/>
                <w:lang w:bidi="ar-SA"/>
              </w:rPr>
              <w:t>2006</w:t>
            </w:r>
            <w:r w:rsidRPr="00AA0F60">
              <w:rPr>
                <w:sz w:val="44"/>
                <w:lang w:bidi="ar-SA"/>
              </w:rPr>
              <w:t>)</w:t>
            </w:r>
          </w:p>
          <w:p w14:paraId="154071A6" w14:textId="77777777" w:rsidR="0065175B" w:rsidRDefault="0065175B" w:rsidP="0065175B">
            <w:pPr>
              <w:pStyle w:val="Corpsdetexte"/>
              <w:widowControl w:val="0"/>
              <w:spacing w:before="0" w:after="0"/>
              <w:rPr>
                <w:color w:val="FF0000"/>
                <w:sz w:val="24"/>
                <w:lang w:bidi="ar-SA"/>
              </w:rPr>
            </w:pPr>
          </w:p>
          <w:p w14:paraId="6454B83B" w14:textId="77777777" w:rsidR="0065175B" w:rsidRDefault="0065175B" w:rsidP="0065175B">
            <w:pPr>
              <w:pStyle w:val="Corpsdetexte"/>
              <w:widowControl w:val="0"/>
              <w:spacing w:before="0" w:after="0"/>
              <w:rPr>
                <w:color w:val="FF0000"/>
                <w:sz w:val="24"/>
                <w:lang w:bidi="ar-SA"/>
              </w:rPr>
            </w:pPr>
          </w:p>
          <w:p w14:paraId="212CA1DA" w14:textId="77777777" w:rsidR="0065175B" w:rsidRPr="00677729" w:rsidRDefault="0065175B" w:rsidP="0065175B">
            <w:pPr>
              <w:pStyle w:val="Titlest"/>
            </w:pPr>
            <w:r w:rsidRPr="00677729">
              <w:t>“La “gouvernance” de</w:t>
            </w:r>
            <w:r>
              <w:br/>
            </w:r>
            <w:r w:rsidRPr="00677729">
              <w:t>l’éducation au Canada :</w:t>
            </w:r>
            <w:r>
              <w:br/>
            </w:r>
            <w:r w:rsidRPr="00677729">
              <w:t>tenda</w:t>
            </w:r>
            <w:r w:rsidRPr="00677729">
              <w:t>n</w:t>
            </w:r>
            <w:r w:rsidRPr="00677729">
              <w:t>ces et significations.”</w:t>
            </w:r>
          </w:p>
          <w:p w14:paraId="4849E9AF" w14:textId="77777777" w:rsidR="0065175B" w:rsidRDefault="0065175B" w:rsidP="0065175B">
            <w:pPr>
              <w:widowControl w:val="0"/>
              <w:ind w:firstLine="0"/>
              <w:jc w:val="center"/>
              <w:rPr>
                <w:lang w:bidi="ar-SA"/>
              </w:rPr>
            </w:pPr>
          </w:p>
          <w:p w14:paraId="5696AEF9" w14:textId="77777777" w:rsidR="0065175B" w:rsidRDefault="0065175B" w:rsidP="0065175B">
            <w:pPr>
              <w:widowControl w:val="0"/>
              <w:ind w:firstLine="0"/>
              <w:jc w:val="center"/>
              <w:rPr>
                <w:lang w:bidi="ar-SA"/>
              </w:rPr>
            </w:pPr>
          </w:p>
          <w:p w14:paraId="6DC35C79" w14:textId="77777777" w:rsidR="0065175B" w:rsidRDefault="0065175B" w:rsidP="0065175B">
            <w:pPr>
              <w:widowControl w:val="0"/>
              <w:ind w:firstLine="0"/>
              <w:jc w:val="center"/>
              <w:rPr>
                <w:sz w:val="20"/>
                <w:lang w:bidi="ar-SA"/>
              </w:rPr>
            </w:pPr>
          </w:p>
          <w:p w14:paraId="7ABF7BE0" w14:textId="77777777" w:rsidR="0065175B" w:rsidRDefault="0065175B" w:rsidP="0065175B">
            <w:pPr>
              <w:widowControl w:val="0"/>
              <w:ind w:firstLine="0"/>
              <w:jc w:val="center"/>
              <w:rPr>
                <w:sz w:val="20"/>
                <w:lang w:bidi="ar-SA"/>
              </w:rPr>
            </w:pPr>
          </w:p>
          <w:p w14:paraId="1F002C33" w14:textId="77777777" w:rsidR="0065175B" w:rsidRPr="00384B20" w:rsidRDefault="0065175B">
            <w:pPr>
              <w:widowControl w:val="0"/>
              <w:ind w:firstLine="0"/>
              <w:jc w:val="center"/>
              <w:rPr>
                <w:sz w:val="20"/>
                <w:lang w:bidi="ar-SA"/>
              </w:rPr>
            </w:pPr>
          </w:p>
          <w:p w14:paraId="64AC62B0" w14:textId="77777777" w:rsidR="0065175B" w:rsidRPr="00384B20" w:rsidRDefault="0065175B">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4452E2B0" w14:textId="77777777" w:rsidR="0065175B" w:rsidRPr="00E07116" w:rsidRDefault="0065175B">
            <w:pPr>
              <w:widowControl w:val="0"/>
              <w:ind w:firstLine="0"/>
              <w:jc w:val="both"/>
              <w:rPr>
                <w:lang w:bidi="ar-SA"/>
              </w:rPr>
            </w:pPr>
          </w:p>
          <w:p w14:paraId="3ACF513B" w14:textId="77777777" w:rsidR="0065175B" w:rsidRPr="00E07116" w:rsidRDefault="0065175B">
            <w:pPr>
              <w:widowControl w:val="0"/>
              <w:ind w:firstLine="0"/>
              <w:jc w:val="both"/>
              <w:rPr>
                <w:lang w:bidi="ar-SA"/>
              </w:rPr>
            </w:pPr>
          </w:p>
          <w:p w14:paraId="3E6C0F5D" w14:textId="77777777" w:rsidR="0065175B" w:rsidRDefault="0065175B">
            <w:pPr>
              <w:widowControl w:val="0"/>
              <w:ind w:firstLine="0"/>
              <w:jc w:val="both"/>
              <w:rPr>
                <w:lang w:bidi="ar-SA"/>
              </w:rPr>
            </w:pPr>
          </w:p>
          <w:p w14:paraId="52962ED6" w14:textId="77777777" w:rsidR="0065175B" w:rsidRDefault="0065175B">
            <w:pPr>
              <w:widowControl w:val="0"/>
              <w:ind w:firstLine="0"/>
              <w:jc w:val="both"/>
              <w:rPr>
                <w:lang w:bidi="ar-SA"/>
              </w:rPr>
            </w:pPr>
          </w:p>
          <w:p w14:paraId="668FAF97" w14:textId="77777777" w:rsidR="0065175B" w:rsidRDefault="0065175B">
            <w:pPr>
              <w:widowControl w:val="0"/>
              <w:ind w:firstLine="0"/>
              <w:jc w:val="both"/>
              <w:rPr>
                <w:lang w:bidi="ar-SA"/>
              </w:rPr>
            </w:pPr>
          </w:p>
          <w:p w14:paraId="31502A9E" w14:textId="77777777" w:rsidR="0065175B" w:rsidRPr="00E07116" w:rsidRDefault="0065175B">
            <w:pPr>
              <w:widowControl w:val="0"/>
              <w:ind w:firstLine="0"/>
              <w:jc w:val="both"/>
              <w:rPr>
                <w:lang w:bidi="ar-SA"/>
              </w:rPr>
            </w:pPr>
          </w:p>
          <w:p w14:paraId="6B7FC56A" w14:textId="77777777" w:rsidR="0065175B" w:rsidRDefault="0065175B">
            <w:pPr>
              <w:widowControl w:val="0"/>
              <w:ind w:firstLine="0"/>
              <w:jc w:val="both"/>
              <w:rPr>
                <w:lang w:bidi="ar-SA"/>
              </w:rPr>
            </w:pPr>
          </w:p>
          <w:p w14:paraId="1FC5616E" w14:textId="77777777" w:rsidR="0065175B" w:rsidRPr="00E07116" w:rsidRDefault="0065175B">
            <w:pPr>
              <w:widowControl w:val="0"/>
              <w:ind w:firstLine="0"/>
              <w:jc w:val="both"/>
              <w:rPr>
                <w:lang w:bidi="ar-SA"/>
              </w:rPr>
            </w:pPr>
          </w:p>
          <w:p w14:paraId="72377E6B" w14:textId="77777777" w:rsidR="0065175B" w:rsidRPr="00E07116" w:rsidRDefault="0065175B">
            <w:pPr>
              <w:ind w:firstLine="0"/>
              <w:jc w:val="both"/>
              <w:rPr>
                <w:lang w:bidi="ar-SA"/>
              </w:rPr>
            </w:pPr>
          </w:p>
        </w:tc>
      </w:tr>
    </w:tbl>
    <w:p w14:paraId="67FAA6B8" w14:textId="77777777" w:rsidR="0065175B" w:rsidRDefault="0065175B" w:rsidP="0065175B">
      <w:pPr>
        <w:ind w:firstLine="0"/>
        <w:jc w:val="both"/>
      </w:pPr>
      <w:r w:rsidRPr="00E07116">
        <w:br w:type="page"/>
      </w:r>
    </w:p>
    <w:p w14:paraId="15DACA32" w14:textId="77777777" w:rsidR="0065175B" w:rsidRDefault="0065175B" w:rsidP="0065175B">
      <w:pPr>
        <w:ind w:firstLine="0"/>
        <w:jc w:val="both"/>
      </w:pPr>
    </w:p>
    <w:p w14:paraId="058BA27B" w14:textId="77777777" w:rsidR="0065175B" w:rsidRDefault="0065175B" w:rsidP="0065175B">
      <w:pPr>
        <w:ind w:firstLine="0"/>
        <w:jc w:val="both"/>
      </w:pPr>
    </w:p>
    <w:p w14:paraId="58E4F2A4" w14:textId="77777777" w:rsidR="0065175B" w:rsidRDefault="0065175B" w:rsidP="0065175B">
      <w:pPr>
        <w:ind w:firstLine="0"/>
        <w:jc w:val="both"/>
      </w:pPr>
    </w:p>
    <w:p w14:paraId="623D72FD" w14:textId="77777777" w:rsidR="0065175B" w:rsidRDefault="00035F0D" w:rsidP="0065175B">
      <w:pPr>
        <w:ind w:firstLine="0"/>
        <w:jc w:val="right"/>
      </w:pPr>
      <w:r>
        <w:rPr>
          <w:noProof/>
        </w:rPr>
        <w:drawing>
          <wp:inline distT="0" distB="0" distL="0" distR="0" wp14:anchorId="4B332E81" wp14:editId="058BF112">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6A7145F3" w14:textId="77777777" w:rsidR="0065175B" w:rsidRDefault="0065175B" w:rsidP="0065175B">
      <w:pPr>
        <w:ind w:firstLine="0"/>
        <w:jc w:val="right"/>
      </w:pPr>
      <w:hyperlink r:id="rId9" w:history="1">
        <w:r w:rsidRPr="00302466">
          <w:rPr>
            <w:rStyle w:val="Hyperlien"/>
          </w:rPr>
          <w:t>http://classiques.uqac.ca/</w:t>
        </w:r>
      </w:hyperlink>
      <w:r>
        <w:t xml:space="preserve"> </w:t>
      </w:r>
    </w:p>
    <w:p w14:paraId="169566A7" w14:textId="77777777" w:rsidR="0065175B" w:rsidRDefault="0065175B" w:rsidP="0065175B">
      <w:pPr>
        <w:ind w:firstLine="0"/>
        <w:jc w:val="both"/>
      </w:pPr>
    </w:p>
    <w:p w14:paraId="7C8FD34E" w14:textId="77777777" w:rsidR="0065175B" w:rsidRDefault="0065175B" w:rsidP="0065175B">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34AA51D8" w14:textId="77777777" w:rsidR="0065175B" w:rsidRDefault="0065175B" w:rsidP="0065175B">
      <w:pPr>
        <w:ind w:firstLine="0"/>
        <w:jc w:val="both"/>
      </w:pPr>
    </w:p>
    <w:p w14:paraId="0512A4B6" w14:textId="77777777" w:rsidR="0065175B" w:rsidRDefault="0065175B" w:rsidP="0065175B">
      <w:pPr>
        <w:ind w:firstLine="0"/>
        <w:jc w:val="both"/>
      </w:pPr>
    </w:p>
    <w:p w14:paraId="37459A68" w14:textId="77777777" w:rsidR="0065175B" w:rsidRDefault="00035F0D" w:rsidP="0065175B">
      <w:pPr>
        <w:ind w:firstLine="0"/>
        <w:jc w:val="both"/>
      </w:pPr>
      <w:r>
        <w:rPr>
          <w:noProof/>
        </w:rPr>
        <w:drawing>
          <wp:inline distT="0" distB="0" distL="0" distR="0" wp14:anchorId="64ABE9B9" wp14:editId="3232422A">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04415BC8" w14:textId="77777777" w:rsidR="0065175B" w:rsidRDefault="0065175B" w:rsidP="0065175B">
      <w:pPr>
        <w:ind w:firstLine="0"/>
        <w:jc w:val="both"/>
      </w:pPr>
      <w:hyperlink r:id="rId11" w:history="1">
        <w:r w:rsidRPr="00302466">
          <w:rPr>
            <w:rStyle w:val="Hyperlien"/>
          </w:rPr>
          <w:t>http://bibliotheque.uqac.ca/</w:t>
        </w:r>
      </w:hyperlink>
      <w:r>
        <w:t xml:space="preserve"> </w:t>
      </w:r>
    </w:p>
    <w:p w14:paraId="5A6AAC85" w14:textId="77777777" w:rsidR="0065175B" w:rsidRDefault="0065175B" w:rsidP="0065175B">
      <w:pPr>
        <w:ind w:firstLine="0"/>
        <w:jc w:val="both"/>
      </w:pPr>
    </w:p>
    <w:p w14:paraId="4969523E" w14:textId="77777777" w:rsidR="0065175B" w:rsidRDefault="0065175B" w:rsidP="0065175B">
      <w:pPr>
        <w:ind w:firstLine="0"/>
        <w:jc w:val="both"/>
      </w:pPr>
    </w:p>
    <w:p w14:paraId="6884EBE3" w14:textId="77777777" w:rsidR="0065175B" w:rsidRDefault="0065175B" w:rsidP="0065175B">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4E5A5BB9" w14:textId="77777777" w:rsidR="0065175B" w:rsidRPr="00E07116" w:rsidRDefault="0065175B" w:rsidP="0065175B">
      <w:pPr>
        <w:widowControl w:val="0"/>
        <w:autoSpaceDE w:val="0"/>
        <w:autoSpaceDN w:val="0"/>
        <w:adjustRightInd w:val="0"/>
        <w:rPr>
          <w:szCs w:val="32"/>
        </w:rPr>
      </w:pPr>
      <w:r w:rsidRPr="00E07116">
        <w:br w:type="page"/>
      </w:r>
    </w:p>
    <w:p w14:paraId="7B7DB680" w14:textId="77777777" w:rsidR="0065175B" w:rsidRPr="005B6592" w:rsidRDefault="0065175B">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20CF34BA" w14:textId="77777777" w:rsidR="0065175B" w:rsidRPr="00E07116" w:rsidRDefault="0065175B">
      <w:pPr>
        <w:widowControl w:val="0"/>
        <w:autoSpaceDE w:val="0"/>
        <w:autoSpaceDN w:val="0"/>
        <w:adjustRightInd w:val="0"/>
        <w:rPr>
          <w:szCs w:val="32"/>
        </w:rPr>
      </w:pPr>
    </w:p>
    <w:p w14:paraId="48269086" w14:textId="77777777" w:rsidR="0065175B" w:rsidRPr="00E07116" w:rsidRDefault="0065175B">
      <w:pPr>
        <w:widowControl w:val="0"/>
        <w:autoSpaceDE w:val="0"/>
        <w:autoSpaceDN w:val="0"/>
        <w:adjustRightInd w:val="0"/>
        <w:jc w:val="both"/>
        <w:rPr>
          <w:color w:val="1C1C1C"/>
          <w:szCs w:val="26"/>
        </w:rPr>
      </w:pPr>
    </w:p>
    <w:p w14:paraId="0A832D10" w14:textId="77777777" w:rsidR="0065175B" w:rsidRPr="00E07116" w:rsidRDefault="0065175B">
      <w:pPr>
        <w:widowControl w:val="0"/>
        <w:autoSpaceDE w:val="0"/>
        <w:autoSpaceDN w:val="0"/>
        <w:adjustRightInd w:val="0"/>
        <w:jc w:val="both"/>
        <w:rPr>
          <w:color w:val="1C1C1C"/>
          <w:szCs w:val="26"/>
        </w:rPr>
      </w:pPr>
    </w:p>
    <w:p w14:paraId="6564841F" w14:textId="77777777" w:rsidR="0065175B" w:rsidRPr="00E07116" w:rsidRDefault="0065175B">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5C2D73C6" w14:textId="77777777" w:rsidR="0065175B" w:rsidRPr="00E07116" w:rsidRDefault="0065175B">
      <w:pPr>
        <w:widowControl w:val="0"/>
        <w:autoSpaceDE w:val="0"/>
        <w:autoSpaceDN w:val="0"/>
        <w:adjustRightInd w:val="0"/>
        <w:jc w:val="both"/>
        <w:rPr>
          <w:color w:val="1C1C1C"/>
          <w:szCs w:val="26"/>
        </w:rPr>
      </w:pPr>
    </w:p>
    <w:p w14:paraId="56BF5CF4" w14:textId="77777777" w:rsidR="0065175B" w:rsidRPr="00E07116" w:rsidRDefault="0065175B" w:rsidP="0065175B">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065DD74F" w14:textId="77777777" w:rsidR="0065175B" w:rsidRPr="00E07116" w:rsidRDefault="0065175B" w:rsidP="0065175B">
      <w:pPr>
        <w:widowControl w:val="0"/>
        <w:autoSpaceDE w:val="0"/>
        <w:autoSpaceDN w:val="0"/>
        <w:adjustRightInd w:val="0"/>
        <w:jc w:val="both"/>
        <w:rPr>
          <w:color w:val="1C1C1C"/>
          <w:szCs w:val="26"/>
        </w:rPr>
      </w:pPr>
    </w:p>
    <w:p w14:paraId="59199CEF" w14:textId="77777777" w:rsidR="0065175B" w:rsidRPr="00E07116" w:rsidRDefault="0065175B" w:rsidP="0065175B">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46A64F3F" w14:textId="77777777" w:rsidR="0065175B" w:rsidRPr="00E07116" w:rsidRDefault="0065175B" w:rsidP="0065175B">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753AF63B" w14:textId="77777777" w:rsidR="0065175B" w:rsidRPr="00E07116" w:rsidRDefault="0065175B" w:rsidP="0065175B">
      <w:pPr>
        <w:widowControl w:val="0"/>
        <w:autoSpaceDE w:val="0"/>
        <w:autoSpaceDN w:val="0"/>
        <w:adjustRightInd w:val="0"/>
        <w:jc w:val="both"/>
        <w:rPr>
          <w:color w:val="1C1C1C"/>
          <w:szCs w:val="26"/>
        </w:rPr>
      </w:pPr>
    </w:p>
    <w:p w14:paraId="7205272C" w14:textId="77777777" w:rsidR="0065175B" w:rsidRPr="00E07116" w:rsidRDefault="0065175B">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4ABCB8FF" w14:textId="77777777" w:rsidR="0065175B" w:rsidRPr="00E07116" w:rsidRDefault="0065175B">
      <w:pPr>
        <w:widowControl w:val="0"/>
        <w:autoSpaceDE w:val="0"/>
        <w:autoSpaceDN w:val="0"/>
        <w:adjustRightInd w:val="0"/>
        <w:jc w:val="both"/>
        <w:rPr>
          <w:color w:val="1C1C1C"/>
          <w:szCs w:val="26"/>
        </w:rPr>
      </w:pPr>
    </w:p>
    <w:p w14:paraId="4511EBC6" w14:textId="77777777" w:rsidR="0065175B" w:rsidRPr="00E07116" w:rsidRDefault="0065175B">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5B8EDC4D" w14:textId="77777777" w:rsidR="0065175B" w:rsidRPr="00E07116" w:rsidRDefault="0065175B">
      <w:pPr>
        <w:rPr>
          <w:b/>
          <w:color w:val="1C1C1C"/>
          <w:szCs w:val="26"/>
        </w:rPr>
      </w:pPr>
    </w:p>
    <w:p w14:paraId="12A659DB" w14:textId="77777777" w:rsidR="0065175B" w:rsidRPr="00E07116" w:rsidRDefault="0065175B">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12D1DEE8" w14:textId="77777777" w:rsidR="0065175B" w:rsidRPr="00E07116" w:rsidRDefault="0065175B">
      <w:pPr>
        <w:rPr>
          <w:b/>
          <w:color w:val="1C1C1C"/>
          <w:szCs w:val="26"/>
        </w:rPr>
      </w:pPr>
    </w:p>
    <w:p w14:paraId="1861348A" w14:textId="77777777" w:rsidR="0065175B" w:rsidRPr="00E07116" w:rsidRDefault="0065175B">
      <w:pPr>
        <w:rPr>
          <w:color w:val="1C1C1C"/>
          <w:szCs w:val="26"/>
        </w:rPr>
      </w:pPr>
      <w:r w:rsidRPr="00E07116">
        <w:rPr>
          <w:color w:val="1C1C1C"/>
          <w:szCs w:val="26"/>
        </w:rPr>
        <w:t>Jean-Marie Tremblay, sociologue</w:t>
      </w:r>
    </w:p>
    <w:p w14:paraId="642945D5" w14:textId="77777777" w:rsidR="0065175B" w:rsidRPr="00E07116" w:rsidRDefault="0065175B">
      <w:pPr>
        <w:rPr>
          <w:color w:val="1C1C1C"/>
          <w:szCs w:val="26"/>
        </w:rPr>
      </w:pPr>
      <w:r w:rsidRPr="00E07116">
        <w:rPr>
          <w:color w:val="1C1C1C"/>
          <w:szCs w:val="26"/>
        </w:rPr>
        <w:t>Fondateur et Président-directeur général,</w:t>
      </w:r>
    </w:p>
    <w:p w14:paraId="1E68E2F5" w14:textId="77777777" w:rsidR="0065175B" w:rsidRPr="00E07116" w:rsidRDefault="0065175B">
      <w:pPr>
        <w:rPr>
          <w:color w:val="000080"/>
        </w:rPr>
      </w:pPr>
      <w:r w:rsidRPr="00E07116">
        <w:rPr>
          <w:color w:val="000080"/>
          <w:szCs w:val="26"/>
        </w:rPr>
        <w:t>LES CLASSIQUES DES SCIENCES SOCIALES.</w:t>
      </w:r>
    </w:p>
    <w:p w14:paraId="38D79E08" w14:textId="77777777" w:rsidR="0065175B" w:rsidRPr="00CF4C8E" w:rsidRDefault="0065175B" w:rsidP="0065175B">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42D66841" w14:textId="77777777" w:rsidR="0065175B" w:rsidRPr="00CF4C8E" w:rsidRDefault="0065175B" w:rsidP="0065175B">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366A6D2A" w14:textId="77777777" w:rsidR="0065175B" w:rsidRPr="00CF4C8E" w:rsidRDefault="0065175B" w:rsidP="0065175B">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2BEABF26" w14:textId="77777777" w:rsidR="0065175B" w:rsidRPr="00CF4C8E" w:rsidRDefault="0065175B" w:rsidP="0065175B">
      <w:pPr>
        <w:ind w:left="20" w:hanging="20"/>
        <w:jc w:val="both"/>
        <w:rPr>
          <w:sz w:val="24"/>
        </w:rPr>
      </w:pPr>
      <w:r w:rsidRPr="00CF4C8E">
        <w:rPr>
          <w:sz w:val="24"/>
        </w:rPr>
        <w:t>à partir du texte de :</w:t>
      </w:r>
    </w:p>
    <w:p w14:paraId="67B3D4F1" w14:textId="77777777" w:rsidR="0065175B" w:rsidRDefault="0065175B" w:rsidP="0065175B">
      <w:pPr>
        <w:ind w:firstLine="0"/>
        <w:jc w:val="both"/>
        <w:rPr>
          <w:sz w:val="24"/>
        </w:rPr>
      </w:pPr>
    </w:p>
    <w:p w14:paraId="78FD0DF8" w14:textId="77777777" w:rsidR="0065175B" w:rsidRPr="00384B20" w:rsidRDefault="0065175B" w:rsidP="0065175B">
      <w:pPr>
        <w:ind w:firstLine="0"/>
        <w:jc w:val="both"/>
        <w:rPr>
          <w:sz w:val="24"/>
        </w:rPr>
      </w:pPr>
    </w:p>
    <w:p w14:paraId="1F0DDCEE" w14:textId="77777777" w:rsidR="0065175B" w:rsidRPr="00E07116" w:rsidRDefault="0065175B" w:rsidP="0065175B">
      <w:pPr>
        <w:ind w:left="20" w:firstLine="340"/>
        <w:jc w:val="both"/>
      </w:pPr>
      <w:r>
        <w:t>Claude Lessard, en collaboration avec André Brassard</w:t>
      </w:r>
    </w:p>
    <w:p w14:paraId="71E1576C" w14:textId="77777777" w:rsidR="0065175B" w:rsidRPr="00E07116" w:rsidRDefault="0065175B" w:rsidP="0065175B">
      <w:pPr>
        <w:ind w:left="20" w:firstLine="340"/>
        <w:jc w:val="both"/>
      </w:pPr>
    </w:p>
    <w:p w14:paraId="6CE3B694" w14:textId="77777777" w:rsidR="0065175B" w:rsidRPr="00C740C0" w:rsidRDefault="0065175B" w:rsidP="0065175B">
      <w:pPr>
        <w:jc w:val="both"/>
        <w:rPr>
          <w:b/>
          <w:color w:val="000080"/>
        </w:rPr>
      </w:pPr>
      <w:r w:rsidRPr="00677729">
        <w:rPr>
          <w:b/>
          <w:color w:val="000080"/>
        </w:rPr>
        <w:t>“La “gouvernance” de l’éducation au Canada: tendances et s</w:t>
      </w:r>
      <w:r w:rsidRPr="00677729">
        <w:rPr>
          <w:b/>
          <w:color w:val="000080"/>
        </w:rPr>
        <w:t>i</w:t>
      </w:r>
      <w:r w:rsidRPr="00677729">
        <w:rPr>
          <w:b/>
          <w:color w:val="000080"/>
        </w:rPr>
        <w:t>gnifications.”</w:t>
      </w:r>
    </w:p>
    <w:p w14:paraId="76E03EC7" w14:textId="77777777" w:rsidR="0065175B" w:rsidRPr="00E07116" w:rsidRDefault="0065175B" w:rsidP="0065175B">
      <w:pPr>
        <w:jc w:val="both"/>
      </w:pPr>
    </w:p>
    <w:p w14:paraId="13D5519B" w14:textId="77777777" w:rsidR="0065175B" w:rsidRPr="00E07116" w:rsidRDefault="0065175B" w:rsidP="0065175B">
      <w:pPr>
        <w:jc w:val="both"/>
      </w:pPr>
    </w:p>
    <w:p w14:paraId="79A85DC7" w14:textId="77777777" w:rsidR="0065175B" w:rsidRPr="00C740C0" w:rsidRDefault="0065175B" w:rsidP="0065175B">
      <w:pPr>
        <w:jc w:val="both"/>
        <w:rPr>
          <w:sz w:val="24"/>
        </w:rPr>
      </w:pPr>
      <w:r>
        <w:t xml:space="preserve">In revue </w:t>
      </w:r>
      <w:r w:rsidRPr="003E79D5">
        <w:rPr>
          <w:b/>
          <w:i/>
        </w:rPr>
        <w:t>Éducation et sociétés</w:t>
      </w:r>
      <w:r>
        <w:t xml:space="preserve">, </w:t>
      </w:r>
      <w:r w:rsidRPr="005E46D3">
        <w:t>2006/2</w:t>
      </w:r>
      <w:r>
        <w:t>,</w:t>
      </w:r>
      <w:r w:rsidRPr="005E46D3">
        <w:t xml:space="preserve"> n°</w:t>
      </w:r>
      <w:r>
        <w:t xml:space="preserve"> 18, pp. 181 à 201. </w:t>
      </w:r>
      <w:r w:rsidRPr="005E46D3">
        <w:t>De B</w:t>
      </w:r>
      <w:r>
        <w:t>oeck Supérieur.</w:t>
      </w:r>
    </w:p>
    <w:p w14:paraId="4B229D85" w14:textId="77777777" w:rsidR="0065175B" w:rsidRPr="00384B20" w:rsidRDefault="0065175B" w:rsidP="0065175B">
      <w:pPr>
        <w:jc w:val="both"/>
        <w:rPr>
          <w:sz w:val="24"/>
        </w:rPr>
      </w:pPr>
    </w:p>
    <w:p w14:paraId="0A01C578" w14:textId="77777777" w:rsidR="0065175B" w:rsidRPr="00384B20" w:rsidRDefault="0065175B" w:rsidP="0065175B">
      <w:pPr>
        <w:jc w:val="both"/>
        <w:rPr>
          <w:sz w:val="24"/>
        </w:rPr>
      </w:pPr>
    </w:p>
    <w:p w14:paraId="01015162" w14:textId="77777777" w:rsidR="0065175B" w:rsidRPr="00384B20" w:rsidRDefault="0065175B" w:rsidP="0065175B">
      <w:pPr>
        <w:ind w:left="20"/>
        <w:jc w:val="both"/>
        <w:rPr>
          <w:sz w:val="24"/>
        </w:rPr>
      </w:pPr>
      <w:r>
        <w:rPr>
          <w:sz w:val="24"/>
        </w:rPr>
        <w:t>Claude Lessard nous a accordé</w:t>
      </w:r>
      <w:r w:rsidRPr="00384B20">
        <w:rPr>
          <w:sz w:val="24"/>
        </w:rPr>
        <w:t xml:space="preserve">, </w:t>
      </w:r>
      <w:r>
        <w:rPr>
          <w:sz w:val="24"/>
        </w:rPr>
        <w:t>le 27 avril 2022,</w:t>
      </w:r>
      <w:r w:rsidRPr="00384B20">
        <w:rPr>
          <w:sz w:val="24"/>
        </w:rPr>
        <w:t xml:space="preserve"> l’autoris</w:t>
      </w:r>
      <w:r w:rsidRPr="00384B20">
        <w:rPr>
          <w:sz w:val="24"/>
        </w:rPr>
        <w:t>a</w:t>
      </w:r>
      <w:r w:rsidRPr="00384B20">
        <w:rPr>
          <w:sz w:val="24"/>
        </w:rPr>
        <w:t xml:space="preserve">tion de diffuser en </w:t>
      </w:r>
      <w:r>
        <w:rPr>
          <w:sz w:val="24"/>
        </w:rPr>
        <w:t xml:space="preserve">libre </w:t>
      </w:r>
      <w:r w:rsidRPr="00384B20">
        <w:rPr>
          <w:sz w:val="24"/>
        </w:rPr>
        <w:t xml:space="preserve">accès à tous ce </w:t>
      </w:r>
      <w:r>
        <w:rPr>
          <w:sz w:val="24"/>
        </w:rPr>
        <w:t>texte</w:t>
      </w:r>
      <w:r w:rsidRPr="00384B20">
        <w:rPr>
          <w:sz w:val="24"/>
        </w:rPr>
        <w:t xml:space="preserve"> dans Les Classiques des sciences soci</w:t>
      </w:r>
      <w:r w:rsidRPr="00384B20">
        <w:rPr>
          <w:sz w:val="24"/>
        </w:rPr>
        <w:t>a</w:t>
      </w:r>
      <w:r w:rsidRPr="00384B20">
        <w:rPr>
          <w:sz w:val="24"/>
        </w:rPr>
        <w:t>les.</w:t>
      </w:r>
    </w:p>
    <w:p w14:paraId="2A9BC657" w14:textId="77777777" w:rsidR="0065175B" w:rsidRPr="00384B20" w:rsidRDefault="0065175B" w:rsidP="0065175B">
      <w:pPr>
        <w:jc w:val="both"/>
        <w:rPr>
          <w:sz w:val="24"/>
        </w:rPr>
      </w:pPr>
    </w:p>
    <w:p w14:paraId="3514B1C1" w14:textId="77777777" w:rsidR="0065175B" w:rsidRPr="00973ED4" w:rsidRDefault="00035F0D" w:rsidP="0065175B">
      <w:pPr>
        <w:tabs>
          <w:tab w:val="left" w:pos="3150"/>
        </w:tabs>
        <w:ind w:firstLine="0"/>
        <w:rPr>
          <w:sz w:val="24"/>
        </w:rPr>
      </w:pPr>
      <w:r w:rsidRPr="00973ED4">
        <w:rPr>
          <w:noProof/>
          <w:sz w:val="24"/>
        </w:rPr>
        <w:drawing>
          <wp:inline distT="0" distB="0" distL="0" distR="0" wp14:anchorId="4D210492" wp14:editId="06B9418A">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65175B" w:rsidRPr="00973ED4">
        <w:rPr>
          <w:sz w:val="24"/>
        </w:rPr>
        <w:t xml:space="preserve"> Courriel : Claude Lessard : </w:t>
      </w:r>
      <w:hyperlink r:id="rId15" w:history="1">
        <w:r w:rsidR="0065175B" w:rsidRPr="00973ED4">
          <w:rPr>
            <w:rStyle w:val="Hyperlien"/>
            <w:sz w:val="24"/>
          </w:rPr>
          <w:t>claude.lessard@umontreal.ca</w:t>
        </w:r>
      </w:hyperlink>
      <w:r w:rsidR="0065175B" w:rsidRPr="00973ED4">
        <w:rPr>
          <w:sz w:val="24"/>
        </w:rPr>
        <w:t xml:space="preserve"> </w:t>
      </w:r>
    </w:p>
    <w:p w14:paraId="75F3F64A" w14:textId="77777777" w:rsidR="0065175B" w:rsidRDefault="0065175B" w:rsidP="0065175B">
      <w:pPr>
        <w:ind w:left="20"/>
        <w:jc w:val="both"/>
        <w:rPr>
          <w:sz w:val="24"/>
        </w:rPr>
      </w:pPr>
    </w:p>
    <w:p w14:paraId="2B3C6DC8" w14:textId="77777777" w:rsidR="0065175B" w:rsidRPr="00384B20" w:rsidRDefault="0065175B" w:rsidP="0065175B">
      <w:pPr>
        <w:ind w:left="20"/>
        <w:jc w:val="both"/>
        <w:rPr>
          <w:sz w:val="24"/>
        </w:rPr>
      </w:pPr>
    </w:p>
    <w:p w14:paraId="484C5B50" w14:textId="77777777" w:rsidR="0065175B" w:rsidRPr="00384B20" w:rsidRDefault="0065175B">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3457D4BE" w14:textId="77777777" w:rsidR="0065175B" w:rsidRPr="00384B20" w:rsidRDefault="0065175B">
      <w:pPr>
        <w:ind w:right="1800" w:firstLine="0"/>
        <w:jc w:val="both"/>
        <w:rPr>
          <w:sz w:val="24"/>
        </w:rPr>
      </w:pPr>
    </w:p>
    <w:p w14:paraId="28895E35" w14:textId="77777777" w:rsidR="0065175B" w:rsidRPr="00384B20" w:rsidRDefault="0065175B" w:rsidP="0065175B">
      <w:pPr>
        <w:ind w:left="360" w:right="360" w:firstLine="0"/>
        <w:jc w:val="both"/>
        <w:rPr>
          <w:sz w:val="24"/>
        </w:rPr>
      </w:pPr>
      <w:r w:rsidRPr="00384B20">
        <w:rPr>
          <w:sz w:val="24"/>
        </w:rPr>
        <w:t>Pour le texte: Times New Roman, 14 points.</w:t>
      </w:r>
    </w:p>
    <w:p w14:paraId="38EFE149" w14:textId="77777777" w:rsidR="0065175B" w:rsidRPr="00384B20" w:rsidRDefault="0065175B" w:rsidP="0065175B">
      <w:pPr>
        <w:ind w:left="360" w:right="360" w:firstLine="0"/>
        <w:jc w:val="both"/>
        <w:rPr>
          <w:sz w:val="24"/>
        </w:rPr>
      </w:pPr>
      <w:r w:rsidRPr="00384B20">
        <w:rPr>
          <w:sz w:val="24"/>
        </w:rPr>
        <w:t>Pour les notes de bas de page : Times New Roman, 12 points.</w:t>
      </w:r>
    </w:p>
    <w:p w14:paraId="65A272AD" w14:textId="77777777" w:rsidR="0065175B" w:rsidRPr="00384B20" w:rsidRDefault="0065175B">
      <w:pPr>
        <w:ind w:left="360" w:right="1800" w:firstLine="0"/>
        <w:jc w:val="both"/>
        <w:rPr>
          <w:sz w:val="24"/>
        </w:rPr>
      </w:pPr>
    </w:p>
    <w:p w14:paraId="241649CA" w14:textId="77777777" w:rsidR="0065175B" w:rsidRPr="00384B20" w:rsidRDefault="0065175B">
      <w:pPr>
        <w:ind w:right="360" w:firstLine="0"/>
        <w:jc w:val="both"/>
        <w:rPr>
          <w:sz w:val="24"/>
        </w:rPr>
      </w:pPr>
      <w:r w:rsidRPr="00384B20">
        <w:rPr>
          <w:sz w:val="24"/>
        </w:rPr>
        <w:t>Édition électronique réalisée avec le traitement de textes Microsoft Word 2008 pour Macintosh.</w:t>
      </w:r>
    </w:p>
    <w:p w14:paraId="0619964A" w14:textId="77777777" w:rsidR="0065175B" w:rsidRPr="00384B20" w:rsidRDefault="0065175B">
      <w:pPr>
        <w:ind w:right="1800" w:firstLine="0"/>
        <w:jc w:val="both"/>
        <w:rPr>
          <w:sz w:val="24"/>
        </w:rPr>
      </w:pPr>
    </w:p>
    <w:p w14:paraId="1EA74870" w14:textId="77777777" w:rsidR="0065175B" w:rsidRPr="00384B20" w:rsidRDefault="0065175B" w:rsidP="0065175B">
      <w:pPr>
        <w:ind w:right="540" w:firstLine="0"/>
        <w:jc w:val="both"/>
        <w:rPr>
          <w:sz w:val="24"/>
        </w:rPr>
      </w:pPr>
      <w:r w:rsidRPr="00384B20">
        <w:rPr>
          <w:sz w:val="24"/>
        </w:rPr>
        <w:t>Mise en page sur papier format : LETTRE US, 8.5’’ x 11’’.</w:t>
      </w:r>
    </w:p>
    <w:p w14:paraId="1292A2F8" w14:textId="77777777" w:rsidR="0065175B" w:rsidRPr="00384B20" w:rsidRDefault="0065175B">
      <w:pPr>
        <w:ind w:right="1800" w:firstLine="0"/>
        <w:jc w:val="both"/>
        <w:rPr>
          <w:sz w:val="24"/>
        </w:rPr>
      </w:pPr>
    </w:p>
    <w:p w14:paraId="1E82B300" w14:textId="77777777" w:rsidR="0065175B" w:rsidRPr="00384B20" w:rsidRDefault="0065175B" w:rsidP="0065175B">
      <w:pPr>
        <w:ind w:firstLine="0"/>
        <w:jc w:val="both"/>
        <w:rPr>
          <w:sz w:val="24"/>
        </w:rPr>
      </w:pPr>
      <w:r w:rsidRPr="00384B20">
        <w:rPr>
          <w:sz w:val="24"/>
        </w:rPr>
        <w:t xml:space="preserve">Édition numérique réalisée le </w:t>
      </w:r>
      <w:r>
        <w:rPr>
          <w:sz w:val="24"/>
        </w:rPr>
        <w:t>23 mai 2022 à Chicoutimi</w:t>
      </w:r>
      <w:r w:rsidRPr="00384B20">
        <w:rPr>
          <w:sz w:val="24"/>
        </w:rPr>
        <w:t>, Qu</w:t>
      </w:r>
      <w:r w:rsidRPr="00384B20">
        <w:rPr>
          <w:sz w:val="24"/>
        </w:rPr>
        <w:t>é</w:t>
      </w:r>
      <w:r w:rsidRPr="00384B20">
        <w:rPr>
          <w:sz w:val="24"/>
        </w:rPr>
        <w:t>bec.</w:t>
      </w:r>
    </w:p>
    <w:p w14:paraId="1719D59A" w14:textId="77777777" w:rsidR="0065175B" w:rsidRPr="00384B20" w:rsidRDefault="0065175B">
      <w:pPr>
        <w:ind w:right="1800" w:firstLine="0"/>
        <w:jc w:val="both"/>
        <w:rPr>
          <w:sz w:val="24"/>
        </w:rPr>
      </w:pPr>
    </w:p>
    <w:p w14:paraId="55243D2D" w14:textId="77777777" w:rsidR="0065175B" w:rsidRPr="00E07116" w:rsidRDefault="00035F0D">
      <w:pPr>
        <w:ind w:right="1800" w:firstLine="0"/>
        <w:jc w:val="both"/>
      </w:pPr>
      <w:r w:rsidRPr="00E07116">
        <w:rPr>
          <w:noProof/>
        </w:rPr>
        <w:drawing>
          <wp:inline distT="0" distB="0" distL="0" distR="0" wp14:anchorId="0C13FF36" wp14:editId="7632774E">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6A4BC515" w14:textId="77777777" w:rsidR="0065175B" w:rsidRDefault="0065175B" w:rsidP="0065175B">
      <w:pPr>
        <w:ind w:left="20"/>
        <w:jc w:val="both"/>
      </w:pPr>
      <w:r w:rsidRPr="00E07116">
        <w:br w:type="page"/>
      </w:r>
    </w:p>
    <w:p w14:paraId="77D49962" w14:textId="77777777" w:rsidR="0065175B" w:rsidRPr="00E07116" w:rsidRDefault="0065175B" w:rsidP="0065175B">
      <w:pPr>
        <w:ind w:left="20"/>
        <w:jc w:val="both"/>
      </w:pPr>
    </w:p>
    <w:p w14:paraId="320D2DE1" w14:textId="77777777" w:rsidR="0065175B" w:rsidRDefault="0065175B" w:rsidP="0065175B">
      <w:pPr>
        <w:ind w:firstLine="0"/>
        <w:jc w:val="center"/>
        <w:rPr>
          <w:b/>
          <w:sz w:val="36"/>
        </w:rPr>
      </w:pPr>
      <w:r>
        <w:rPr>
          <w:sz w:val="36"/>
        </w:rPr>
        <w:t>Claude Lessard</w:t>
      </w:r>
    </w:p>
    <w:p w14:paraId="3EA5CC28" w14:textId="77777777" w:rsidR="0065175B" w:rsidRPr="00677729" w:rsidRDefault="0065175B" w:rsidP="0065175B">
      <w:pPr>
        <w:ind w:firstLine="0"/>
        <w:jc w:val="center"/>
        <w:rPr>
          <w:sz w:val="32"/>
          <w:lang w:bidi="ar-SA"/>
        </w:rPr>
      </w:pPr>
      <w:r w:rsidRPr="00677729">
        <w:rPr>
          <w:sz w:val="32"/>
          <w:lang w:bidi="ar-SA"/>
        </w:rPr>
        <w:t>en collaboration avec André Brassard</w:t>
      </w:r>
    </w:p>
    <w:p w14:paraId="7995F5F1" w14:textId="77777777" w:rsidR="0065175B" w:rsidRDefault="0065175B" w:rsidP="0065175B">
      <w:pPr>
        <w:ind w:firstLine="0"/>
        <w:jc w:val="center"/>
        <w:rPr>
          <w:sz w:val="20"/>
          <w:lang w:bidi="ar-SA"/>
        </w:rPr>
      </w:pPr>
      <w:r>
        <w:rPr>
          <w:sz w:val="20"/>
          <w:lang w:bidi="ar-SA"/>
        </w:rPr>
        <w:t>Faculté des sciences de l’éducation, Université de Montréal</w:t>
      </w:r>
    </w:p>
    <w:p w14:paraId="09090F79" w14:textId="77777777" w:rsidR="0065175B" w:rsidRPr="00E07116" w:rsidRDefault="0065175B" w:rsidP="0065175B">
      <w:pPr>
        <w:ind w:firstLine="0"/>
        <w:jc w:val="center"/>
      </w:pPr>
    </w:p>
    <w:p w14:paraId="3BA33E3E" w14:textId="77777777" w:rsidR="0065175B" w:rsidRDefault="0065175B" w:rsidP="0065175B">
      <w:pPr>
        <w:ind w:firstLine="0"/>
        <w:jc w:val="center"/>
        <w:rPr>
          <w:color w:val="000080"/>
          <w:sz w:val="36"/>
        </w:rPr>
      </w:pPr>
      <w:r w:rsidRPr="00677729">
        <w:rPr>
          <w:color w:val="000080"/>
          <w:sz w:val="36"/>
        </w:rPr>
        <w:t>“La “gouverna</w:t>
      </w:r>
      <w:r>
        <w:rPr>
          <w:color w:val="000080"/>
          <w:sz w:val="36"/>
        </w:rPr>
        <w:t>nce” de l’éducation au Canada :</w:t>
      </w:r>
      <w:r>
        <w:rPr>
          <w:color w:val="000080"/>
          <w:sz w:val="36"/>
        </w:rPr>
        <w:br/>
      </w:r>
      <w:r w:rsidRPr="00677729">
        <w:rPr>
          <w:color w:val="000080"/>
          <w:sz w:val="36"/>
        </w:rPr>
        <w:t>te</w:t>
      </w:r>
      <w:r w:rsidRPr="00677729">
        <w:rPr>
          <w:color w:val="000080"/>
          <w:sz w:val="36"/>
        </w:rPr>
        <w:t>n</w:t>
      </w:r>
      <w:r w:rsidRPr="00677729">
        <w:rPr>
          <w:color w:val="000080"/>
          <w:sz w:val="36"/>
        </w:rPr>
        <w:t>dances et significations.”</w:t>
      </w:r>
    </w:p>
    <w:p w14:paraId="0097AD97" w14:textId="77777777" w:rsidR="0065175B" w:rsidRPr="00E07116" w:rsidRDefault="0065175B" w:rsidP="0065175B">
      <w:pPr>
        <w:ind w:firstLine="0"/>
        <w:jc w:val="center"/>
      </w:pPr>
    </w:p>
    <w:p w14:paraId="55EB1DE5" w14:textId="77777777" w:rsidR="0065175B" w:rsidRPr="00E07116" w:rsidRDefault="00035F0D" w:rsidP="0065175B">
      <w:pPr>
        <w:ind w:firstLine="0"/>
        <w:jc w:val="center"/>
      </w:pPr>
      <w:r>
        <w:rPr>
          <w:noProof/>
        </w:rPr>
        <w:drawing>
          <wp:inline distT="0" distB="0" distL="0" distR="0" wp14:anchorId="0917F07D" wp14:editId="76719657">
            <wp:extent cx="3136900" cy="4724400"/>
            <wp:effectExtent l="12700" t="1270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36900" cy="4724400"/>
                    </a:xfrm>
                    <a:prstGeom prst="rect">
                      <a:avLst/>
                    </a:prstGeom>
                    <a:noFill/>
                    <a:ln w="9525" cmpd="sng">
                      <a:solidFill>
                        <a:srgbClr val="000000"/>
                      </a:solidFill>
                      <a:miter lim="800000"/>
                      <a:headEnd/>
                      <a:tailEnd/>
                    </a:ln>
                    <a:effectLst/>
                  </pic:spPr>
                </pic:pic>
              </a:graphicData>
            </a:graphic>
          </wp:inline>
        </w:drawing>
      </w:r>
    </w:p>
    <w:p w14:paraId="37E6C232" w14:textId="77777777" w:rsidR="0065175B" w:rsidRPr="00E07116" w:rsidRDefault="0065175B" w:rsidP="0065175B">
      <w:pPr>
        <w:jc w:val="both"/>
      </w:pPr>
    </w:p>
    <w:p w14:paraId="2AB4BB9A" w14:textId="77777777" w:rsidR="0065175B" w:rsidRPr="00C740C0" w:rsidRDefault="0065175B" w:rsidP="0065175B">
      <w:pPr>
        <w:jc w:val="both"/>
        <w:rPr>
          <w:sz w:val="24"/>
        </w:rPr>
      </w:pPr>
      <w:r>
        <w:t xml:space="preserve">In revue </w:t>
      </w:r>
      <w:r w:rsidRPr="003E79D5">
        <w:rPr>
          <w:b/>
          <w:i/>
        </w:rPr>
        <w:t>Éducation et sociétés</w:t>
      </w:r>
      <w:r>
        <w:t xml:space="preserve">, </w:t>
      </w:r>
      <w:r w:rsidRPr="005E46D3">
        <w:t>2006/2</w:t>
      </w:r>
      <w:r>
        <w:t>,</w:t>
      </w:r>
      <w:r w:rsidRPr="005E46D3">
        <w:t xml:space="preserve"> n°</w:t>
      </w:r>
      <w:r>
        <w:t xml:space="preserve"> 18, pp. 181 à 201. </w:t>
      </w:r>
      <w:r w:rsidRPr="005E46D3">
        <w:t>De B</w:t>
      </w:r>
      <w:r>
        <w:t>oeck Supérieur.</w:t>
      </w:r>
    </w:p>
    <w:p w14:paraId="728DC8B3" w14:textId="77777777" w:rsidR="0065175B" w:rsidRPr="00E07116" w:rsidRDefault="0065175B">
      <w:pPr>
        <w:jc w:val="both"/>
      </w:pPr>
      <w:r w:rsidRPr="00E07116">
        <w:br w:type="page"/>
      </w:r>
    </w:p>
    <w:p w14:paraId="44597F5A" w14:textId="77777777" w:rsidR="0065175B" w:rsidRPr="00E07116" w:rsidRDefault="0065175B">
      <w:pPr>
        <w:jc w:val="both"/>
      </w:pPr>
    </w:p>
    <w:p w14:paraId="38777125" w14:textId="77777777" w:rsidR="0065175B" w:rsidRPr="00E07116" w:rsidRDefault="0065175B">
      <w:pPr>
        <w:jc w:val="both"/>
      </w:pPr>
    </w:p>
    <w:p w14:paraId="593C5CED" w14:textId="77777777" w:rsidR="0065175B" w:rsidRPr="00E07116" w:rsidRDefault="0065175B">
      <w:pPr>
        <w:jc w:val="both"/>
      </w:pPr>
    </w:p>
    <w:p w14:paraId="7BC5CAAF" w14:textId="77777777" w:rsidR="0065175B" w:rsidRPr="00E07116" w:rsidRDefault="0065175B" w:rsidP="0065175B">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6DFD8C90" w14:textId="77777777" w:rsidR="0065175B" w:rsidRPr="00E07116" w:rsidRDefault="0065175B" w:rsidP="0065175B">
      <w:pPr>
        <w:pStyle w:val="NormalWeb"/>
        <w:spacing w:before="2" w:after="2"/>
        <w:jc w:val="both"/>
        <w:rPr>
          <w:rFonts w:ascii="Times New Roman" w:hAnsi="Times New Roman"/>
          <w:sz w:val="28"/>
        </w:rPr>
      </w:pPr>
    </w:p>
    <w:p w14:paraId="33066D38" w14:textId="77777777" w:rsidR="0065175B" w:rsidRPr="00E07116" w:rsidRDefault="0065175B" w:rsidP="0065175B">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1898CF65" w14:textId="77777777" w:rsidR="0065175B" w:rsidRPr="00E07116" w:rsidRDefault="0065175B" w:rsidP="0065175B">
      <w:pPr>
        <w:jc w:val="both"/>
        <w:rPr>
          <w:szCs w:val="19"/>
        </w:rPr>
      </w:pPr>
    </w:p>
    <w:p w14:paraId="39590532" w14:textId="77777777" w:rsidR="0065175B" w:rsidRDefault="0065175B">
      <w:pPr>
        <w:jc w:val="both"/>
        <w:rPr>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904"/>
      </w:tblGrid>
      <w:tr w:rsidR="0065175B" w:rsidRPr="000C6FFE" w14:paraId="799FB636" w14:textId="77777777">
        <w:tc>
          <w:tcPr>
            <w:tcW w:w="8060" w:type="dxa"/>
            <w:tcBorders>
              <w:top w:val="single" w:sz="6" w:space="0" w:color="auto"/>
              <w:left w:val="single" w:sz="6" w:space="0" w:color="auto"/>
              <w:bottom w:val="single" w:sz="6" w:space="0" w:color="auto"/>
              <w:right w:val="single" w:sz="6" w:space="0" w:color="auto"/>
            </w:tcBorders>
            <w:shd w:val="clear" w:color="auto" w:fill="EEECE1"/>
          </w:tcPr>
          <w:p w14:paraId="27292F26" w14:textId="77777777" w:rsidR="0065175B" w:rsidRPr="000C6FFE" w:rsidRDefault="0065175B" w:rsidP="0065175B">
            <w:pPr>
              <w:ind w:firstLine="0"/>
              <w:jc w:val="both"/>
              <w:rPr>
                <w:szCs w:val="19"/>
              </w:rPr>
            </w:pPr>
          </w:p>
          <w:p w14:paraId="7202926D" w14:textId="77777777" w:rsidR="0065175B" w:rsidRPr="000C6FFE" w:rsidRDefault="0065175B" w:rsidP="0065175B">
            <w:pPr>
              <w:ind w:firstLine="0"/>
              <w:jc w:val="both"/>
              <w:rPr>
                <w:szCs w:val="19"/>
              </w:rPr>
            </w:pPr>
            <w:r w:rsidRPr="000C6FFE">
              <w:rPr>
                <w:szCs w:val="19"/>
              </w:rPr>
              <w:t>Un grand merci à l’auteur pour avoir entièrement révisé le texte n</w:t>
            </w:r>
            <w:r w:rsidRPr="000C6FFE">
              <w:rPr>
                <w:szCs w:val="19"/>
              </w:rPr>
              <w:t>u</w:t>
            </w:r>
            <w:r w:rsidRPr="000C6FFE">
              <w:rPr>
                <w:szCs w:val="19"/>
              </w:rPr>
              <w:t>mérique afin de supprimer toute erreur de reconnaissance de caract</w:t>
            </w:r>
            <w:r w:rsidRPr="000C6FFE">
              <w:rPr>
                <w:szCs w:val="19"/>
              </w:rPr>
              <w:t>è</w:t>
            </w:r>
            <w:r w:rsidRPr="000C6FFE">
              <w:rPr>
                <w:szCs w:val="19"/>
              </w:rPr>
              <w:t>re.</w:t>
            </w:r>
          </w:p>
          <w:p w14:paraId="67B866B1" w14:textId="77777777" w:rsidR="0065175B" w:rsidRPr="000C6FFE" w:rsidRDefault="0065175B" w:rsidP="0065175B">
            <w:pPr>
              <w:ind w:firstLine="0"/>
              <w:jc w:val="both"/>
              <w:rPr>
                <w:szCs w:val="19"/>
              </w:rPr>
            </w:pPr>
          </w:p>
          <w:p w14:paraId="28488153" w14:textId="77777777" w:rsidR="0065175B" w:rsidRPr="000C6FFE" w:rsidRDefault="0065175B" w:rsidP="0065175B">
            <w:pPr>
              <w:ind w:firstLine="0"/>
              <w:jc w:val="both"/>
              <w:rPr>
                <w:szCs w:val="19"/>
              </w:rPr>
            </w:pPr>
            <w:r w:rsidRPr="000C6FFE">
              <w:rPr>
                <w:szCs w:val="19"/>
              </w:rPr>
              <w:t>Jean-Marie Tremblay</w:t>
            </w:r>
          </w:p>
          <w:p w14:paraId="00960BA6" w14:textId="77777777" w:rsidR="0065175B" w:rsidRPr="000C6FFE" w:rsidRDefault="0065175B" w:rsidP="0065175B">
            <w:pPr>
              <w:ind w:firstLine="0"/>
              <w:jc w:val="both"/>
              <w:rPr>
                <w:szCs w:val="19"/>
              </w:rPr>
            </w:pPr>
            <w:r w:rsidRPr="000C6FFE">
              <w:rPr>
                <w:szCs w:val="19"/>
              </w:rPr>
              <w:t>23 mai 2022</w:t>
            </w:r>
          </w:p>
          <w:p w14:paraId="17497F27" w14:textId="77777777" w:rsidR="0065175B" w:rsidRPr="000C6FFE" w:rsidRDefault="0065175B" w:rsidP="0065175B">
            <w:pPr>
              <w:ind w:firstLine="0"/>
              <w:jc w:val="both"/>
              <w:rPr>
                <w:szCs w:val="19"/>
              </w:rPr>
            </w:pPr>
          </w:p>
        </w:tc>
      </w:tr>
    </w:tbl>
    <w:p w14:paraId="7F1E200D" w14:textId="77777777" w:rsidR="0065175B" w:rsidRPr="00E07116" w:rsidRDefault="0065175B">
      <w:pPr>
        <w:jc w:val="both"/>
        <w:rPr>
          <w:szCs w:val="19"/>
        </w:rPr>
      </w:pPr>
    </w:p>
    <w:p w14:paraId="41C080A5" w14:textId="77777777" w:rsidR="0065175B" w:rsidRDefault="0065175B">
      <w:pPr>
        <w:jc w:val="both"/>
      </w:pPr>
    </w:p>
    <w:p w14:paraId="1113FF67" w14:textId="77777777" w:rsidR="0065175B" w:rsidRPr="00F84E1F" w:rsidRDefault="0065175B" w:rsidP="0065175B">
      <w:pPr>
        <w:spacing w:before="120" w:after="120"/>
        <w:ind w:firstLine="0"/>
        <w:jc w:val="both"/>
        <w:rPr>
          <w:sz w:val="24"/>
        </w:rPr>
      </w:pPr>
    </w:p>
    <w:p w14:paraId="4739D481" w14:textId="77777777" w:rsidR="0065175B" w:rsidRPr="00F84E1F" w:rsidRDefault="0065175B" w:rsidP="0065175B">
      <w:pPr>
        <w:spacing w:before="120" w:after="120"/>
        <w:ind w:firstLine="0"/>
        <w:jc w:val="both"/>
        <w:rPr>
          <w:sz w:val="24"/>
        </w:rPr>
      </w:pPr>
      <w:r w:rsidRPr="00F84E1F">
        <w:rPr>
          <w:sz w:val="24"/>
        </w:rPr>
        <w:t>Claude Lessard, sociologue</w:t>
      </w:r>
    </w:p>
    <w:p w14:paraId="109A3AA6" w14:textId="77777777" w:rsidR="0065175B" w:rsidRPr="00F84E1F" w:rsidRDefault="0065175B" w:rsidP="0065175B">
      <w:pPr>
        <w:ind w:left="540" w:firstLine="0"/>
        <w:jc w:val="both"/>
        <w:rPr>
          <w:sz w:val="24"/>
        </w:rPr>
      </w:pPr>
      <w:r w:rsidRPr="00F84E1F">
        <w:rPr>
          <w:sz w:val="24"/>
        </w:rPr>
        <w:t>CRIFPE, Université de Montréal</w:t>
      </w:r>
    </w:p>
    <w:p w14:paraId="07C8A75C" w14:textId="77777777" w:rsidR="0065175B" w:rsidRPr="00F84E1F" w:rsidRDefault="0065175B" w:rsidP="0065175B">
      <w:pPr>
        <w:ind w:left="540" w:firstLine="0"/>
        <w:jc w:val="both"/>
        <w:rPr>
          <w:sz w:val="24"/>
        </w:rPr>
      </w:pPr>
      <w:r w:rsidRPr="00F84E1F">
        <w:rPr>
          <w:sz w:val="24"/>
        </w:rPr>
        <w:t>Département d’administration et fondements de l’éducation</w:t>
      </w:r>
    </w:p>
    <w:p w14:paraId="37C9189D" w14:textId="77777777" w:rsidR="0065175B" w:rsidRPr="00F84E1F" w:rsidRDefault="0065175B" w:rsidP="0065175B">
      <w:pPr>
        <w:ind w:left="540" w:firstLine="0"/>
        <w:jc w:val="both"/>
        <w:rPr>
          <w:sz w:val="24"/>
        </w:rPr>
      </w:pPr>
      <w:r w:rsidRPr="00F84E1F">
        <w:rPr>
          <w:sz w:val="24"/>
        </w:rPr>
        <w:t>Faculté des sciences de l’éducation</w:t>
      </w:r>
    </w:p>
    <w:p w14:paraId="38C20E9C" w14:textId="77777777" w:rsidR="0065175B" w:rsidRPr="00F84E1F" w:rsidRDefault="0065175B" w:rsidP="0065175B">
      <w:pPr>
        <w:ind w:left="540" w:firstLine="0"/>
        <w:jc w:val="both"/>
        <w:rPr>
          <w:sz w:val="24"/>
        </w:rPr>
      </w:pPr>
      <w:r w:rsidRPr="00F84E1F">
        <w:rPr>
          <w:sz w:val="24"/>
        </w:rPr>
        <w:t>C.P. 6128, succursale Centre-ville, Montréal, Québec H3C 3J7</w:t>
      </w:r>
    </w:p>
    <w:p w14:paraId="07B74CC5" w14:textId="77777777" w:rsidR="0065175B" w:rsidRPr="00F84E1F" w:rsidRDefault="0065175B" w:rsidP="0065175B">
      <w:pPr>
        <w:ind w:left="540" w:firstLine="0"/>
        <w:jc w:val="both"/>
        <w:rPr>
          <w:sz w:val="24"/>
        </w:rPr>
      </w:pPr>
      <w:r w:rsidRPr="00F84E1F">
        <w:rPr>
          <w:sz w:val="24"/>
        </w:rPr>
        <w:t xml:space="preserve">Courriel : </w:t>
      </w:r>
      <w:hyperlink r:id="rId18" w:history="1">
        <w:r w:rsidRPr="00F84E1F">
          <w:rPr>
            <w:rStyle w:val="Hyperlien"/>
            <w:sz w:val="24"/>
          </w:rPr>
          <w:t>claude.lessard@umontreal.ca</w:t>
        </w:r>
      </w:hyperlink>
      <w:r w:rsidRPr="00F84E1F">
        <w:rPr>
          <w:sz w:val="24"/>
        </w:rPr>
        <w:t xml:space="preserve"> </w:t>
      </w:r>
    </w:p>
    <w:p w14:paraId="1E08C9BB" w14:textId="77777777" w:rsidR="0065175B" w:rsidRPr="00E07116" w:rsidRDefault="0065175B" w:rsidP="0065175B">
      <w:pPr>
        <w:jc w:val="both"/>
        <w:rPr>
          <w:szCs w:val="19"/>
        </w:rPr>
      </w:pPr>
    </w:p>
    <w:p w14:paraId="522FCC32" w14:textId="77777777" w:rsidR="0065175B" w:rsidRPr="00F84E1F" w:rsidRDefault="0065175B" w:rsidP="0065175B">
      <w:pPr>
        <w:spacing w:before="120" w:after="120"/>
        <w:ind w:firstLine="0"/>
        <w:jc w:val="both"/>
        <w:rPr>
          <w:sz w:val="24"/>
        </w:rPr>
      </w:pPr>
      <w:r>
        <w:rPr>
          <w:sz w:val="24"/>
        </w:rPr>
        <w:t>En collaboration avec André Brassard</w:t>
      </w:r>
    </w:p>
    <w:p w14:paraId="0EB97C06" w14:textId="77777777" w:rsidR="0065175B" w:rsidRPr="00F84E1F" w:rsidRDefault="0065175B" w:rsidP="0065175B">
      <w:pPr>
        <w:ind w:left="540" w:firstLine="0"/>
        <w:jc w:val="both"/>
        <w:rPr>
          <w:sz w:val="24"/>
        </w:rPr>
      </w:pPr>
      <w:r w:rsidRPr="00F84E1F">
        <w:rPr>
          <w:sz w:val="24"/>
        </w:rPr>
        <w:t>Faculté des sciences de l’éducation, Université de Montréal</w:t>
      </w:r>
    </w:p>
    <w:p w14:paraId="7CD7AE32" w14:textId="77777777" w:rsidR="0065175B" w:rsidRPr="00E07116" w:rsidRDefault="0065175B">
      <w:pPr>
        <w:jc w:val="both"/>
      </w:pPr>
      <w:r w:rsidRPr="00E07116">
        <w:br w:type="page"/>
      </w:r>
    </w:p>
    <w:p w14:paraId="7942A0F5" w14:textId="77777777" w:rsidR="0065175B" w:rsidRPr="00E07116" w:rsidRDefault="0065175B">
      <w:pPr>
        <w:jc w:val="both"/>
      </w:pPr>
    </w:p>
    <w:p w14:paraId="0C25CD52" w14:textId="77777777" w:rsidR="0065175B" w:rsidRPr="00384B20" w:rsidRDefault="0065175B" w:rsidP="0065175B">
      <w:pPr>
        <w:pStyle w:val="planchest"/>
      </w:pPr>
      <w:bookmarkStart w:id="0" w:name="tdm"/>
      <w:r w:rsidRPr="00384B20">
        <w:t>Table des matières</w:t>
      </w:r>
      <w:bookmarkEnd w:id="0"/>
    </w:p>
    <w:p w14:paraId="21426F13" w14:textId="77777777" w:rsidR="0065175B" w:rsidRDefault="0065175B">
      <w:pPr>
        <w:ind w:firstLine="0"/>
      </w:pPr>
    </w:p>
    <w:p w14:paraId="0CABECCB" w14:textId="77777777" w:rsidR="0065175B" w:rsidRDefault="0065175B">
      <w:pPr>
        <w:ind w:firstLine="0"/>
      </w:pPr>
    </w:p>
    <w:p w14:paraId="3AA7E6C3" w14:textId="77777777" w:rsidR="0065175B" w:rsidRDefault="0065175B" w:rsidP="0065175B">
      <w:pPr>
        <w:ind w:left="540" w:hanging="540"/>
      </w:pPr>
      <w:hyperlink w:anchor="Gouvernance_intro" w:history="1">
        <w:r w:rsidRPr="00924495">
          <w:rPr>
            <w:rStyle w:val="Hyperlien"/>
          </w:rPr>
          <w:t>Introduction</w:t>
        </w:r>
      </w:hyperlink>
      <w:r>
        <w:t xml:space="preserve"> [181]</w:t>
      </w:r>
    </w:p>
    <w:p w14:paraId="564C9776" w14:textId="77777777" w:rsidR="0065175B" w:rsidRDefault="0065175B" w:rsidP="0065175B">
      <w:pPr>
        <w:ind w:left="540" w:hanging="540"/>
      </w:pPr>
    </w:p>
    <w:p w14:paraId="535B74CA" w14:textId="77777777" w:rsidR="0065175B" w:rsidRPr="00E07116" w:rsidRDefault="0065175B" w:rsidP="0065175B">
      <w:pPr>
        <w:ind w:left="540" w:hanging="540"/>
      </w:pPr>
      <w:hyperlink w:anchor="Gouvernance_1" w:history="1">
        <w:r w:rsidRPr="00924495">
          <w:rPr>
            <w:rStyle w:val="Hyperlien"/>
          </w:rPr>
          <w:t>La “gouvernance”</w:t>
        </w:r>
      </w:hyperlink>
      <w:r>
        <w:t xml:space="preserve"> [182]</w:t>
      </w:r>
    </w:p>
    <w:p w14:paraId="769C4AF0" w14:textId="77777777" w:rsidR="0065175B" w:rsidRDefault="0065175B" w:rsidP="0065175B">
      <w:pPr>
        <w:pStyle w:val="p"/>
        <w:ind w:left="540" w:hanging="540"/>
      </w:pPr>
    </w:p>
    <w:p w14:paraId="64F3C60E" w14:textId="77777777" w:rsidR="0065175B" w:rsidRDefault="0065175B" w:rsidP="0065175B">
      <w:pPr>
        <w:pStyle w:val="p"/>
        <w:ind w:left="540" w:hanging="540"/>
      </w:pPr>
      <w:hyperlink w:anchor="Gouvernance_2" w:history="1">
        <w:r w:rsidRPr="00924495">
          <w:rPr>
            <w:rStyle w:val="Hyperlien"/>
          </w:rPr>
          <w:t>La gouvernance de l’éducation au Canada : ses éléments essentiels</w:t>
        </w:r>
      </w:hyperlink>
      <w:r>
        <w:t xml:space="preserve"> [185]</w:t>
      </w:r>
    </w:p>
    <w:p w14:paraId="77020470" w14:textId="77777777" w:rsidR="0065175B" w:rsidRDefault="0065175B" w:rsidP="0065175B">
      <w:pPr>
        <w:pStyle w:val="p"/>
        <w:ind w:left="540" w:hanging="540"/>
      </w:pPr>
    </w:p>
    <w:p w14:paraId="23713879" w14:textId="77777777" w:rsidR="0065175B" w:rsidRDefault="0065175B" w:rsidP="0065175B">
      <w:pPr>
        <w:pStyle w:val="p"/>
        <w:ind w:left="900" w:hanging="360"/>
      </w:pPr>
      <w:hyperlink w:anchor="Gouvernance_2a" w:history="1">
        <w:r w:rsidRPr="00924495">
          <w:rPr>
            <w:rStyle w:val="Hyperlien"/>
            <w:i/>
          </w:rPr>
          <w:t>Une structure à trois échelons</w:t>
        </w:r>
      </w:hyperlink>
      <w:r>
        <w:t xml:space="preserve"> [185]</w:t>
      </w:r>
    </w:p>
    <w:p w14:paraId="49903021" w14:textId="77777777" w:rsidR="0065175B" w:rsidRPr="003E79D5" w:rsidRDefault="0065175B" w:rsidP="0065175B">
      <w:pPr>
        <w:pStyle w:val="p"/>
        <w:ind w:left="900" w:hanging="360"/>
      </w:pPr>
      <w:hyperlink w:anchor="Gouvernance_2b" w:history="1">
        <w:r w:rsidRPr="00924495">
          <w:rPr>
            <w:rStyle w:val="Hyperlien"/>
            <w:i/>
          </w:rPr>
          <w:t>Une structure caractérisée par la participation démocratique</w:t>
        </w:r>
      </w:hyperlink>
      <w:r>
        <w:t xml:space="preserve"> [186]</w:t>
      </w:r>
    </w:p>
    <w:p w14:paraId="3B934857" w14:textId="77777777" w:rsidR="0065175B" w:rsidRDefault="0065175B" w:rsidP="0065175B">
      <w:pPr>
        <w:pStyle w:val="p"/>
      </w:pPr>
    </w:p>
    <w:p w14:paraId="1C4B1018" w14:textId="77777777" w:rsidR="0065175B" w:rsidRDefault="0065175B" w:rsidP="0065175B">
      <w:pPr>
        <w:pStyle w:val="p"/>
        <w:ind w:left="540" w:hanging="540"/>
      </w:pPr>
      <w:hyperlink w:anchor="Gouvernance_3" w:history="1">
        <w:r w:rsidRPr="00924495">
          <w:rPr>
            <w:rStyle w:val="Hyperlien"/>
          </w:rPr>
          <w:t>Les principales tendances d’évolution de la gouvernance de l’éducation</w:t>
        </w:r>
      </w:hyperlink>
      <w:r>
        <w:t xml:space="preserve"> [187]</w:t>
      </w:r>
    </w:p>
    <w:p w14:paraId="06B51E12" w14:textId="77777777" w:rsidR="0065175B" w:rsidRDefault="0065175B" w:rsidP="0065175B">
      <w:pPr>
        <w:pStyle w:val="p"/>
      </w:pPr>
    </w:p>
    <w:p w14:paraId="6D4F589A" w14:textId="77777777" w:rsidR="0065175B" w:rsidRPr="003E79D5" w:rsidRDefault="0065175B" w:rsidP="0065175B">
      <w:pPr>
        <w:pStyle w:val="p"/>
        <w:ind w:left="900" w:hanging="360"/>
      </w:pPr>
      <w:hyperlink w:anchor="Gouvernance_3a" w:history="1">
        <w:r w:rsidRPr="00924495">
          <w:rPr>
            <w:rStyle w:val="Hyperlien"/>
            <w:i/>
          </w:rPr>
          <w:t>Un quatrième palier et “une stratégie pancanadienne de base” axée sur l’obligation de résultats et l’imputabilité ?</w:t>
        </w:r>
      </w:hyperlink>
      <w:r>
        <w:t xml:space="preserve"> [187]</w:t>
      </w:r>
    </w:p>
    <w:p w14:paraId="1806F167" w14:textId="77777777" w:rsidR="0065175B" w:rsidRPr="003E79D5" w:rsidRDefault="0065175B" w:rsidP="0065175B">
      <w:pPr>
        <w:pStyle w:val="p"/>
        <w:ind w:left="900" w:hanging="360"/>
      </w:pPr>
      <w:hyperlink w:anchor="Gouvernance_3b" w:history="1">
        <w:r w:rsidRPr="00924495">
          <w:rPr>
            <w:rStyle w:val="Hyperlien"/>
            <w:i/>
          </w:rPr>
          <w:t>La modification des rapports entre les trois paliers traditionnels de la gouvernance de l’éducation</w:t>
        </w:r>
      </w:hyperlink>
      <w:r>
        <w:t xml:space="preserve"> [188]</w:t>
      </w:r>
    </w:p>
    <w:p w14:paraId="5D67ADCB" w14:textId="77777777" w:rsidR="0065175B" w:rsidRDefault="0065175B" w:rsidP="0065175B">
      <w:pPr>
        <w:pStyle w:val="p"/>
        <w:ind w:left="540" w:hanging="540"/>
      </w:pPr>
    </w:p>
    <w:p w14:paraId="6D83397B" w14:textId="77777777" w:rsidR="0065175B" w:rsidRDefault="0065175B" w:rsidP="0065175B">
      <w:pPr>
        <w:pStyle w:val="p"/>
        <w:ind w:left="540" w:hanging="540"/>
      </w:pPr>
      <w:hyperlink w:anchor="Gouvernance_4" w:history="1">
        <w:r w:rsidRPr="00924495">
          <w:rPr>
            <w:rStyle w:val="Hyperlien"/>
          </w:rPr>
          <w:t>Signification des tendances observées</w:t>
        </w:r>
      </w:hyperlink>
      <w:r>
        <w:t xml:space="preserve"> [195]</w:t>
      </w:r>
    </w:p>
    <w:p w14:paraId="5E4123BC" w14:textId="77777777" w:rsidR="0065175B" w:rsidRDefault="0065175B" w:rsidP="0065175B">
      <w:pPr>
        <w:pStyle w:val="p"/>
        <w:ind w:left="540" w:hanging="540"/>
      </w:pPr>
    </w:p>
    <w:p w14:paraId="0404CD79" w14:textId="77777777" w:rsidR="0065175B" w:rsidRDefault="0065175B" w:rsidP="0065175B">
      <w:pPr>
        <w:pStyle w:val="p"/>
        <w:ind w:left="540" w:hanging="540"/>
      </w:pPr>
      <w:hyperlink w:anchor="Gouvernance_conclusion" w:history="1">
        <w:r w:rsidRPr="00924495">
          <w:rPr>
            <w:rStyle w:val="Hyperlien"/>
          </w:rPr>
          <w:t>Conclusion</w:t>
        </w:r>
      </w:hyperlink>
      <w:r>
        <w:t xml:space="preserve"> [198]</w:t>
      </w:r>
    </w:p>
    <w:p w14:paraId="474B5D32" w14:textId="77777777" w:rsidR="0065175B" w:rsidRDefault="0065175B" w:rsidP="0065175B">
      <w:pPr>
        <w:pStyle w:val="p"/>
        <w:ind w:left="540" w:hanging="540"/>
      </w:pPr>
    </w:p>
    <w:p w14:paraId="31431085" w14:textId="77777777" w:rsidR="0065175B" w:rsidRDefault="0065175B" w:rsidP="0065175B">
      <w:pPr>
        <w:pStyle w:val="p"/>
        <w:ind w:left="540" w:hanging="540"/>
      </w:pPr>
      <w:hyperlink w:anchor="Gouvernance_biblio" w:history="1">
        <w:r w:rsidRPr="00924495">
          <w:rPr>
            <w:rStyle w:val="Hyperlien"/>
          </w:rPr>
          <w:t>Références bibliographiques</w:t>
        </w:r>
      </w:hyperlink>
      <w:r>
        <w:t xml:space="preserve"> [200]</w:t>
      </w:r>
    </w:p>
    <w:p w14:paraId="74DD917C" w14:textId="77777777" w:rsidR="0065175B" w:rsidRPr="00E07116" w:rsidRDefault="0065175B" w:rsidP="0065175B">
      <w:pPr>
        <w:pStyle w:val="p"/>
      </w:pPr>
      <w:r w:rsidRPr="00E07116">
        <w:br w:type="page"/>
      </w:r>
      <w:r w:rsidRPr="00E07116">
        <w:lastRenderedPageBreak/>
        <w:t>[</w:t>
      </w:r>
      <w:r>
        <w:t>181</w:t>
      </w:r>
      <w:r w:rsidRPr="00E07116">
        <w:t>]</w:t>
      </w:r>
    </w:p>
    <w:p w14:paraId="732333B6" w14:textId="77777777" w:rsidR="0065175B" w:rsidRDefault="0065175B" w:rsidP="0065175B">
      <w:pPr>
        <w:ind w:left="20"/>
        <w:jc w:val="both"/>
      </w:pPr>
    </w:p>
    <w:p w14:paraId="2883BC16" w14:textId="77777777" w:rsidR="0065175B" w:rsidRDefault="0065175B" w:rsidP="0065175B">
      <w:pPr>
        <w:ind w:left="20"/>
        <w:jc w:val="both"/>
      </w:pPr>
    </w:p>
    <w:p w14:paraId="60D37247" w14:textId="77777777" w:rsidR="0065175B" w:rsidRDefault="0065175B" w:rsidP="0065175B">
      <w:pPr>
        <w:ind w:firstLine="0"/>
        <w:jc w:val="center"/>
        <w:rPr>
          <w:b/>
          <w:sz w:val="36"/>
        </w:rPr>
      </w:pPr>
      <w:r>
        <w:rPr>
          <w:sz w:val="36"/>
        </w:rPr>
        <w:t>Claude Lessard</w:t>
      </w:r>
    </w:p>
    <w:p w14:paraId="2AD40947" w14:textId="77777777" w:rsidR="0065175B" w:rsidRPr="00677729" w:rsidRDefault="0065175B" w:rsidP="0065175B">
      <w:pPr>
        <w:ind w:firstLine="0"/>
        <w:jc w:val="center"/>
        <w:rPr>
          <w:sz w:val="32"/>
          <w:lang w:bidi="ar-SA"/>
        </w:rPr>
      </w:pPr>
      <w:r w:rsidRPr="00677729">
        <w:rPr>
          <w:sz w:val="32"/>
          <w:lang w:bidi="ar-SA"/>
        </w:rPr>
        <w:t>en collaboration avec André Brassard</w:t>
      </w:r>
    </w:p>
    <w:p w14:paraId="2374A975" w14:textId="77777777" w:rsidR="0065175B" w:rsidRDefault="0065175B" w:rsidP="0065175B">
      <w:pPr>
        <w:ind w:firstLine="0"/>
        <w:jc w:val="center"/>
        <w:rPr>
          <w:sz w:val="20"/>
          <w:lang w:bidi="ar-SA"/>
        </w:rPr>
      </w:pPr>
      <w:r>
        <w:rPr>
          <w:sz w:val="20"/>
          <w:lang w:bidi="ar-SA"/>
        </w:rPr>
        <w:t>Faculté des sciences de l’éducation, Université de Montréal</w:t>
      </w:r>
    </w:p>
    <w:p w14:paraId="4D95BDFA" w14:textId="77777777" w:rsidR="0065175B" w:rsidRPr="00E07116" w:rsidRDefault="0065175B" w:rsidP="0065175B">
      <w:pPr>
        <w:ind w:left="20"/>
        <w:jc w:val="both"/>
      </w:pPr>
    </w:p>
    <w:p w14:paraId="04A5FCCF" w14:textId="77777777" w:rsidR="0065175B" w:rsidRDefault="0065175B" w:rsidP="0065175B">
      <w:pPr>
        <w:ind w:firstLine="0"/>
        <w:jc w:val="center"/>
        <w:rPr>
          <w:color w:val="000080"/>
          <w:sz w:val="36"/>
        </w:rPr>
      </w:pPr>
      <w:r w:rsidRPr="00677729">
        <w:rPr>
          <w:color w:val="000080"/>
          <w:sz w:val="36"/>
        </w:rPr>
        <w:t>“La “gouverna</w:t>
      </w:r>
      <w:r>
        <w:rPr>
          <w:color w:val="000080"/>
          <w:sz w:val="36"/>
        </w:rPr>
        <w:t>nce” de l’éducation au Canada :</w:t>
      </w:r>
      <w:r>
        <w:rPr>
          <w:color w:val="000080"/>
          <w:sz w:val="36"/>
        </w:rPr>
        <w:br/>
      </w:r>
      <w:r w:rsidRPr="00677729">
        <w:rPr>
          <w:color w:val="000080"/>
          <w:sz w:val="36"/>
        </w:rPr>
        <w:t>te</w:t>
      </w:r>
      <w:r w:rsidRPr="00677729">
        <w:rPr>
          <w:color w:val="000080"/>
          <w:sz w:val="36"/>
        </w:rPr>
        <w:t>n</w:t>
      </w:r>
      <w:r w:rsidRPr="00677729">
        <w:rPr>
          <w:color w:val="000080"/>
          <w:sz w:val="36"/>
        </w:rPr>
        <w:t>dances et significations.”</w:t>
      </w:r>
    </w:p>
    <w:p w14:paraId="6EE054A2" w14:textId="77777777" w:rsidR="0065175B" w:rsidRPr="00E07116" w:rsidRDefault="0065175B" w:rsidP="0065175B">
      <w:pPr>
        <w:ind w:firstLine="0"/>
        <w:jc w:val="center"/>
      </w:pPr>
    </w:p>
    <w:p w14:paraId="2F1BB6F9" w14:textId="77777777" w:rsidR="0065175B" w:rsidRDefault="0065175B" w:rsidP="0065175B">
      <w:pPr>
        <w:jc w:val="both"/>
      </w:pPr>
    </w:p>
    <w:p w14:paraId="55474C7E" w14:textId="77777777" w:rsidR="0065175B" w:rsidRPr="00C740C0" w:rsidRDefault="0065175B" w:rsidP="0065175B">
      <w:pPr>
        <w:jc w:val="both"/>
        <w:rPr>
          <w:sz w:val="24"/>
        </w:rPr>
      </w:pPr>
      <w:r>
        <w:t xml:space="preserve">In revue </w:t>
      </w:r>
      <w:r w:rsidRPr="0098587C">
        <w:rPr>
          <w:i/>
        </w:rPr>
        <w:t>Éducation et sociétés</w:t>
      </w:r>
      <w:r>
        <w:t xml:space="preserve">, </w:t>
      </w:r>
      <w:r w:rsidRPr="005E46D3">
        <w:t>2006/2</w:t>
      </w:r>
      <w:r>
        <w:t>,</w:t>
      </w:r>
      <w:r w:rsidRPr="005E46D3">
        <w:t xml:space="preserve"> n°</w:t>
      </w:r>
      <w:r>
        <w:t xml:space="preserve"> 18, pp. 181 à 201. </w:t>
      </w:r>
      <w:r w:rsidRPr="005E46D3">
        <w:t>De B</w:t>
      </w:r>
      <w:r>
        <w:t>oeck Supérieur.</w:t>
      </w:r>
    </w:p>
    <w:p w14:paraId="2B4E560A" w14:textId="77777777" w:rsidR="0065175B" w:rsidRDefault="0065175B" w:rsidP="0065175B">
      <w:pPr>
        <w:spacing w:before="120" w:after="120"/>
        <w:jc w:val="both"/>
      </w:pPr>
    </w:p>
    <w:p w14:paraId="7747966B" w14:textId="77777777" w:rsidR="0065175B" w:rsidRDefault="0065175B" w:rsidP="0065175B">
      <w:pPr>
        <w:pStyle w:val="planche"/>
      </w:pPr>
      <w:bookmarkStart w:id="1" w:name="Gouvernance_intro"/>
      <w:r>
        <w:t>Introduction</w:t>
      </w:r>
    </w:p>
    <w:bookmarkEnd w:id="1"/>
    <w:p w14:paraId="10629071" w14:textId="77777777" w:rsidR="0065175B" w:rsidRPr="009073CB" w:rsidRDefault="0065175B" w:rsidP="0065175B">
      <w:pPr>
        <w:spacing w:before="120" w:after="120"/>
        <w:jc w:val="both"/>
      </w:pPr>
    </w:p>
    <w:p w14:paraId="304C0569" w14:textId="77777777" w:rsidR="0065175B" w:rsidRPr="00384B20" w:rsidRDefault="0065175B" w:rsidP="0065175B">
      <w:pPr>
        <w:ind w:right="90" w:firstLine="0"/>
        <w:jc w:val="both"/>
        <w:rPr>
          <w:sz w:val="20"/>
        </w:rPr>
      </w:pPr>
      <w:hyperlink w:anchor="tdm" w:history="1">
        <w:r w:rsidRPr="00384B20">
          <w:rPr>
            <w:rStyle w:val="Hyperlien"/>
            <w:sz w:val="20"/>
          </w:rPr>
          <w:t>Retour à la table des matières</w:t>
        </w:r>
      </w:hyperlink>
    </w:p>
    <w:p w14:paraId="6F78561F" w14:textId="77777777" w:rsidR="0065175B" w:rsidRPr="005E46D3" w:rsidRDefault="0065175B" w:rsidP="0065175B">
      <w:pPr>
        <w:spacing w:before="120" w:after="120"/>
        <w:jc w:val="both"/>
      </w:pPr>
      <w:r>
        <w:t>C</w:t>
      </w:r>
      <w:r w:rsidRPr="005E46D3">
        <w:t>e texte entend étudier les politiques éducatives des pr</w:t>
      </w:r>
      <w:r w:rsidRPr="005E46D3">
        <w:t>o</w:t>
      </w:r>
      <w:r w:rsidRPr="005E46D3">
        <w:t>vinces et territoires canadiens sous l’angle de la gouvernance et de son évol</w:t>
      </w:r>
      <w:r w:rsidRPr="005E46D3">
        <w:t>u</w:t>
      </w:r>
      <w:r w:rsidRPr="005E46D3">
        <w:t>tion. Comment,</w:t>
      </w:r>
      <w:r>
        <w:t xml:space="preserve"> </w:t>
      </w:r>
      <w:r w:rsidRPr="005E46D3">
        <w:t>selon le cadre législatif et réglementaire, le pouvoir sur l’éducation s’exerce-t-il au Canada dans les différentes provi</w:t>
      </w:r>
      <w:r w:rsidRPr="005E46D3">
        <w:t>n</w:t>
      </w:r>
      <w:r w:rsidRPr="005E46D3">
        <w:t>ces et territoires ? Comment le caractériser ? S’est-il transformé au cours des années 1990 ? Peut-on identifier des tendances communes à l’ensemble des entités politiques ét</w:t>
      </w:r>
      <w:r w:rsidRPr="005E46D3">
        <w:t>u</w:t>
      </w:r>
      <w:r w:rsidRPr="005E46D3">
        <w:t>diées ? Y a-t-il même quelque chose qui puisse prétendre au statut de tendance canadienne ou, au contraire, est-il préférable de distinguer des évolutions distinctes, sp</w:t>
      </w:r>
      <w:r w:rsidRPr="005E46D3">
        <w:t>é</w:t>
      </w:r>
      <w:r w:rsidRPr="005E46D3">
        <w:t>cifiques des diverses provinces et terr</w:t>
      </w:r>
      <w:r w:rsidRPr="005E46D3">
        <w:t>i</w:t>
      </w:r>
      <w:r w:rsidRPr="005E46D3">
        <w:t>toires ou des sous-groupes de ces entités, qu’on pourrait interpréter en référence aux traditions éd</w:t>
      </w:r>
      <w:r w:rsidRPr="005E46D3">
        <w:t>u</w:t>
      </w:r>
      <w:r w:rsidRPr="005E46D3">
        <w:t>catives, culturelles ou politiques de chaque provi</w:t>
      </w:r>
      <w:r w:rsidRPr="005E46D3">
        <w:t>n</w:t>
      </w:r>
      <w:r w:rsidRPr="005E46D3">
        <w:t>ce et territoire ?</w:t>
      </w:r>
    </w:p>
    <w:p w14:paraId="768CE050" w14:textId="77777777" w:rsidR="0065175B" w:rsidRPr="005E46D3" w:rsidRDefault="0065175B" w:rsidP="0065175B">
      <w:pPr>
        <w:spacing w:before="120" w:after="120"/>
        <w:jc w:val="both"/>
      </w:pPr>
      <w:r w:rsidRPr="005E46D3">
        <w:t>Cet article amorce des réponses fondées sur l’analyse de do</w:t>
      </w:r>
      <w:r w:rsidRPr="005E46D3">
        <w:t>n</w:t>
      </w:r>
      <w:r w:rsidRPr="005E46D3">
        <w:t>nées empiriques provenant d’études de cas (d’environ 25 pages chacune) sur les politiques éducatives des treize provinces et territoires du C</w:t>
      </w:r>
      <w:r w:rsidRPr="005E46D3">
        <w:t>a</w:t>
      </w:r>
      <w:r w:rsidRPr="005E46D3">
        <w:t>nada ainsi que sur leur évolution</w:t>
      </w:r>
      <w:r>
        <w:t> </w:t>
      </w:r>
      <w:r>
        <w:rPr>
          <w:rStyle w:val="Appelnotedebasdep"/>
        </w:rPr>
        <w:footnoteReference w:id="1"/>
      </w:r>
      <w:r w:rsidRPr="005E46D3">
        <w:t>. Une premi</w:t>
      </w:r>
      <w:r w:rsidRPr="005E46D3">
        <w:t>è</w:t>
      </w:r>
      <w:r w:rsidRPr="005E46D3">
        <w:t xml:space="preserve">re section explicite le </w:t>
      </w:r>
      <w:r w:rsidRPr="005E46D3">
        <w:lastRenderedPageBreak/>
        <w:t>concept de gouvernance. Une deuxième section présente les princ</w:t>
      </w:r>
      <w:r w:rsidRPr="005E46D3">
        <w:t>i</w:t>
      </w:r>
      <w:r w:rsidRPr="005E46D3">
        <w:t>paux éléments de l’ossature structurelle à partir de laquelle est établie la comparaison des systèmes de gouvernance de l’éducation fond</w:t>
      </w:r>
      <w:r w:rsidRPr="005E46D3">
        <w:t>a</w:t>
      </w:r>
      <w:r w:rsidRPr="005E46D3">
        <w:t>mentale dans les provinces et terr</w:t>
      </w:r>
      <w:r w:rsidRPr="005E46D3">
        <w:t>i</w:t>
      </w:r>
      <w:r w:rsidRPr="005E46D3">
        <w:t>toires. Cette ossature, sorte de type idéal à la Weber,</w:t>
      </w:r>
      <w:r>
        <w:t xml:space="preserve"> [182] </w:t>
      </w:r>
      <w:r w:rsidRPr="005E46D3">
        <w:t>est susceptible de mettre en lumière les él</w:t>
      </w:r>
      <w:r w:rsidRPr="005E46D3">
        <w:t>é</w:t>
      </w:r>
      <w:r w:rsidRPr="005E46D3">
        <w:t>ments stables, nota</w:t>
      </w:r>
      <w:r w:rsidRPr="005E46D3">
        <w:t>m</w:t>
      </w:r>
      <w:r w:rsidRPr="005E46D3">
        <w:t>ment une structure à trois paliers et l’institutionnalisation de la participation démocratique et communa</w:t>
      </w:r>
      <w:r w:rsidRPr="005E46D3">
        <w:t>u</w:t>
      </w:r>
      <w:r w:rsidRPr="005E46D3">
        <w:t>taire. Ces deux éléments caractéristiques, dés</w:t>
      </w:r>
      <w:r w:rsidRPr="005E46D3">
        <w:t>i</w:t>
      </w:r>
      <w:r w:rsidRPr="005E46D3">
        <w:t>gnés ici axe vertical et axe horizontal de la gouvernance, nous apparaissent constitutifs de l’héritage institutionnel canadien, “l’empreinte des origines” pour r</w:t>
      </w:r>
      <w:r w:rsidRPr="005E46D3">
        <w:t>e</w:t>
      </w:r>
      <w:r w:rsidRPr="005E46D3">
        <w:t>prendre l’expression de Merrien (1990) et le point de départ de l’étude comparée de son évolution. Car il nous apparaît important de montrer d’emblée que la réalité canadienne en m</w:t>
      </w:r>
      <w:r w:rsidRPr="005E46D3">
        <w:t>a</w:t>
      </w:r>
      <w:r w:rsidRPr="005E46D3">
        <w:t>tière d’éducation se trouve en quelque sorte enchâssée dans un ensemble d’institutions, de polit</w:t>
      </w:r>
      <w:r w:rsidRPr="005E46D3">
        <w:t>i</w:t>
      </w:r>
      <w:r w:rsidRPr="005E46D3">
        <w:t>ques et de façons de pe</w:t>
      </w:r>
      <w:r w:rsidRPr="005E46D3">
        <w:t>n</w:t>
      </w:r>
      <w:r w:rsidRPr="005E46D3">
        <w:t>ser les problèmes hérités du passé, qui contraignent les options politiques possibles ou l’application des déc</w:t>
      </w:r>
      <w:r w:rsidRPr="005E46D3">
        <w:t>i</w:t>
      </w:r>
      <w:r w:rsidRPr="005E46D3">
        <w:t>sions prises. C’est ce que véhicule la notion de “dépendance du ch</w:t>
      </w:r>
      <w:r w:rsidRPr="005E46D3">
        <w:t>e</w:t>
      </w:r>
      <w:r w:rsidRPr="005E46D3">
        <w:t>min parcouru” (</w:t>
      </w:r>
      <w:r w:rsidRPr="005E46D3">
        <w:rPr>
          <w:i/>
          <w:iCs/>
        </w:rPr>
        <w:t>path dependency</w:t>
      </w:r>
      <w:r w:rsidRPr="005E46D3">
        <w:t>), issue de l’économie, adoptée et adaptée en science politique (Palier &amp; Bonoli 1999, Merrien 2000) qui rend compte de la stabilité des institutions et de la résistance au cha</w:t>
      </w:r>
      <w:r w:rsidRPr="005E46D3">
        <w:t>n</w:t>
      </w:r>
      <w:r w:rsidRPr="005E46D3">
        <w:t>gement, en accordant la primauté aux variables politiques institutio</w:t>
      </w:r>
      <w:r w:rsidRPr="005E46D3">
        <w:t>n</w:t>
      </w:r>
      <w:r w:rsidRPr="005E46D3">
        <w:t>nelles, au poids de l’héritage politique (</w:t>
      </w:r>
      <w:r w:rsidRPr="005E46D3">
        <w:rPr>
          <w:i/>
          <w:iCs/>
        </w:rPr>
        <w:t>policy legacy</w:t>
      </w:r>
      <w:r w:rsidRPr="005E46D3">
        <w:t>). Elle met en lumière des mécanismes d’autorenforcement d’un choix, d’une façon de faire, d’un système de pensée sur la longue durée. Elle renvoie à l’idée que l’évolution d’une institution, d’un champ d’activité ou d’un État est le produit d’une histoire et d’une conjoncture d</w:t>
      </w:r>
      <w:r w:rsidRPr="005E46D3">
        <w:t>é</w:t>
      </w:r>
      <w:r w:rsidRPr="005E46D3">
        <w:t>terminées ; elle attire l’attention sur le fait qu’au fil des ans, les unités mentio</w:t>
      </w:r>
      <w:r w:rsidRPr="005E46D3">
        <w:t>n</w:t>
      </w:r>
      <w:r w:rsidRPr="005E46D3">
        <w:t>nées affichent des caractérist</w:t>
      </w:r>
      <w:r w:rsidRPr="005E46D3">
        <w:t>i</w:t>
      </w:r>
      <w:r w:rsidRPr="005E46D3">
        <w:t>ques propres, voire une logique politique particulière, qui font que leurs réactions à des nouveautés, des pertu</w:t>
      </w:r>
      <w:r w:rsidRPr="005E46D3">
        <w:t>r</w:t>
      </w:r>
      <w:r w:rsidRPr="005E46D3">
        <w:t>bations ou des incertitudes ne sont ni totalement aléatoires ni impr</w:t>
      </w:r>
      <w:r w:rsidRPr="005E46D3">
        <w:t>é</w:t>
      </w:r>
      <w:r w:rsidRPr="005E46D3">
        <w:t>vues ni nouvelles, mais part</w:t>
      </w:r>
      <w:r w:rsidRPr="005E46D3">
        <w:t>i</w:t>
      </w:r>
      <w:r w:rsidRPr="005E46D3">
        <w:t>cipent d’une logique historique que le bon analyste est en mesure de dégager. D’où l’idée de dépendance du chemin parco</w:t>
      </w:r>
      <w:r w:rsidRPr="005E46D3">
        <w:t>u</w:t>
      </w:r>
      <w:r w:rsidRPr="005E46D3">
        <w:t>ru.</w:t>
      </w:r>
    </w:p>
    <w:p w14:paraId="15866369" w14:textId="77777777" w:rsidR="0065175B" w:rsidRPr="005E46D3" w:rsidRDefault="0065175B" w:rsidP="0065175B">
      <w:pPr>
        <w:spacing w:before="120" w:after="120"/>
        <w:jc w:val="both"/>
      </w:pPr>
      <w:r w:rsidRPr="005E46D3">
        <w:lastRenderedPageBreak/>
        <w:t>Une troisième section, identifie et décrit les principales tendances de la</w:t>
      </w:r>
      <w:r>
        <w:t xml:space="preserve"> </w:t>
      </w:r>
      <w:r w:rsidRPr="005E46D3">
        <w:t>gouvernance de l’éducation. La dernière section analyse la sign</w:t>
      </w:r>
      <w:r w:rsidRPr="005E46D3">
        <w:t>i</w:t>
      </w:r>
      <w:r w:rsidRPr="005E46D3">
        <w:t>fication de ces tendances.</w:t>
      </w:r>
    </w:p>
    <w:p w14:paraId="5FA080D8" w14:textId="77777777" w:rsidR="0065175B" w:rsidRPr="005E46D3" w:rsidRDefault="0065175B" w:rsidP="0065175B">
      <w:pPr>
        <w:spacing w:before="120" w:after="120"/>
        <w:jc w:val="both"/>
      </w:pPr>
    </w:p>
    <w:p w14:paraId="2B7BC62C" w14:textId="77777777" w:rsidR="0065175B" w:rsidRPr="005E46D3" w:rsidRDefault="0065175B" w:rsidP="0065175B">
      <w:pPr>
        <w:pStyle w:val="planche"/>
      </w:pPr>
      <w:bookmarkStart w:id="2" w:name="Gouvernance_1"/>
      <w:r w:rsidRPr="005E46D3">
        <w:t>La “gouvernance”</w:t>
      </w:r>
    </w:p>
    <w:bookmarkEnd w:id="2"/>
    <w:p w14:paraId="466E4872" w14:textId="77777777" w:rsidR="0065175B" w:rsidRPr="005E46D3" w:rsidRDefault="0065175B" w:rsidP="0065175B">
      <w:pPr>
        <w:spacing w:before="120" w:after="120"/>
        <w:jc w:val="both"/>
      </w:pPr>
    </w:p>
    <w:p w14:paraId="0FDE1BAD" w14:textId="77777777" w:rsidR="0065175B" w:rsidRPr="00384B20" w:rsidRDefault="0065175B" w:rsidP="0065175B">
      <w:pPr>
        <w:ind w:right="90" w:firstLine="0"/>
        <w:jc w:val="both"/>
        <w:rPr>
          <w:sz w:val="20"/>
        </w:rPr>
      </w:pPr>
      <w:hyperlink w:anchor="tdm" w:history="1">
        <w:r w:rsidRPr="00384B20">
          <w:rPr>
            <w:rStyle w:val="Hyperlien"/>
            <w:sz w:val="20"/>
          </w:rPr>
          <w:t>Retour à la table des matières</w:t>
        </w:r>
      </w:hyperlink>
    </w:p>
    <w:p w14:paraId="56D882A7" w14:textId="77777777" w:rsidR="0065175B" w:rsidRPr="005E46D3" w:rsidRDefault="00035F0D" w:rsidP="0065175B">
      <w:pPr>
        <w:spacing w:before="120" w:after="120"/>
        <w:jc w:val="both"/>
      </w:pPr>
      <w:r w:rsidRPr="005E46D3">
        <w:rPr>
          <w:noProof/>
        </w:rPr>
        <mc:AlternateContent>
          <mc:Choice Requires="wps">
            <w:drawing>
              <wp:anchor distT="0" distB="0" distL="114300" distR="114300" simplePos="0" relativeHeight="251657728" behindDoc="1" locked="0" layoutInCell="1" allowOverlap="1" wp14:anchorId="7EA18AE0" wp14:editId="1659BC92">
                <wp:simplePos x="0" y="0"/>
                <wp:positionH relativeFrom="page">
                  <wp:posOffset>774065</wp:posOffset>
                </wp:positionH>
                <wp:positionV relativeFrom="paragraph">
                  <wp:posOffset>13970</wp:posOffset>
                </wp:positionV>
                <wp:extent cx="197485" cy="419100"/>
                <wp:effectExtent l="0" t="0" r="0" b="0"/>
                <wp:wrapNone/>
                <wp:docPr id="7"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748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672E9" w14:textId="77777777" w:rsidR="0065175B" w:rsidRDefault="0065175B" w:rsidP="0065175B">
                            <w:pPr>
                              <w:spacing w:before="8" w:line="651" w:lineRule="exact"/>
                              <w:rPr>
                                <w:sz w:val="56"/>
                              </w:rPr>
                            </w:pPr>
                            <w:r>
                              <w:rPr>
                                <w:color w:val="7F7F7F"/>
                                <w:w w:val="103"/>
                                <w:sz w:val="56"/>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A18AE0" id="_x0000_t202" coordsize="21600,21600" o:spt="202" path="m,l,21600r21600,l21600,xe">
                <v:stroke joinstyle="miter"/>
                <v:path gradientshapeok="t" o:connecttype="rect"/>
              </v:shapetype>
              <v:shape id="docshape16" o:spid="_x0000_s1026" type="#_x0000_t202" style="position:absolute;left:0;text-align:left;margin-left:60.95pt;margin-top:1.1pt;width:15.55pt;height:3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" filled="f" stroked="f">
                <v:path arrowok="t"/>
                <v:textbox inset="0,0,0,0">
                  <w:txbxContent>
                    <w:p w14:paraId="4B4672E9" w14:textId="77777777" w:rsidR="0065175B" w:rsidRDefault="0065175B" w:rsidP="0065175B">
                      <w:pPr>
                        <w:spacing w:before="8" w:line="651" w:lineRule="exact"/>
                        <w:rPr>
                          <w:sz w:val="56"/>
                        </w:rPr>
                      </w:pPr>
                      <w:r>
                        <w:rPr>
                          <w:color w:val="7F7F7F"/>
                          <w:w w:val="103"/>
                          <w:sz w:val="56"/>
                        </w:rPr>
                        <w:t>L</w:t>
                      </w:r>
                    </w:p>
                  </w:txbxContent>
                </v:textbox>
                <w10:wrap anchorx="page"/>
              </v:shape>
            </w:pict>
          </mc:Fallback>
        </mc:AlternateContent>
      </w:r>
      <w:r w:rsidR="0065175B">
        <w:t>L</w:t>
      </w:r>
      <w:r w:rsidR="0065175B" w:rsidRPr="005E46D3">
        <w:t>e terme gouvernance est à la mode, en voie d’être natur</w:t>
      </w:r>
      <w:r w:rsidR="0065175B" w:rsidRPr="005E46D3">
        <w:t>a</w:t>
      </w:r>
      <w:r w:rsidR="0065175B" w:rsidRPr="005E46D3">
        <w:t>lisé dans la langue de tous les jours. Il n’est pas innocent pour autant ni univ</w:t>
      </w:r>
      <w:r w:rsidR="0065175B" w:rsidRPr="005E46D3">
        <w:t>o</w:t>
      </w:r>
      <w:r w:rsidR="0065175B" w:rsidRPr="005E46D3">
        <w:t>que. Aucune</w:t>
      </w:r>
      <w:r w:rsidR="0065175B">
        <w:t xml:space="preserve"> </w:t>
      </w:r>
      <w:r w:rsidR="0065175B" w:rsidRPr="005E46D3">
        <w:t>définition de la gouvernance ne fait consensus. Néa</w:t>
      </w:r>
      <w:r w:rsidR="0065175B" w:rsidRPr="005E46D3">
        <w:t>n</w:t>
      </w:r>
      <w:r w:rsidR="0065175B" w:rsidRPr="005E46D3">
        <w:t>moins son centre est l’idée que les gouvernements actuels des États du Nord et du Sud n’ont pas ou plus le monopole de la puissance légit</w:t>
      </w:r>
      <w:r w:rsidR="0065175B" w:rsidRPr="005E46D3">
        <w:t>i</w:t>
      </w:r>
      <w:r w:rsidR="0065175B" w:rsidRPr="005E46D3">
        <w:t>me, que d’autres instances peuvent et doivent contribuer au maintien de l’ordre et participer à la régulation économique et sociale. En ce sens, la gouvernance est liée à la capacité de coordonner des activités interdépe</w:t>
      </w:r>
      <w:r w:rsidR="0065175B" w:rsidRPr="005E46D3">
        <w:t>n</w:t>
      </w:r>
      <w:r w:rsidR="0065175B" w:rsidRPr="005E46D3">
        <w:t>dantes et ou de réaliser le changement sans l’autorité légale de l’ordonner. Si le gouvernement concerne les élus ou les représe</w:t>
      </w:r>
      <w:r w:rsidR="0065175B" w:rsidRPr="005E46D3">
        <w:t>n</w:t>
      </w:r>
      <w:r w:rsidR="0065175B" w:rsidRPr="005E46D3">
        <w:t>tants légitimes, la gouvernance traduit l’élargissement du cercle déc</w:t>
      </w:r>
      <w:r w:rsidR="0065175B" w:rsidRPr="005E46D3">
        <w:t>i</w:t>
      </w:r>
      <w:r w:rsidR="0065175B" w:rsidRPr="005E46D3">
        <w:t>sionnel à d’autres acteurs, se</w:t>
      </w:r>
      <w:r w:rsidR="0065175B" w:rsidRPr="005E46D3">
        <w:t>c</w:t>
      </w:r>
      <w:r w:rsidR="0065175B" w:rsidRPr="005E46D3">
        <w:t>teurs</w:t>
      </w:r>
      <w:r w:rsidR="0065175B">
        <w:t xml:space="preserve"> [183] </w:t>
      </w:r>
      <w:r w:rsidR="0065175B" w:rsidRPr="005E46D3">
        <w:t>ou organisations. Elle donne à penser que sont accrues la légitimité des décisions, l’efficacité et l’efficience de la gestion de leur applic</w:t>
      </w:r>
      <w:r w:rsidR="0065175B" w:rsidRPr="005E46D3">
        <w:t>a</w:t>
      </w:r>
      <w:r w:rsidR="0065175B" w:rsidRPr="005E46D3">
        <w:t>tion. Elle est une façon de concevoir une structur</w:t>
      </w:r>
      <w:r w:rsidR="0065175B" w:rsidRPr="005E46D3">
        <w:t>a</w:t>
      </w:r>
      <w:r w:rsidR="0065175B" w:rsidRPr="005E46D3">
        <w:t>tion de la politique fondée sur des réseaux d’organisations et d’acteurs qui pénètrent d</w:t>
      </w:r>
      <w:r w:rsidR="0065175B" w:rsidRPr="005E46D3">
        <w:t>i</w:t>
      </w:r>
      <w:r w:rsidR="0065175B" w:rsidRPr="005E46D3">
        <w:t>vers lieux de pouvoir, l</w:t>
      </w:r>
      <w:r w:rsidR="0065175B" w:rsidRPr="005E46D3">
        <w:t>o</w:t>
      </w:r>
      <w:r w:rsidR="0065175B" w:rsidRPr="005E46D3">
        <w:t>caux, intermédiaires ou centraux. Dans cette vision politique, l’État est un partenaire associé à d’autres a</w:t>
      </w:r>
      <w:r w:rsidR="0065175B" w:rsidRPr="005E46D3">
        <w:t>c</w:t>
      </w:r>
      <w:r w:rsidR="0065175B" w:rsidRPr="005E46D3">
        <w:t>teurs avec lesquels il assume une c</w:t>
      </w:r>
      <w:r w:rsidR="0065175B" w:rsidRPr="005E46D3">
        <w:t>o</w:t>
      </w:r>
      <w:r w:rsidR="0065175B" w:rsidRPr="005E46D3">
        <w:t>responsabilité, partage de l’autorité, des risques et investit comme eux des ressou</w:t>
      </w:r>
      <w:r w:rsidR="0065175B" w:rsidRPr="005E46D3">
        <w:t>r</w:t>
      </w:r>
      <w:r w:rsidR="0065175B" w:rsidRPr="005E46D3">
        <w:t>ces. L’État devient aussi plus stratège.</w:t>
      </w:r>
    </w:p>
    <w:p w14:paraId="4B193375" w14:textId="77777777" w:rsidR="0065175B" w:rsidRPr="005E46D3" w:rsidRDefault="0065175B" w:rsidP="0065175B">
      <w:pPr>
        <w:spacing w:before="120" w:after="120"/>
        <w:jc w:val="both"/>
      </w:pPr>
      <w:r w:rsidRPr="005E46D3">
        <w:t>Chercher à passer du gouvernement à la gouvernance r</w:t>
      </w:r>
      <w:r w:rsidRPr="005E46D3">
        <w:t>é</w:t>
      </w:r>
      <w:r w:rsidRPr="005E46D3">
        <w:t>vèle un problème ou, si on préfère, un État, incarnation de la sphère publique, en crise. Rappelons que la commission tr</w:t>
      </w:r>
      <w:r w:rsidRPr="005E46D3">
        <w:t>i</w:t>
      </w:r>
      <w:r w:rsidRPr="005E46D3">
        <w:t xml:space="preserve">latérale en 1975, dans son rapport </w:t>
      </w:r>
      <w:r w:rsidRPr="005E46D3">
        <w:rPr>
          <w:i/>
        </w:rPr>
        <w:t>Governality of Democr</w:t>
      </w:r>
      <w:r w:rsidRPr="005E46D3">
        <w:rPr>
          <w:i/>
        </w:rPr>
        <w:t>a</w:t>
      </w:r>
      <w:r w:rsidRPr="005E46D3">
        <w:rPr>
          <w:i/>
        </w:rPr>
        <w:t>cies</w:t>
      </w:r>
      <w:r w:rsidRPr="005E46D3">
        <w:t>, indiquait que la crise de l’État était le fait de la fra</w:t>
      </w:r>
      <w:r w:rsidRPr="005E46D3">
        <w:t>c</w:t>
      </w:r>
      <w:r w:rsidRPr="005E46D3">
        <w:t>ture entre l’augmentation des demandes sociales et son manque de ressources. Pour sortir de cette crise qui rend les démocraties ingouvern</w:t>
      </w:r>
      <w:r w:rsidRPr="005E46D3">
        <w:t>a</w:t>
      </w:r>
      <w:r w:rsidRPr="005E46D3">
        <w:t>bles, il importe, suivant ce point de vue, de passer d’un État redistributif à un État qui favorise la libér</w:t>
      </w:r>
      <w:r w:rsidRPr="005E46D3">
        <w:t>a</w:t>
      </w:r>
      <w:r w:rsidRPr="005E46D3">
        <w:t>lisation, la déréglement</w:t>
      </w:r>
      <w:r w:rsidRPr="005E46D3">
        <w:t>a</w:t>
      </w:r>
      <w:r w:rsidRPr="005E46D3">
        <w:t xml:space="preserve">tion des marchés et la privatisation du secteur public. On </w:t>
      </w:r>
      <w:r w:rsidRPr="005E46D3">
        <w:lastRenderedPageBreak/>
        <w:t>le constate, la gouvernance est marquée au sceau des thèses lib</w:t>
      </w:r>
      <w:r w:rsidRPr="005E46D3">
        <w:t>é</w:t>
      </w:r>
      <w:r w:rsidRPr="005E46D3">
        <w:t>rales (Saldomando 2000, 3).</w:t>
      </w:r>
    </w:p>
    <w:p w14:paraId="20D7F3D6" w14:textId="77777777" w:rsidR="0065175B" w:rsidRPr="005E46D3" w:rsidRDefault="0065175B" w:rsidP="0065175B">
      <w:pPr>
        <w:spacing w:before="120" w:after="120"/>
        <w:jc w:val="both"/>
      </w:pPr>
      <w:r w:rsidRPr="005E46D3">
        <w:t>La gouvernance, ainsi que la décrit Van Haecht (2004), couvrirait un ensemble de phénomènes révélateurs d’une perte de légitimité et de centralité de la sphère publique et de la moindre efficacité et eff</w:t>
      </w:r>
      <w:r w:rsidRPr="005E46D3">
        <w:t>i</w:t>
      </w:r>
      <w:r w:rsidRPr="005E46D3">
        <w:t>cience de l’action publique. Au plan prescriptif, la “bonne” gouve</w:t>
      </w:r>
      <w:r w:rsidRPr="005E46D3">
        <w:t>r</w:t>
      </w:r>
      <w:r w:rsidRPr="005E46D3">
        <w:t>nance indique une voie de sortie de crise pour l’État Providence, d</w:t>
      </w:r>
      <w:r w:rsidRPr="005E46D3">
        <w:t>é</w:t>
      </w:r>
      <w:r w:rsidRPr="005E46D3">
        <w:t>sormais saisi comme ingouvernable. Cette bonne gouvernance vo</w:t>
      </w:r>
      <w:r w:rsidRPr="005E46D3">
        <w:t>u</w:t>
      </w:r>
      <w:r w:rsidRPr="005E46D3">
        <w:t>drait que l’État dorénavant cède une part de ses compétences à d’autres acteurs, se transfo</w:t>
      </w:r>
      <w:r w:rsidRPr="005E46D3">
        <w:t>r</w:t>
      </w:r>
      <w:r w:rsidRPr="005E46D3">
        <w:t>me en médiateur et travaille en réseaux. Ainsi, selon Merrien (1998, 63), “la nouvelle (la bonne) gouvernance se caractérise par le passage de la tutelle au contrat, de la centralis</w:t>
      </w:r>
      <w:r w:rsidRPr="005E46D3">
        <w:t>a</w:t>
      </w:r>
      <w:r w:rsidRPr="005E46D3">
        <w:t>tion à la décentralisation, de l’État redistributif à l’État régulateur, de la gestion du service p</w:t>
      </w:r>
      <w:r w:rsidRPr="005E46D3">
        <w:t>u</w:t>
      </w:r>
      <w:r w:rsidRPr="005E46D3">
        <w:t>blic à la gestion selon les principes du marché, de la ‘guidance’ publique à la coopération des acteurs publics et des a</w:t>
      </w:r>
      <w:r w:rsidRPr="005E46D3">
        <w:t>c</w:t>
      </w:r>
      <w:r w:rsidRPr="005E46D3">
        <w:t>teurs privés, etc.”</w:t>
      </w:r>
    </w:p>
    <w:p w14:paraId="17B2148A" w14:textId="77777777" w:rsidR="0065175B" w:rsidRPr="005E46D3" w:rsidRDefault="0065175B" w:rsidP="0065175B">
      <w:pPr>
        <w:spacing w:before="120" w:after="120"/>
        <w:jc w:val="both"/>
      </w:pPr>
      <w:r w:rsidRPr="005E46D3">
        <w:t>Pour Van Haecht, au plan analytique, la notion de gouvernance i</w:t>
      </w:r>
      <w:r w:rsidRPr="005E46D3">
        <w:t>n</w:t>
      </w:r>
      <w:r w:rsidRPr="005E46D3">
        <w:t>terroge le poids relatif des facteurs de convergence associés à la mo</w:t>
      </w:r>
      <w:r w:rsidRPr="005E46D3">
        <w:t>n</w:t>
      </w:r>
      <w:r w:rsidRPr="005E46D3">
        <w:t>dialisation ou à la globalisation, par ra</w:t>
      </w:r>
      <w:r w:rsidRPr="005E46D3">
        <w:t>p</w:t>
      </w:r>
      <w:r w:rsidRPr="005E46D3">
        <w:t>port à l’héritage institutionnel des sociétés et de leur système politique. S’agit-il d’une évolution i</w:t>
      </w:r>
      <w:r w:rsidRPr="005E46D3">
        <w:t>r</w:t>
      </w:r>
      <w:r w:rsidRPr="005E46D3">
        <w:t>résistible et inévitable, unifo</w:t>
      </w:r>
      <w:r w:rsidRPr="005E46D3">
        <w:t>r</w:t>
      </w:r>
      <w:r w:rsidRPr="005E46D3">
        <w:t>me dans ses orientations et qui s’impose à tous les États ? Est-il possible que les États continuent à se dévelo</w:t>
      </w:r>
      <w:r w:rsidRPr="005E46D3">
        <w:t>p</w:t>
      </w:r>
      <w:r w:rsidRPr="005E46D3">
        <w:t>per à partir de leurs caractéristiques propres, ancrées dans leur histo</w:t>
      </w:r>
      <w:r w:rsidRPr="005E46D3">
        <w:t>i</w:t>
      </w:r>
      <w:r w:rsidRPr="005E46D3">
        <w:t>re, rendant certaines options possibles ou imposs</w:t>
      </w:r>
      <w:r w:rsidRPr="005E46D3">
        <w:t>i</w:t>
      </w:r>
      <w:r w:rsidRPr="005E46D3">
        <w:t>bles ? Dans ce cas, peut-on penser que la notion de gouve</w:t>
      </w:r>
      <w:r w:rsidRPr="005E46D3">
        <w:t>r</w:t>
      </w:r>
      <w:r w:rsidRPr="005E46D3">
        <w:t>nance est d’usage rhétorique, ne réussissant pas to</w:t>
      </w:r>
      <w:r w:rsidRPr="005E46D3">
        <w:t>u</w:t>
      </w:r>
      <w:r w:rsidRPr="005E46D3">
        <w:t>jours à vaincre la résistance de la vieille notion de service public en éducation ?</w:t>
      </w:r>
    </w:p>
    <w:p w14:paraId="25CAA3AA" w14:textId="77777777" w:rsidR="0065175B" w:rsidRPr="005E46D3" w:rsidRDefault="0065175B" w:rsidP="0065175B">
      <w:pPr>
        <w:spacing w:before="120" w:after="120"/>
        <w:jc w:val="both"/>
      </w:pPr>
      <w:r w:rsidRPr="005E46D3">
        <w:t>Suivant Gilbert (2003), la gouvernance puise sa légitimité princ</w:t>
      </w:r>
      <w:r w:rsidRPr="005E46D3">
        <w:t>i</w:t>
      </w:r>
      <w:r w:rsidRPr="005E46D3">
        <w:t>palement à deux sources : la démocratie libérale et la démocratie pa</w:t>
      </w:r>
      <w:r w:rsidRPr="005E46D3">
        <w:t>r</w:t>
      </w:r>
      <w:r w:rsidRPr="005E46D3">
        <w:t>ticipative. Dans le</w:t>
      </w:r>
      <w:r>
        <w:t xml:space="preserve"> [184] </w:t>
      </w:r>
      <w:r w:rsidRPr="005E46D3">
        <w:t>premier cas, plus dominant que le second, c’est le néolibéralisme qui est mis à contribution : les États démocr</w:t>
      </w:r>
      <w:r w:rsidRPr="005E46D3">
        <w:t>a</w:t>
      </w:r>
      <w:r w:rsidRPr="005E46D3">
        <w:t>tiques contemporains, voués au bien-être de leurs citoyens, doivent être compétitifs dans le monde et leurs économies nationales, pour entrer en concurrence, doivent attirer des capitaux étrangers et favor</w:t>
      </w:r>
      <w:r w:rsidRPr="005E46D3">
        <w:t>i</w:t>
      </w:r>
      <w:r w:rsidRPr="005E46D3">
        <w:t>ser l’innovation technologique. Pour réussir, l’État doit mettre en pl</w:t>
      </w:r>
      <w:r w:rsidRPr="005E46D3">
        <w:t>a</w:t>
      </w:r>
      <w:r w:rsidRPr="005E46D3">
        <w:t>ce des modes de gouve</w:t>
      </w:r>
      <w:r w:rsidRPr="005E46D3">
        <w:t>r</w:t>
      </w:r>
      <w:r w:rsidRPr="005E46D3">
        <w:t>nance marquées au coin de la concurrence et de l’imputabilité : des quasi-marchés pour les services, dava</w:t>
      </w:r>
      <w:r w:rsidRPr="005E46D3">
        <w:t>n</w:t>
      </w:r>
      <w:r w:rsidRPr="005E46D3">
        <w:t xml:space="preserve">tage d’imputabilité des acteurs, des modes contractuels de relations entre </w:t>
      </w:r>
      <w:r w:rsidRPr="005E46D3">
        <w:lastRenderedPageBreak/>
        <w:t>les instances et les acteurs – contrats de performance –, la décentral</w:t>
      </w:r>
      <w:r w:rsidRPr="005E46D3">
        <w:t>i</w:t>
      </w:r>
      <w:r w:rsidRPr="005E46D3">
        <w:t>sation, l’extension des possib</w:t>
      </w:r>
      <w:r w:rsidRPr="005E46D3">
        <w:t>i</w:t>
      </w:r>
      <w:r w:rsidRPr="005E46D3">
        <w:t>lités de choix par les usagers, afin d’instaurer une approche client au sein du secteur p</w:t>
      </w:r>
      <w:r w:rsidRPr="005E46D3">
        <w:t>u</w:t>
      </w:r>
      <w:r w:rsidRPr="005E46D3">
        <w:t>blic, etc. Dans cette vision fondée sur le libéralisme, la gouvernance de l’État a pour but de gérer au mieux les ressou</w:t>
      </w:r>
      <w:r w:rsidRPr="005E46D3">
        <w:t>r</w:t>
      </w:r>
      <w:r w:rsidRPr="005E46D3">
        <w:t>ces économiques et sociales, d’ajuster la société et l’économie aux réalités de la mondialisation, d’accroître l’efficacité institutionnelle, notamment celle des organis</w:t>
      </w:r>
      <w:r w:rsidRPr="005E46D3">
        <w:t>a</w:t>
      </w:r>
      <w:r w:rsidRPr="005E46D3">
        <w:t>tions étatiques. Ainsi, marché et État démocratique se soutiennent m</w:t>
      </w:r>
      <w:r w:rsidRPr="005E46D3">
        <w:t>u</w:t>
      </w:r>
      <w:r w:rsidRPr="005E46D3">
        <w:t>tuellement, le premier fourni</w:t>
      </w:r>
      <w:r w:rsidRPr="005E46D3">
        <w:t>s</w:t>
      </w:r>
      <w:r w:rsidRPr="005E46D3">
        <w:t>sant au second les moyens de produire les résultats polit</w:t>
      </w:r>
      <w:r w:rsidRPr="005E46D3">
        <w:t>i</w:t>
      </w:r>
      <w:r w:rsidRPr="005E46D3">
        <w:t>ques requis.</w:t>
      </w:r>
    </w:p>
    <w:p w14:paraId="69F566B4" w14:textId="77777777" w:rsidR="0065175B" w:rsidRPr="005E46D3" w:rsidRDefault="0065175B" w:rsidP="0065175B">
      <w:pPr>
        <w:spacing w:before="120" w:after="120"/>
        <w:jc w:val="both"/>
      </w:pPr>
      <w:r w:rsidRPr="005E46D3">
        <w:t>Selon Gilbert (2003) et Saldomando (2003), on peut pe</w:t>
      </w:r>
      <w:r w:rsidRPr="005E46D3">
        <w:t>n</w:t>
      </w:r>
      <w:r>
        <w:t>ser une gouver</w:t>
      </w:r>
      <w:r w:rsidRPr="005E46D3">
        <w:t>nance démocratique préoccupée de rapports entre la d</w:t>
      </w:r>
      <w:r w:rsidRPr="005E46D3">
        <w:t>é</w:t>
      </w:r>
      <w:r w:rsidRPr="005E46D3">
        <w:t>mocratie et le marché évoluant vers l’équité et la justice s</w:t>
      </w:r>
      <w:r w:rsidRPr="005E46D3">
        <w:t>o</w:t>
      </w:r>
      <w:r w:rsidRPr="005E46D3">
        <w:t>ciale. Suivant ce point de vue, qui renoue avec le souci d’une démocratie de la base et de la solidarité sociale, la gouvernance devrait corriger la faiblesse de la participation dém</w:t>
      </w:r>
      <w:r w:rsidRPr="005E46D3">
        <w:t>o</w:t>
      </w:r>
      <w:r w:rsidRPr="005E46D3">
        <w:t>cratique liée à l’injustice sociale. Dans ce cadre, une bonne gouvernance redistribue le pouvoir et intègre les groupes exclus ; elle contribue à l’autorisation (</w:t>
      </w:r>
      <w:r w:rsidRPr="005E46D3">
        <w:rPr>
          <w:i/>
          <w:iCs/>
        </w:rPr>
        <w:t>empowerment</w:t>
      </w:r>
      <w:r w:rsidRPr="005E46D3">
        <w:t>) de divers a</w:t>
      </w:r>
      <w:r w:rsidRPr="005E46D3">
        <w:t>c</w:t>
      </w:r>
      <w:r w:rsidRPr="005E46D3">
        <w:t>teurs et à l’accroissement de leur capacité instit</w:t>
      </w:r>
      <w:r w:rsidRPr="005E46D3">
        <w:t>u</w:t>
      </w:r>
      <w:r w:rsidRPr="005E46D3">
        <w:t>tionnelle et politique, valorisant aussi la construction de compromis et de consensus locaux. Dans cette vision, la d</w:t>
      </w:r>
      <w:r w:rsidRPr="005E46D3">
        <w:t>é</w:t>
      </w:r>
      <w:r w:rsidRPr="005E46D3">
        <w:t>centralisation est un outil de prise en charge locale et d’élargissement d’un pouvoir démocratique proche des a</w:t>
      </w:r>
      <w:r w:rsidRPr="005E46D3">
        <w:t>c</w:t>
      </w:r>
      <w:r w:rsidRPr="005E46D3">
        <w:t>teurs et de leurs préo</w:t>
      </w:r>
      <w:r w:rsidRPr="005E46D3">
        <w:t>c</w:t>
      </w:r>
      <w:r w:rsidRPr="005E46D3">
        <w:t>cupations.</w:t>
      </w:r>
    </w:p>
    <w:p w14:paraId="0671FF34" w14:textId="77777777" w:rsidR="0065175B" w:rsidRPr="005E46D3" w:rsidRDefault="0065175B" w:rsidP="0065175B">
      <w:pPr>
        <w:spacing w:before="120" w:after="120"/>
        <w:jc w:val="both"/>
      </w:pPr>
      <w:r w:rsidRPr="005E46D3">
        <w:t>On le voit, le thème de la gouvernance concerne l’articulation du marché, de l’État et de la société civile. Il est, aujourd’hui, fortement enchâssé dans des idéologies et des pre</w:t>
      </w:r>
      <w:r w:rsidRPr="005E46D3">
        <w:t>s</w:t>
      </w:r>
      <w:r w:rsidRPr="005E46D3">
        <w:t>criptions et demande un usage prudent. Notons que cette notion porte sur la capacité de l’État à coo</w:t>
      </w:r>
      <w:r w:rsidRPr="005E46D3">
        <w:t>r</w:t>
      </w:r>
      <w:r w:rsidRPr="005E46D3">
        <w:t>donner des activités interd</w:t>
      </w:r>
      <w:r w:rsidRPr="005E46D3">
        <w:t>é</w:t>
      </w:r>
      <w:r w:rsidRPr="005E46D3">
        <w:t>pendantes, à réaliser un changement sans l’autorité légale de l’ordonner, tout en cherchant à élargir la décision à d’autres acteurs, secteurs ou organisations, pour accroître sa légitim</w:t>
      </w:r>
      <w:r w:rsidRPr="005E46D3">
        <w:t>i</w:t>
      </w:r>
      <w:r w:rsidRPr="005E46D3">
        <w:t>té, l’efficacité et l’efficience de la ge</w:t>
      </w:r>
      <w:r w:rsidRPr="005E46D3">
        <w:t>s</w:t>
      </w:r>
      <w:r w:rsidRPr="005E46D3">
        <w:t>tion de son application. L’héritage institutionnel canadien en matière de gouvernance éducat</w:t>
      </w:r>
      <w:r w:rsidRPr="005E46D3">
        <w:t>i</w:t>
      </w:r>
      <w:r w:rsidRPr="005E46D3">
        <w:t>ve comporte, on le verra, une forte dimension de participation dém</w:t>
      </w:r>
      <w:r w:rsidRPr="005E46D3">
        <w:t>o</w:t>
      </w:r>
      <w:r w:rsidRPr="005E46D3">
        <w:t>cratique locale et communautaire.</w:t>
      </w:r>
    </w:p>
    <w:p w14:paraId="5E583260" w14:textId="77777777" w:rsidR="0065175B" w:rsidRDefault="0065175B" w:rsidP="0065175B">
      <w:pPr>
        <w:spacing w:before="120" w:after="120"/>
        <w:jc w:val="both"/>
      </w:pPr>
      <w:r w:rsidRPr="005E46D3">
        <w:br w:type="page"/>
      </w:r>
      <w:r>
        <w:lastRenderedPageBreak/>
        <w:t>[185]</w:t>
      </w:r>
    </w:p>
    <w:p w14:paraId="78916776" w14:textId="77777777" w:rsidR="0065175B" w:rsidRPr="005E46D3" w:rsidRDefault="0065175B" w:rsidP="0065175B">
      <w:pPr>
        <w:spacing w:before="120" w:after="120"/>
        <w:jc w:val="both"/>
      </w:pPr>
    </w:p>
    <w:p w14:paraId="7D3B0ADB" w14:textId="77777777" w:rsidR="0065175B" w:rsidRPr="005E46D3" w:rsidRDefault="0065175B" w:rsidP="0065175B">
      <w:pPr>
        <w:pStyle w:val="planche"/>
      </w:pPr>
      <w:bookmarkStart w:id="3" w:name="Gouvernance_2"/>
      <w:r w:rsidRPr="005E46D3">
        <w:t>La gouvern</w:t>
      </w:r>
      <w:r>
        <w:t>ance de l’éducation au Canada :</w:t>
      </w:r>
      <w:r>
        <w:br/>
      </w:r>
      <w:r w:rsidRPr="005E46D3">
        <w:t>ses éléments e</w:t>
      </w:r>
      <w:r w:rsidRPr="005E46D3">
        <w:t>s</w:t>
      </w:r>
      <w:r w:rsidRPr="005E46D3">
        <w:t>sentiels</w:t>
      </w:r>
    </w:p>
    <w:bookmarkEnd w:id="3"/>
    <w:p w14:paraId="5D1C7076" w14:textId="77777777" w:rsidR="0065175B" w:rsidRPr="005E46D3" w:rsidRDefault="0065175B" w:rsidP="0065175B">
      <w:pPr>
        <w:spacing w:before="120" w:after="120"/>
        <w:jc w:val="both"/>
      </w:pPr>
    </w:p>
    <w:p w14:paraId="27135747" w14:textId="77777777" w:rsidR="0065175B" w:rsidRPr="00384B20" w:rsidRDefault="0065175B" w:rsidP="0065175B">
      <w:pPr>
        <w:ind w:right="90" w:firstLine="0"/>
        <w:jc w:val="both"/>
        <w:rPr>
          <w:sz w:val="20"/>
        </w:rPr>
      </w:pPr>
      <w:hyperlink w:anchor="tdm" w:history="1">
        <w:r w:rsidRPr="00384B20">
          <w:rPr>
            <w:rStyle w:val="Hyperlien"/>
            <w:sz w:val="20"/>
          </w:rPr>
          <w:t>Retour à la table des matières</w:t>
        </w:r>
      </w:hyperlink>
    </w:p>
    <w:p w14:paraId="2C0814AA" w14:textId="77777777" w:rsidR="0065175B" w:rsidRPr="005E46D3" w:rsidRDefault="0065175B" w:rsidP="0065175B">
      <w:pPr>
        <w:spacing w:before="120" w:after="120"/>
        <w:jc w:val="both"/>
      </w:pPr>
      <w:r>
        <w:t>A</w:t>
      </w:r>
      <w:r w:rsidRPr="005E46D3">
        <w:t>u Canada, l’éducation est une responsabilité des provi</w:t>
      </w:r>
      <w:r w:rsidRPr="005E46D3">
        <w:t>n</w:t>
      </w:r>
      <w:r w:rsidRPr="005E46D3">
        <w:t>ces et des territoires et ne relève pas du gouvernement féd</w:t>
      </w:r>
      <w:r w:rsidRPr="005E46D3">
        <w:t>é</w:t>
      </w:r>
      <w:r w:rsidRPr="005E46D3">
        <w:t>ral, lequel n’a aucune autorité</w:t>
      </w:r>
      <w:r>
        <w:t xml:space="preserve"> </w:t>
      </w:r>
      <w:r w:rsidRPr="005E46D3">
        <w:t>sur l’enseignement primaire et secondaire. Il n’y a pas de p</w:t>
      </w:r>
      <w:r w:rsidRPr="005E46D3">
        <w:t>o</w:t>
      </w:r>
      <w:r w:rsidRPr="005E46D3">
        <w:t>litique canadienne de l’éducation obligatoire, même si des ma</w:t>
      </w:r>
      <w:r w:rsidRPr="005E46D3">
        <w:t>n</w:t>
      </w:r>
      <w:r w:rsidRPr="005E46D3">
        <w:t>darins fédéraux rêvent depuis plusieurs décennies de mettre en place – au nom du développement de la main-d’œuvre et de la globalisation de l’économie qui sont responsabilités fédérales – une telle politique n</w:t>
      </w:r>
      <w:r w:rsidRPr="005E46D3">
        <w:t>a</w:t>
      </w:r>
      <w:r w:rsidRPr="005E46D3">
        <w:t>tionale. L’éducation relève des provinces et des territoires – leur st</w:t>
      </w:r>
      <w:r w:rsidRPr="005E46D3">
        <w:t>a</w:t>
      </w:r>
      <w:r w:rsidRPr="005E46D3">
        <w:t>tut de quasi-provinces fait que dans la suite du texte, nous parlerons de provinces. Qu’en est-il, dans ces juridictions, de l’ossature structurelle des responsabilités et des pouvoirs ?</w:t>
      </w:r>
    </w:p>
    <w:p w14:paraId="4D0D7761" w14:textId="77777777" w:rsidR="0065175B" w:rsidRPr="005E46D3" w:rsidRDefault="0065175B" w:rsidP="0065175B">
      <w:pPr>
        <w:spacing w:before="120" w:after="120"/>
        <w:jc w:val="both"/>
      </w:pPr>
    </w:p>
    <w:p w14:paraId="18A991DE" w14:textId="77777777" w:rsidR="0065175B" w:rsidRPr="009D7125" w:rsidRDefault="0065175B" w:rsidP="0065175B">
      <w:pPr>
        <w:pStyle w:val="a"/>
      </w:pPr>
      <w:bookmarkStart w:id="4" w:name="Gouvernance_2a"/>
      <w:r w:rsidRPr="009D7125">
        <w:t>Une structure à trois échelons</w:t>
      </w:r>
    </w:p>
    <w:bookmarkEnd w:id="4"/>
    <w:p w14:paraId="3C4DAC05" w14:textId="77777777" w:rsidR="0065175B" w:rsidRPr="005E46D3" w:rsidRDefault="0065175B" w:rsidP="0065175B">
      <w:pPr>
        <w:spacing w:before="120" w:after="120"/>
        <w:jc w:val="both"/>
      </w:pPr>
    </w:p>
    <w:p w14:paraId="0ACD0267" w14:textId="77777777" w:rsidR="0065175B" w:rsidRPr="005E46D3" w:rsidRDefault="0065175B" w:rsidP="0065175B">
      <w:pPr>
        <w:spacing w:before="120" w:after="120"/>
        <w:jc w:val="both"/>
      </w:pPr>
      <w:r w:rsidRPr="005E46D3">
        <w:t>Historiquement, la gouvernance du système éducatif par l’autorité publique s’exerce à travers : l’autorité provinciale, la commission sc</w:t>
      </w:r>
      <w:r w:rsidRPr="005E46D3">
        <w:t>o</w:t>
      </w:r>
      <w:r w:rsidRPr="005E46D3">
        <w:t>laire ou district– instance intermédiaire locale ou régionale – et l’établissement.</w:t>
      </w:r>
    </w:p>
    <w:p w14:paraId="75E1E0F0" w14:textId="77777777" w:rsidR="0065175B" w:rsidRPr="005E46D3" w:rsidRDefault="0065175B" w:rsidP="0065175B">
      <w:pPr>
        <w:spacing w:before="120" w:after="120"/>
        <w:jc w:val="both"/>
      </w:pPr>
      <w:r w:rsidRPr="005E46D3">
        <w:t>L’autorité centrale est, selon les cas, soit le Parlement pr</w:t>
      </w:r>
      <w:r w:rsidRPr="005E46D3">
        <w:t>o</w:t>
      </w:r>
      <w:r w:rsidRPr="005E46D3">
        <w:t>vincial, soit le gouvernement, soit le ministère de l’Éducation, soit le Ministre. En général, il lui revient de définir les orient</w:t>
      </w:r>
      <w:r w:rsidRPr="005E46D3">
        <w:t>a</w:t>
      </w:r>
      <w:r w:rsidRPr="005E46D3">
        <w:t>tions, les priorités du système et les services éducatifs offerts aux élèves, de promulguer les normes centrales de formation et de titularisation des personnels sc</w:t>
      </w:r>
      <w:r w:rsidRPr="005E46D3">
        <w:t>o</w:t>
      </w:r>
      <w:r w:rsidRPr="005E46D3">
        <w:t>la</w:t>
      </w:r>
      <w:r w:rsidRPr="005E46D3">
        <w:t>i</w:t>
      </w:r>
      <w:r w:rsidRPr="005E46D3">
        <w:t>res, de prescrire les finalités et objectifs des programmes d’études, de formuler des normes de cheminement des élèves et les modalités d’évaluation et de san</w:t>
      </w:r>
      <w:r w:rsidRPr="005E46D3">
        <w:t>c</w:t>
      </w:r>
      <w:r w:rsidRPr="005E46D3">
        <w:t>tion de leurs études. Ainsi qu’on le constate plus loin, la tendance est au renfo</w:t>
      </w:r>
      <w:r w:rsidRPr="005E46D3">
        <w:t>r</w:t>
      </w:r>
      <w:r w:rsidRPr="005E46D3">
        <w:t xml:space="preserve">cement de l’autorité centrale en ces </w:t>
      </w:r>
      <w:r w:rsidRPr="005E46D3">
        <w:lastRenderedPageBreak/>
        <w:t>matières et non à leur atténuation au profit des instances intermédia</w:t>
      </w:r>
      <w:r w:rsidRPr="005E46D3">
        <w:t>i</w:t>
      </w:r>
      <w:r w:rsidRPr="005E46D3">
        <w:t>res ou locales.</w:t>
      </w:r>
    </w:p>
    <w:p w14:paraId="757F47E0" w14:textId="77777777" w:rsidR="0065175B" w:rsidRPr="005E46D3" w:rsidRDefault="0065175B" w:rsidP="0065175B">
      <w:pPr>
        <w:spacing w:before="120" w:after="120"/>
        <w:jc w:val="both"/>
      </w:pPr>
      <w:r w:rsidRPr="005E46D3">
        <w:t>La commission scolaire (ou le district), instance interm</w:t>
      </w:r>
      <w:r w:rsidRPr="005E46D3">
        <w:t>é</w:t>
      </w:r>
      <w:r w:rsidRPr="005E46D3">
        <w:t>diaire, a un statut juridique qui en fait, dans bien des provinces, une entité déce</w:t>
      </w:r>
      <w:r w:rsidRPr="005E46D3">
        <w:t>n</w:t>
      </w:r>
      <w:r w:rsidRPr="005E46D3">
        <w:t>tralisée. Administrée par un conseil de commissaires élus par la pop</w:t>
      </w:r>
      <w:r w:rsidRPr="005E46D3">
        <w:t>u</w:t>
      </w:r>
      <w:r w:rsidRPr="005E46D3">
        <w:t>lation du territoire, elle exerce les responsabilités et pouvoirs que lui confie la loi, délibère et décide et, jusqu’à récemment, avait la capac</w:t>
      </w:r>
      <w:r w:rsidRPr="005E46D3">
        <w:t>i</w:t>
      </w:r>
      <w:r w:rsidRPr="005E46D3">
        <w:t>té de taxer. Compétente sur un terr</w:t>
      </w:r>
      <w:r w:rsidRPr="005E46D3">
        <w:t>i</w:t>
      </w:r>
      <w:r w:rsidRPr="005E46D3">
        <w:t>toire donné, elle s’assure que tous les élèves sous sa juridiction reçoivent les services éd</w:t>
      </w:r>
      <w:r w:rsidRPr="005E46D3">
        <w:t>u</w:t>
      </w:r>
      <w:r w:rsidRPr="005E46D3">
        <w:t>catifs auxquels ils ont droit, en conformité avec les orientations, les prescriptions et les encadrements définis et imp</w:t>
      </w:r>
      <w:r w:rsidRPr="005E46D3">
        <w:t>o</w:t>
      </w:r>
      <w:r w:rsidRPr="005E46D3">
        <w:t>sés par l’autorité centrale.</w:t>
      </w:r>
    </w:p>
    <w:p w14:paraId="2EF563C6" w14:textId="77777777" w:rsidR="0065175B" w:rsidRPr="005E46D3" w:rsidRDefault="0065175B" w:rsidP="0065175B">
      <w:pPr>
        <w:spacing w:before="120" w:after="120"/>
        <w:jc w:val="both"/>
      </w:pPr>
      <w:r w:rsidRPr="005E46D3">
        <w:t>L’établissement – c’est-à-dire au Québec, l’école, le centre de fo</w:t>
      </w:r>
      <w:r w:rsidRPr="005E46D3">
        <w:t>r</w:t>
      </w:r>
      <w:r w:rsidRPr="005E46D3">
        <w:t>mation des adultes ou le centre de formation profe</w:t>
      </w:r>
      <w:r w:rsidRPr="005E46D3">
        <w:t>s</w:t>
      </w:r>
      <w:r w:rsidRPr="005E46D3">
        <w:t>sionnelle – a pour mission de dispenser les services éduc</w:t>
      </w:r>
      <w:r w:rsidRPr="005E46D3">
        <w:t>a</w:t>
      </w:r>
      <w:r w:rsidRPr="005E46D3">
        <w:t>tifs requis aux personnes qui y ont droit. Création de la commission scola</w:t>
      </w:r>
      <w:r w:rsidRPr="005E46D3">
        <w:t>i</w:t>
      </w:r>
      <w:r w:rsidRPr="005E46D3">
        <w:t>re, il est encadré par elle et leurs rapports sont marqués par la dialectique du soutien et du contr</w:t>
      </w:r>
      <w:r w:rsidRPr="005E46D3">
        <w:t>ô</w:t>
      </w:r>
      <w:r w:rsidRPr="005E46D3">
        <w:t>le.</w:t>
      </w:r>
    </w:p>
    <w:p w14:paraId="17015F1A" w14:textId="77777777" w:rsidR="0065175B" w:rsidRPr="005E46D3" w:rsidRDefault="0065175B" w:rsidP="0065175B">
      <w:pPr>
        <w:spacing w:before="120" w:after="120"/>
        <w:jc w:val="both"/>
      </w:pPr>
      <w:r>
        <w:t>[186]</w:t>
      </w:r>
    </w:p>
    <w:p w14:paraId="2AAA1674" w14:textId="77777777" w:rsidR="0065175B" w:rsidRPr="005E46D3" w:rsidRDefault="0065175B" w:rsidP="0065175B">
      <w:pPr>
        <w:spacing w:before="120" w:after="120"/>
        <w:jc w:val="both"/>
      </w:pPr>
      <w:r w:rsidRPr="005E46D3">
        <w:t>Cette ossature structurelle de gouvernance à trois paliers se retro</w:t>
      </w:r>
      <w:r w:rsidRPr="005E46D3">
        <w:t>u</w:t>
      </w:r>
      <w:r w:rsidRPr="005E46D3">
        <w:t>ve dans toutes les provinces. Elle est première, l’évolution historique a déployé les caractéristiques de chaque palier et la conjoncture a i</w:t>
      </w:r>
      <w:r w:rsidRPr="005E46D3">
        <w:t>n</w:t>
      </w:r>
      <w:r w:rsidRPr="005E46D3">
        <w:t>fluencé leur importance rel</w:t>
      </w:r>
      <w:r w:rsidRPr="005E46D3">
        <w:t>a</w:t>
      </w:r>
      <w:r w:rsidRPr="005E46D3">
        <w:t>tive et divers cycles de centralisation et de décentralisation. Deux ensembles de questions ou d’enjeux sont à disti</w:t>
      </w:r>
      <w:r w:rsidRPr="005E46D3">
        <w:t>n</w:t>
      </w:r>
      <w:r w:rsidRPr="005E46D3">
        <w:t>guer, relatifs au curriculum et au financement, donnant lieu à des évolutions particulières des rapports entre les trois p</w:t>
      </w:r>
      <w:r w:rsidRPr="005E46D3">
        <w:t>a</w:t>
      </w:r>
      <w:r w:rsidRPr="005E46D3">
        <w:t>liers du système, de centralisation et de décentralisation et, aussi, de type de contrôle.</w:t>
      </w:r>
    </w:p>
    <w:p w14:paraId="5A2C27D9" w14:textId="77777777" w:rsidR="0065175B" w:rsidRPr="005E46D3" w:rsidRDefault="0065175B" w:rsidP="0065175B">
      <w:pPr>
        <w:spacing w:before="120" w:after="120"/>
        <w:jc w:val="both"/>
      </w:pPr>
      <w:r w:rsidRPr="005E46D3">
        <w:t>En ce qui concerne le curriculum, a été mentionné, en amont, le r</w:t>
      </w:r>
      <w:r w:rsidRPr="005E46D3">
        <w:t>ô</w:t>
      </w:r>
      <w:r w:rsidRPr="005E46D3">
        <w:t>le déterminant de l’autorité centrale dans la défin</w:t>
      </w:r>
      <w:r w:rsidRPr="005E46D3">
        <w:t>i</w:t>
      </w:r>
      <w:r w:rsidRPr="005E46D3">
        <w:t>tion des finalités et des objectifs des programmes d’études et, en aval, son contrôle a po</w:t>
      </w:r>
      <w:r w:rsidRPr="005E46D3">
        <w:t>s</w:t>
      </w:r>
      <w:r w:rsidRPr="005E46D3">
        <w:t>teriori.</w:t>
      </w:r>
    </w:p>
    <w:p w14:paraId="6B018326" w14:textId="77777777" w:rsidR="0065175B" w:rsidRPr="005E46D3" w:rsidRDefault="0065175B" w:rsidP="0065175B">
      <w:pPr>
        <w:spacing w:before="120" w:after="120"/>
        <w:jc w:val="both"/>
      </w:pPr>
      <w:r w:rsidRPr="005E46D3">
        <w:t>Le financement, depuis au moins cinquante ans, tend à être de plus en plus centralisé dans chaque province. Les crédits de dépense pour le système éducatif sont votés annuellement par le Parlement provi</w:t>
      </w:r>
      <w:r w:rsidRPr="005E46D3">
        <w:t>n</w:t>
      </w:r>
      <w:r w:rsidRPr="005E46D3">
        <w:t>cial. Si autrefois, une part importante du financement relevait de la commission scolaire, engendrant des in</w:t>
      </w:r>
      <w:r w:rsidRPr="005E46D3">
        <w:t>é</w:t>
      </w:r>
      <w:r w:rsidRPr="005E46D3">
        <w:t xml:space="preserve">galités entre territoires, </w:t>
      </w:r>
      <w:r w:rsidRPr="005E46D3">
        <w:lastRenderedPageBreak/>
        <w:t>l’évolution, dans la seconde moitié du XX</w:t>
      </w:r>
      <w:r w:rsidRPr="001F48DD">
        <w:rPr>
          <w:vertAlign w:val="superscript"/>
        </w:rPr>
        <w:t>e</w:t>
      </w:r>
      <w:r w:rsidRPr="005E46D3">
        <w:t xml:space="preserve"> siècle, a mo</w:t>
      </w:r>
      <w:r w:rsidRPr="005E46D3">
        <w:t>n</w:t>
      </w:r>
      <w:r w:rsidRPr="005E46D3">
        <w:t>tré une prise en charge progressive de la part la plus grande du financement par les gouvernements pr</w:t>
      </w:r>
      <w:r w:rsidRPr="005E46D3">
        <w:t>o</w:t>
      </w:r>
      <w:r w:rsidRPr="005E46D3">
        <w:t>vinciaux, à la fois pour assurer une certaine équité sociale et pour contrôler la croissance des coûts.</w:t>
      </w:r>
    </w:p>
    <w:p w14:paraId="34114869" w14:textId="77777777" w:rsidR="0065175B" w:rsidRPr="005E46D3" w:rsidRDefault="0065175B" w:rsidP="0065175B">
      <w:pPr>
        <w:spacing w:before="120" w:after="120"/>
        <w:jc w:val="both"/>
      </w:pPr>
    </w:p>
    <w:p w14:paraId="1613A483" w14:textId="77777777" w:rsidR="0065175B" w:rsidRPr="009D7125" w:rsidRDefault="0065175B" w:rsidP="0065175B">
      <w:pPr>
        <w:pStyle w:val="a"/>
      </w:pPr>
      <w:bookmarkStart w:id="5" w:name="Gouvernance_2b"/>
      <w:r>
        <w:t>Une structure caractérisée</w:t>
      </w:r>
      <w:r>
        <w:br/>
      </w:r>
      <w:r w:rsidRPr="009D7125">
        <w:t>par la participation démocrat</w:t>
      </w:r>
      <w:r w:rsidRPr="009D7125">
        <w:t>i</w:t>
      </w:r>
      <w:r w:rsidRPr="009D7125">
        <w:t>que</w:t>
      </w:r>
    </w:p>
    <w:bookmarkEnd w:id="5"/>
    <w:p w14:paraId="0A9AEA31" w14:textId="77777777" w:rsidR="0065175B" w:rsidRPr="005E46D3" w:rsidRDefault="0065175B" w:rsidP="0065175B">
      <w:pPr>
        <w:spacing w:before="120" w:after="120"/>
        <w:jc w:val="both"/>
      </w:pPr>
    </w:p>
    <w:p w14:paraId="741720E8" w14:textId="77777777" w:rsidR="0065175B" w:rsidRPr="00384B20" w:rsidRDefault="0065175B" w:rsidP="0065175B">
      <w:pPr>
        <w:ind w:right="90" w:firstLine="0"/>
        <w:jc w:val="both"/>
        <w:rPr>
          <w:sz w:val="20"/>
        </w:rPr>
      </w:pPr>
      <w:hyperlink w:anchor="tdm" w:history="1">
        <w:r w:rsidRPr="00384B20">
          <w:rPr>
            <w:rStyle w:val="Hyperlien"/>
            <w:sz w:val="20"/>
          </w:rPr>
          <w:t>Retour à la table des matières</w:t>
        </w:r>
      </w:hyperlink>
    </w:p>
    <w:p w14:paraId="36564C95" w14:textId="77777777" w:rsidR="0065175B" w:rsidRPr="005E46D3" w:rsidRDefault="0065175B" w:rsidP="0065175B">
      <w:pPr>
        <w:spacing w:before="120" w:after="120"/>
        <w:jc w:val="both"/>
      </w:pPr>
      <w:r w:rsidRPr="005E46D3">
        <w:t>Ce qui précède pourrait laisser croire à une forte régulation vertic</w:t>
      </w:r>
      <w:r w:rsidRPr="005E46D3">
        <w:t>a</w:t>
      </w:r>
      <w:r w:rsidRPr="005E46D3">
        <w:t>le du système éducatif des provinces et territo</w:t>
      </w:r>
      <w:r w:rsidRPr="005E46D3">
        <w:t>i</w:t>
      </w:r>
      <w:r w:rsidRPr="005E46D3">
        <w:t>res. Si la tendance, on le verra plus loin, va en ce sens, l’“empreinte des origines” (Merrien 1990, 2000) et l’héritage historique ne sont pas aussi nettement et e</w:t>
      </w:r>
      <w:r w:rsidRPr="005E46D3">
        <w:t>x</w:t>
      </w:r>
      <w:r w:rsidRPr="005E46D3">
        <w:t>clusivement bureaucratiques et centralisés. Chaque palier de la stru</w:t>
      </w:r>
      <w:r w:rsidRPr="005E46D3">
        <w:t>c</w:t>
      </w:r>
      <w:r w:rsidRPr="005E46D3">
        <w:t>ture de gouvernance a été conçu comme le lieu d’une participation démocratique. La commission scolaire et, plus récemment, l’établissement, sont le lieu de la participation de la communauté r</w:t>
      </w:r>
      <w:r w:rsidRPr="005E46D3">
        <w:t>é</w:t>
      </w:r>
      <w:r w:rsidRPr="005E46D3">
        <w:t>gionale ou locale. Au Québec, la responsabilité ministérielle en mati</w:t>
      </w:r>
      <w:r w:rsidRPr="005E46D3">
        <w:t>è</w:t>
      </w:r>
      <w:r w:rsidRPr="005E46D3">
        <w:t>re d’éducation remonte au début des a</w:t>
      </w:r>
      <w:r w:rsidRPr="005E46D3">
        <w:t>n</w:t>
      </w:r>
      <w:r w:rsidRPr="005E46D3">
        <w:t>nées 1960 et l’autorité centrale repose ultimement sur un m</w:t>
      </w:r>
      <w:r w:rsidRPr="005E46D3">
        <w:t>i</w:t>
      </w:r>
      <w:r w:rsidRPr="005E46D3">
        <w:t>nistre élu, imputable démocratiquement devant le Parlement provincial. De même, les commissaires qui adm</w:t>
      </w:r>
      <w:r w:rsidRPr="005E46D3">
        <w:t>i</w:t>
      </w:r>
      <w:r w:rsidRPr="005E46D3">
        <w:t>nistrent le palier intermédiaire sont aussi des élus et détiennent une l</w:t>
      </w:r>
      <w:r w:rsidRPr="005E46D3">
        <w:t>é</w:t>
      </w:r>
      <w:r w:rsidRPr="005E46D3">
        <w:t>gitimité démocratique. La conception dominante de l’établissement depuis au moins vingt à trente ans au Canada est, en revanche, insp</w:t>
      </w:r>
      <w:r w:rsidRPr="005E46D3">
        <w:t>i</w:t>
      </w:r>
      <w:r w:rsidRPr="005E46D3">
        <w:t>rée d’une idéologie communaut</w:t>
      </w:r>
      <w:r w:rsidRPr="005E46D3">
        <w:t>a</w:t>
      </w:r>
      <w:r w:rsidRPr="005E46D3">
        <w:t>riste.</w:t>
      </w:r>
    </w:p>
    <w:p w14:paraId="27C4C3FA" w14:textId="77777777" w:rsidR="0065175B" w:rsidRPr="005E46D3" w:rsidRDefault="0065175B" w:rsidP="0065175B">
      <w:pPr>
        <w:spacing w:before="120" w:after="120"/>
        <w:jc w:val="both"/>
      </w:pPr>
      <w:r w:rsidRPr="005E46D3">
        <w:t>La gouvernance de l’éducation au Canada s’exerce à la fois par la formulation de normes (contrôle a priori et a po</w:t>
      </w:r>
      <w:r w:rsidRPr="005E46D3">
        <w:t>s</w:t>
      </w:r>
      <w:r w:rsidRPr="005E46D3">
        <w:t>teriori) de l’autorité centrale et de la commission scolaire et par un système de particip</w:t>
      </w:r>
      <w:r w:rsidRPr="005E46D3">
        <w:t>a</w:t>
      </w:r>
      <w:r w:rsidRPr="005E46D3">
        <w:t>tion démocratique et communautaire qui, traditionnellement et idéol</w:t>
      </w:r>
      <w:r w:rsidRPr="005E46D3">
        <w:t>o</w:t>
      </w:r>
      <w:r w:rsidRPr="005E46D3">
        <w:t>giquement, a été impo</w:t>
      </w:r>
      <w:r w:rsidRPr="005E46D3">
        <w:t>r</w:t>
      </w:r>
      <w:r w:rsidRPr="005E46D3">
        <w:t>tant. Qu’advient-il dans cette ossature de l’héritage du passé ? Dans quel sens la go</w:t>
      </w:r>
      <w:r w:rsidRPr="005E46D3">
        <w:t>u</w:t>
      </w:r>
      <w:r w:rsidRPr="005E46D3">
        <w:t>vernance de l’éducation évolue-t-elle ?</w:t>
      </w:r>
    </w:p>
    <w:p w14:paraId="429F0B1D" w14:textId="77777777" w:rsidR="0065175B" w:rsidRDefault="0065175B" w:rsidP="0065175B">
      <w:pPr>
        <w:spacing w:before="120" w:after="120"/>
        <w:jc w:val="both"/>
      </w:pPr>
      <w:r w:rsidRPr="005E46D3">
        <w:br w:type="page"/>
      </w:r>
      <w:r>
        <w:lastRenderedPageBreak/>
        <w:t>[187]</w:t>
      </w:r>
    </w:p>
    <w:p w14:paraId="6A7A2156" w14:textId="77777777" w:rsidR="0065175B" w:rsidRPr="005E46D3" w:rsidRDefault="0065175B" w:rsidP="0065175B">
      <w:pPr>
        <w:spacing w:before="120" w:after="120"/>
        <w:jc w:val="both"/>
      </w:pPr>
    </w:p>
    <w:p w14:paraId="6A5DDD38" w14:textId="77777777" w:rsidR="0065175B" w:rsidRPr="005E46D3" w:rsidRDefault="0065175B" w:rsidP="0065175B">
      <w:pPr>
        <w:pStyle w:val="planche"/>
      </w:pPr>
      <w:bookmarkStart w:id="6" w:name="Gouvernance_3"/>
      <w:r w:rsidRPr="005E46D3">
        <w:t>Les pr</w:t>
      </w:r>
      <w:r>
        <w:t>incipales tendances d’évolution</w:t>
      </w:r>
      <w:r>
        <w:br/>
      </w:r>
      <w:r w:rsidRPr="005E46D3">
        <w:t>de la gouve</w:t>
      </w:r>
      <w:r w:rsidRPr="005E46D3">
        <w:t>r</w:t>
      </w:r>
      <w:r w:rsidRPr="005E46D3">
        <w:t>nance de l’éducation</w:t>
      </w:r>
    </w:p>
    <w:bookmarkEnd w:id="6"/>
    <w:p w14:paraId="2DFCACA6" w14:textId="77777777" w:rsidR="0065175B" w:rsidRPr="005E46D3" w:rsidRDefault="0065175B" w:rsidP="0065175B">
      <w:pPr>
        <w:spacing w:before="120" w:after="120"/>
        <w:jc w:val="both"/>
      </w:pPr>
    </w:p>
    <w:p w14:paraId="51782715" w14:textId="77777777" w:rsidR="0065175B" w:rsidRPr="009D7125" w:rsidRDefault="0065175B" w:rsidP="0065175B">
      <w:pPr>
        <w:pStyle w:val="a"/>
      </w:pPr>
      <w:bookmarkStart w:id="7" w:name="Gouvernance_3a"/>
      <w:r w:rsidRPr="009D7125">
        <w:t xml:space="preserve">Un quatrième palier et </w:t>
      </w:r>
      <w:r>
        <w:t>“une stratégie pancanadienne</w:t>
      </w:r>
      <w:r>
        <w:br/>
      </w:r>
      <w:r w:rsidRPr="009D7125">
        <w:t>de base” axé</w:t>
      </w:r>
      <w:r>
        <w:t>e sur l’obligation de résultats</w:t>
      </w:r>
      <w:r>
        <w:br/>
      </w:r>
      <w:r w:rsidRPr="009D7125">
        <w:t>et l’imputabilité ?</w:t>
      </w:r>
    </w:p>
    <w:bookmarkEnd w:id="7"/>
    <w:p w14:paraId="0980351D" w14:textId="77777777" w:rsidR="0065175B" w:rsidRPr="005E46D3" w:rsidRDefault="0065175B" w:rsidP="0065175B">
      <w:pPr>
        <w:spacing w:before="120" w:after="120"/>
        <w:jc w:val="both"/>
      </w:pPr>
    </w:p>
    <w:p w14:paraId="16823CE7" w14:textId="77777777" w:rsidR="0065175B" w:rsidRPr="00384B20" w:rsidRDefault="0065175B" w:rsidP="0065175B">
      <w:pPr>
        <w:ind w:right="90" w:firstLine="0"/>
        <w:jc w:val="both"/>
        <w:rPr>
          <w:sz w:val="20"/>
        </w:rPr>
      </w:pPr>
      <w:hyperlink w:anchor="tdm" w:history="1">
        <w:r w:rsidRPr="00384B20">
          <w:rPr>
            <w:rStyle w:val="Hyperlien"/>
            <w:sz w:val="20"/>
          </w:rPr>
          <w:t>Retour à la table des matières</w:t>
        </w:r>
      </w:hyperlink>
    </w:p>
    <w:p w14:paraId="1D673992" w14:textId="77777777" w:rsidR="0065175B" w:rsidRPr="005E46D3" w:rsidRDefault="0065175B" w:rsidP="0065175B">
      <w:pPr>
        <w:spacing w:before="120" w:after="120"/>
        <w:jc w:val="both"/>
      </w:pPr>
      <w:r w:rsidRPr="005E46D3">
        <w:t>Créé par les provinces et les territoires en 1967 afin d’être le porte-parole de l’éducation au Canada, de faciliter la concertation interpr</w:t>
      </w:r>
      <w:r w:rsidRPr="005E46D3">
        <w:t>o</w:t>
      </w:r>
      <w:r w:rsidRPr="005E46D3">
        <w:t>vinciale ainsi que l’échange avec le gouvernement fédéral et les org</w:t>
      </w:r>
      <w:r w:rsidRPr="005E46D3">
        <w:t>a</w:t>
      </w:r>
      <w:r w:rsidRPr="005E46D3">
        <w:t>nisations éducatives panc</w:t>
      </w:r>
      <w:r w:rsidRPr="005E46D3">
        <w:t>a</w:t>
      </w:r>
      <w:r w:rsidRPr="005E46D3">
        <w:t>nadiennes, le Conseil des ministres de l’Éducation du Can</w:t>
      </w:r>
      <w:r w:rsidRPr="005E46D3">
        <w:t>a</w:t>
      </w:r>
      <w:r w:rsidRPr="005E46D3">
        <w:t>da (CMEC) manifeste une volonté partagée de soumettre l’éducation dans chacune des provinces et des territoires à une forme d’obligation de résultats, formulée dans le langage des i</w:t>
      </w:r>
      <w:r w:rsidRPr="005E46D3">
        <w:t>n</w:t>
      </w:r>
      <w:r w:rsidRPr="005E46D3">
        <w:t>dicateurs et des standards de performance, mettant l’accent sur des résultats chiffrés ou au moins sur une pr</w:t>
      </w:r>
      <w:r w:rsidRPr="005E46D3">
        <w:t>o</w:t>
      </w:r>
      <w:r w:rsidRPr="005E46D3">
        <w:t>gression vers ces résultats. Dans la déclaration de Victoria (1999), les ministres de l’Éducation des provinces et des territoires sont convenus de trois premières pri</w:t>
      </w:r>
      <w:r w:rsidRPr="005E46D3">
        <w:t>o</w:t>
      </w:r>
      <w:r w:rsidRPr="005E46D3">
        <w:t>rités : celle accordée aux résultats de l’éducation ; l’échange de re</w:t>
      </w:r>
      <w:r w:rsidRPr="005E46D3">
        <w:t>n</w:t>
      </w:r>
      <w:r w:rsidRPr="005E46D3">
        <w:t>seignements sur les pratiques exemplaires ; la collaboration dans le domaine des programmes d’études. Elles sont cara</w:t>
      </w:r>
      <w:r w:rsidRPr="005E46D3">
        <w:t>c</w:t>
      </w:r>
      <w:r w:rsidRPr="005E46D3">
        <w:t>téristiques d’une volonté de renforcer et d’harmoniser une gouvernance axée sur les résultats et l’imputabilité. La déclaration de Vi</w:t>
      </w:r>
      <w:r w:rsidRPr="005E46D3">
        <w:t>c</w:t>
      </w:r>
      <w:r w:rsidRPr="005E46D3">
        <w:t>toria est aussi explicite dans la mise en ordre de cinq pôles : “imputabilité, qualité de l’éducation, accessibilité, mobilité et réponse aux besoins des appr</w:t>
      </w:r>
      <w:r w:rsidRPr="005E46D3">
        <w:t>e</w:t>
      </w:r>
      <w:r w:rsidRPr="005E46D3">
        <w:t>nantes et appr</w:t>
      </w:r>
      <w:r w:rsidRPr="005E46D3">
        <w:t>e</w:t>
      </w:r>
      <w:r w:rsidRPr="005E46D3">
        <w:t>nants” (CMEC 1999).</w:t>
      </w:r>
    </w:p>
    <w:p w14:paraId="1C184CBD" w14:textId="77777777" w:rsidR="0065175B" w:rsidRPr="005E46D3" w:rsidRDefault="0065175B" w:rsidP="0065175B">
      <w:pPr>
        <w:spacing w:before="120" w:after="120"/>
        <w:jc w:val="both"/>
      </w:pPr>
      <w:r w:rsidRPr="005E46D3">
        <w:t>Cet ensemble se traduit par deux actions, constitutives de ce que le CMEC nomme “la stratégie pancanadienne de b</w:t>
      </w:r>
      <w:r w:rsidRPr="005E46D3">
        <w:t>a</w:t>
      </w:r>
      <w:r w:rsidRPr="005E46D3">
        <w:t>se” :</w:t>
      </w:r>
    </w:p>
    <w:p w14:paraId="6B44B910" w14:textId="77777777" w:rsidR="0065175B" w:rsidRDefault="0065175B" w:rsidP="0065175B">
      <w:pPr>
        <w:spacing w:before="120" w:after="120"/>
        <w:jc w:val="both"/>
      </w:pPr>
    </w:p>
    <w:p w14:paraId="467C82D0" w14:textId="77777777" w:rsidR="0065175B" w:rsidRPr="005E46D3" w:rsidRDefault="0065175B" w:rsidP="0065175B">
      <w:pPr>
        <w:spacing w:before="120" w:after="120"/>
        <w:ind w:left="720" w:hanging="360"/>
        <w:jc w:val="both"/>
      </w:pPr>
      <w:r>
        <w:t>-</w:t>
      </w:r>
      <w:r>
        <w:tab/>
      </w:r>
      <w:r w:rsidRPr="005E46D3">
        <w:t>l’évaluation du rendement des élèves de 13 et de 16 ans en m</w:t>
      </w:r>
      <w:r w:rsidRPr="005E46D3">
        <w:t>a</w:t>
      </w:r>
      <w:r w:rsidRPr="005E46D3">
        <w:t>thématique, en lecture et en écriture, ainsi qu’en scie</w:t>
      </w:r>
      <w:r w:rsidRPr="005E46D3">
        <w:t>n</w:t>
      </w:r>
      <w:r w:rsidRPr="005E46D3">
        <w:t>ces ;</w:t>
      </w:r>
    </w:p>
    <w:p w14:paraId="31B343E6" w14:textId="77777777" w:rsidR="0065175B" w:rsidRPr="005E46D3" w:rsidRDefault="0065175B" w:rsidP="0065175B">
      <w:pPr>
        <w:spacing w:before="120" w:after="120"/>
        <w:ind w:left="720" w:hanging="360"/>
        <w:jc w:val="both"/>
      </w:pPr>
      <w:r>
        <w:lastRenderedPageBreak/>
        <w:t>-</w:t>
      </w:r>
      <w:r>
        <w:tab/>
      </w:r>
      <w:r w:rsidRPr="005E46D3">
        <w:t>la collecte de données statistiques sur le rendement des syst</w:t>
      </w:r>
      <w:r w:rsidRPr="005E46D3">
        <w:t>è</w:t>
      </w:r>
      <w:r w:rsidRPr="005E46D3">
        <w:t>mes d’éducation provinciaux.</w:t>
      </w:r>
    </w:p>
    <w:p w14:paraId="45409C55" w14:textId="77777777" w:rsidR="0065175B" w:rsidRDefault="0065175B" w:rsidP="0065175B">
      <w:pPr>
        <w:spacing w:before="120" w:after="120"/>
        <w:jc w:val="both"/>
      </w:pPr>
    </w:p>
    <w:p w14:paraId="5ABA312F" w14:textId="77777777" w:rsidR="0065175B" w:rsidRPr="005E46D3" w:rsidRDefault="0065175B" w:rsidP="0065175B">
      <w:pPr>
        <w:spacing w:before="120" w:after="120"/>
        <w:jc w:val="both"/>
      </w:pPr>
      <w:r w:rsidRPr="005E46D3">
        <w:t>Le CMEC gère la participation canadienne au pr</w:t>
      </w:r>
      <w:r w:rsidRPr="005E46D3">
        <w:t>o</w:t>
      </w:r>
      <w:r w:rsidRPr="005E46D3">
        <w:t>gramme PISA, il est donc le véhicule par lequel l’éducation can</w:t>
      </w:r>
      <w:r w:rsidRPr="005E46D3">
        <w:t>a</w:t>
      </w:r>
      <w:r w:rsidRPr="005E46D3">
        <w:t>dienne se mesure à des standards internationaux et e</w:t>
      </w:r>
      <w:r w:rsidRPr="005E46D3">
        <w:t>n</w:t>
      </w:r>
      <w:r w:rsidRPr="005E46D3">
        <w:t>tend montrer sa capacité à être de niveau international (</w:t>
      </w:r>
      <w:r w:rsidRPr="005E46D3">
        <w:rPr>
          <w:i/>
          <w:iCs/>
        </w:rPr>
        <w:t>world class</w:t>
      </w:r>
      <w:r w:rsidRPr="005E46D3">
        <w:t>) et donc à s’exporter d’autant plus facil</w:t>
      </w:r>
      <w:r w:rsidRPr="005E46D3">
        <w:t>e</w:t>
      </w:r>
      <w:r w:rsidRPr="005E46D3">
        <w:t>ment dans d</w:t>
      </w:r>
      <w:r w:rsidRPr="005E46D3">
        <w:t>i</w:t>
      </w:r>
      <w:r w:rsidRPr="005E46D3">
        <w:t>verses contrées du monde, notamment en Asie et en Amér</w:t>
      </w:r>
      <w:r w:rsidRPr="005E46D3">
        <w:t>i</w:t>
      </w:r>
      <w:r w:rsidRPr="005E46D3">
        <w:t>que latine.</w:t>
      </w:r>
    </w:p>
    <w:p w14:paraId="33FDBCC7" w14:textId="77777777" w:rsidR="0065175B" w:rsidRPr="005E46D3" w:rsidRDefault="0065175B" w:rsidP="0065175B">
      <w:pPr>
        <w:spacing w:before="120" w:after="120"/>
        <w:jc w:val="both"/>
      </w:pPr>
      <w:r w:rsidRPr="005E46D3">
        <w:t>À ces développements, s’ajoute une initiative fédérale réce</w:t>
      </w:r>
      <w:r w:rsidRPr="005E46D3">
        <w:t>n</w:t>
      </w:r>
      <w:r w:rsidRPr="005E46D3">
        <w:t>te : la création du Conseil Canadien sur l’Apprentissage, doté d’un budget de 100 millions de dollars canadiens sur cinq ans. Ce Conseil, dont le directeur général fondateur fut auparavant celui du CMEC, suivra les progrès des résu</w:t>
      </w:r>
      <w:r w:rsidRPr="005E46D3">
        <w:t>l</w:t>
      </w:r>
      <w:r w:rsidRPr="005E46D3">
        <w:t>tats d’apprentissage, ce qui implique la construction et l’utilisation d’indicateurs pancanadiens, intégrés dans un i</w:t>
      </w:r>
      <w:r w:rsidRPr="005E46D3">
        <w:t>n</w:t>
      </w:r>
      <w:r w:rsidRPr="005E46D3">
        <w:t>dice composite et permettant de comparer les progrès en m</w:t>
      </w:r>
      <w:r w:rsidRPr="005E46D3">
        <w:t>a</w:t>
      </w:r>
      <w:r w:rsidRPr="005E46D3">
        <w:t>tière d’acquisition continue du s</w:t>
      </w:r>
      <w:r w:rsidRPr="005E46D3">
        <w:t>a</w:t>
      </w:r>
      <w:r w:rsidRPr="005E46D3">
        <w:t>voir.</w:t>
      </w:r>
    </w:p>
    <w:p w14:paraId="283FFCEE" w14:textId="77777777" w:rsidR="0065175B" w:rsidRPr="005E46D3" w:rsidRDefault="0065175B" w:rsidP="0065175B">
      <w:pPr>
        <w:spacing w:before="120" w:after="120"/>
        <w:jc w:val="both"/>
      </w:pPr>
      <w:r>
        <w:t>[188]</w:t>
      </w:r>
    </w:p>
    <w:p w14:paraId="39D6F9BF" w14:textId="77777777" w:rsidR="0065175B" w:rsidRPr="005E46D3" w:rsidRDefault="0065175B" w:rsidP="0065175B">
      <w:pPr>
        <w:spacing w:before="120" w:after="120"/>
        <w:jc w:val="both"/>
      </w:pPr>
      <w:r w:rsidRPr="005E46D3">
        <w:t>Ces quatre développements – la priorité accordée par le CMEC aux résultats scolaires, les consortiums en matière de curriculum, la part</w:t>
      </w:r>
      <w:r w:rsidRPr="005E46D3">
        <w:t>i</w:t>
      </w:r>
      <w:r w:rsidRPr="005E46D3">
        <w:t>cipation canadienne au programme PISA, la mise sur pied par le go</w:t>
      </w:r>
      <w:r w:rsidRPr="005E46D3">
        <w:t>u</w:t>
      </w:r>
      <w:r w:rsidRPr="005E46D3">
        <w:t>vernement fédéral du Conseil canadien sur l’apprentissage – témo</w:t>
      </w:r>
      <w:r w:rsidRPr="005E46D3">
        <w:t>i</w:t>
      </w:r>
      <w:r w:rsidRPr="005E46D3">
        <w:t>gnent de l’importance a</w:t>
      </w:r>
      <w:r w:rsidRPr="005E46D3">
        <w:t>c</w:t>
      </w:r>
      <w:r w:rsidRPr="005E46D3">
        <w:t>cordée à une forme d’obligation de résultats en éducation, ceux-ci étant m</w:t>
      </w:r>
      <w:r w:rsidRPr="005E46D3">
        <w:t>e</w:t>
      </w:r>
      <w:r w:rsidRPr="005E46D3">
        <w:t>surés, chiffrés et reliés à des standards ou à des normes explicites. La position relative des provinces e</w:t>
      </w:r>
      <w:r w:rsidRPr="005E46D3">
        <w:t>n</w:t>
      </w:r>
      <w:r w:rsidRPr="005E46D3">
        <w:t>tre elles, par rapport à une moyenne canadienne ou aux a</w:t>
      </w:r>
      <w:r w:rsidRPr="005E46D3">
        <w:t>u</w:t>
      </w:r>
      <w:r w:rsidRPr="005E46D3">
        <w:t>tres pays de l’OCDE devient un élément important de la di</w:t>
      </w:r>
      <w:r w:rsidRPr="005E46D3">
        <w:t>s</w:t>
      </w:r>
      <w:r w:rsidRPr="005E46D3">
        <w:t>cussion publique sur l’éducation. Par le haut de sa pyr</w:t>
      </w:r>
      <w:r w:rsidRPr="005E46D3">
        <w:t>a</w:t>
      </w:r>
      <w:r w:rsidRPr="005E46D3">
        <w:t>mide, l’éducation canadienne s’insère ainsi dans les cadres (ou les griffes…) de la mondialisation et est pénétrée par son éth</w:t>
      </w:r>
      <w:r w:rsidRPr="005E46D3">
        <w:t>i</w:t>
      </w:r>
      <w:r w:rsidRPr="005E46D3">
        <w:t>que de la performance et de l’efficience.</w:t>
      </w:r>
    </w:p>
    <w:p w14:paraId="0737F293" w14:textId="77777777" w:rsidR="0065175B" w:rsidRPr="005E46D3" w:rsidRDefault="0065175B" w:rsidP="0065175B">
      <w:pPr>
        <w:spacing w:before="120" w:after="120"/>
        <w:jc w:val="both"/>
      </w:pPr>
      <w:r w:rsidRPr="005E46D3">
        <w:t>Ces développements contribuent sans conteste à une rel</w:t>
      </w:r>
      <w:r w:rsidRPr="005E46D3">
        <w:t>a</w:t>
      </w:r>
      <w:r w:rsidRPr="005E46D3">
        <w:t>tive convergence pancanadienne des politiques éducatives des provi</w:t>
      </w:r>
      <w:r w:rsidRPr="005E46D3">
        <w:t>n</w:t>
      </w:r>
      <w:r w:rsidRPr="005E46D3">
        <w:t>ces et des territoires, notamment en matière de curr</w:t>
      </w:r>
      <w:r w:rsidRPr="005E46D3">
        <w:t>i</w:t>
      </w:r>
      <w:r w:rsidRPr="005E46D3">
        <w:t>culum et d’évaluation. On pourrait dire que le CMEC et le Conseil canadien sur l’apprentissage dans l’avenir contr</w:t>
      </w:r>
      <w:r w:rsidRPr="005E46D3">
        <w:t>i</w:t>
      </w:r>
      <w:r w:rsidRPr="005E46D3">
        <w:t xml:space="preserve">buent à la réalisation de l’œuvre de </w:t>
      </w:r>
      <w:r w:rsidRPr="005E46D3">
        <w:lastRenderedPageBreak/>
        <w:t>régulation et de coordination pancanadienne dont rêve le gouvern</w:t>
      </w:r>
      <w:r w:rsidRPr="005E46D3">
        <w:t>e</w:t>
      </w:r>
      <w:r w:rsidRPr="005E46D3">
        <w:t>ment fédéral d</w:t>
      </w:r>
      <w:r w:rsidRPr="005E46D3">
        <w:t>e</w:t>
      </w:r>
      <w:r w:rsidRPr="005E46D3">
        <w:t>puis des décennies !</w:t>
      </w:r>
    </w:p>
    <w:p w14:paraId="0861B13F" w14:textId="77777777" w:rsidR="0065175B" w:rsidRPr="005E46D3" w:rsidRDefault="0065175B" w:rsidP="0065175B">
      <w:pPr>
        <w:spacing w:before="120" w:after="120"/>
        <w:jc w:val="both"/>
      </w:pPr>
    </w:p>
    <w:p w14:paraId="26D96813" w14:textId="77777777" w:rsidR="0065175B" w:rsidRPr="003E79D5" w:rsidRDefault="0065175B" w:rsidP="0065175B">
      <w:pPr>
        <w:pStyle w:val="a"/>
      </w:pPr>
      <w:bookmarkStart w:id="8" w:name="Gouvernance_3b"/>
      <w:r>
        <w:t>La modification des rapports</w:t>
      </w:r>
      <w:r>
        <w:br/>
      </w:r>
      <w:r w:rsidRPr="003E79D5">
        <w:t>entre les trois paliers trad</w:t>
      </w:r>
      <w:r w:rsidRPr="003E79D5">
        <w:t>i</w:t>
      </w:r>
      <w:r>
        <w:t>tionnels</w:t>
      </w:r>
      <w:r>
        <w:br/>
      </w:r>
      <w:r w:rsidRPr="003E79D5">
        <w:t>de la gouvernance de l’éducation</w:t>
      </w:r>
    </w:p>
    <w:bookmarkEnd w:id="8"/>
    <w:p w14:paraId="7D7A5E7D" w14:textId="77777777" w:rsidR="0065175B" w:rsidRPr="005E46D3" w:rsidRDefault="0065175B" w:rsidP="0065175B">
      <w:pPr>
        <w:spacing w:before="120" w:after="120"/>
        <w:jc w:val="both"/>
      </w:pPr>
    </w:p>
    <w:p w14:paraId="5A87ED73" w14:textId="77777777" w:rsidR="0065175B" w:rsidRPr="00384B20" w:rsidRDefault="0065175B" w:rsidP="0065175B">
      <w:pPr>
        <w:ind w:right="90" w:firstLine="0"/>
        <w:jc w:val="both"/>
        <w:rPr>
          <w:sz w:val="20"/>
        </w:rPr>
      </w:pPr>
      <w:hyperlink w:anchor="tdm" w:history="1">
        <w:r w:rsidRPr="00384B20">
          <w:rPr>
            <w:rStyle w:val="Hyperlien"/>
            <w:sz w:val="20"/>
          </w:rPr>
          <w:t>Retour à la table des matières</w:t>
        </w:r>
      </w:hyperlink>
    </w:p>
    <w:p w14:paraId="2BAD415A" w14:textId="77777777" w:rsidR="0065175B" w:rsidRPr="005E46D3" w:rsidRDefault="0065175B" w:rsidP="0065175B">
      <w:pPr>
        <w:spacing w:before="120" w:after="120"/>
        <w:jc w:val="both"/>
      </w:pPr>
      <w:r w:rsidRPr="005E46D3">
        <w:t>La seconde tendance concerne les rapports entre les p</w:t>
      </w:r>
      <w:r w:rsidRPr="005E46D3">
        <w:t>a</w:t>
      </w:r>
      <w:r w:rsidRPr="005E46D3">
        <w:t>liers des systèmes éducatifs des provinces et des territoires et entre les acteurs internes et externes. Il n’est pas facile de la nommer. Nous sommes portés à la décrire comme une nouvelle régulation de l’éducation, h</w:t>
      </w:r>
      <w:r w:rsidRPr="005E46D3">
        <w:t>y</w:t>
      </w:r>
      <w:r w:rsidRPr="005E46D3">
        <w:t>bride car elle combine plusieurs éléments qu’il est nécessaire de pre</w:t>
      </w:r>
      <w:r w:rsidRPr="005E46D3">
        <w:t>n</w:t>
      </w:r>
      <w:r w:rsidRPr="005E46D3">
        <w:t>dre un à un pour en comprendre la dynamique.</w:t>
      </w:r>
    </w:p>
    <w:p w14:paraId="30B0D4BD" w14:textId="77777777" w:rsidR="0065175B" w:rsidRPr="005E46D3" w:rsidRDefault="0065175B" w:rsidP="0065175B">
      <w:pPr>
        <w:spacing w:before="120" w:after="120"/>
        <w:jc w:val="both"/>
      </w:pPr>
    </w:p>
    <w:p w14:paraId="0ADE3599" w14:textId="77777777" w:rsidR="0065175B" w:rsidRPr="005E46D3" w:rsidRDefault="0065175B" w:rsidP="0065175B">
      <w:pPr>
        <w:pStyle w:val="b"/>
      </w:pPr>
      <w:r w:rsidRPr="005E46D3">
        <w:t>La rédu</w:t>
      </w:r>
      <w:r>
        <w:t>ction des commissions scolaires</w:t>
      </w:r>
      <w:r>
        <w:br/>
      </w:r>
      <w:r w:rsidRPr="005E46D3">
        <w:t>(</w:t>
      </w:r>
      <w:r w:rsidRPr="009D7125">
        <w:t>school disticts</w:t>
      </w:r>
      <w:r w:rsidRPr="005E46D3">
        <w:t>) unités i</w:t>
      </w:r>
      <w:r w:rsidRPr="005E46D3">
        <w:t>n</w:t>
      </w:r>
      <w:r w:rsidRPr="005E46D3">
        <w:t>termédiaires</w:t>
      </w:r>
    </w:p>
    <w:p w14:paraId="09BAE762" w14:textId="77777777" w:rsidR="0065175B" w:rsidRDefault="0065175B" w:rsidP="0065175B">
      <w:pPr>
        <w:spacing w:before="120" w:after="120"/>
        <w:jc w:val="both"/>
      </w:pPr>
    </w:p>
    <w:p w14:paraId="624B41F0" w14:textId="77777777" w:rsidR="0065175B" w:rsidRPr="005E46D3" w:rsidRDefault="0065175B" w:rsidP="0065175B">
      <w:pPr>
        <w:spacing w:before="120" w:after="120"/>
        <w:jc w:val="both"/>
      </w:pPr>
      <w:r w:rsidRPr="005E46D3">
        <w:t>Ce phénomène est important car – voir plus haut – hist</w:t>
      </w:r>
      <w:r w:rsidRPr="005E46D3">
        <w:t>o</w:t>
      </w:r>
      <w:r w:rsidRPr="005E46D3">
        <w:t>riquement les commissions scolaires constituent une forme de gouvernement démocratique local. Dans certains cas et sur certains dossiers, les commissions scolaires ont pu con</w:t>
      </w:r>
      <w:r w:rsidRPr="005E46D3">
        <w:t>s</w:t>
      </w:r>
      <w:r w:rsidRPr="005E46D3">
        <w:t>tituer un contre-pouvoir (relatif, étant donné leur dépendance financière croissante) à l’autorité provi</w:t>
      </w:r>
      <w:r w:rsidRPr="005E46D3">
        <w:t>n</w:t>
      </w:r>
      <w:r w:rsidRPr="005E46D3">
        <w:t>ciale. Leur réduction et leur fusion posent la question du “local”, tout comme elles interrogent la légitimité démocratique d’instances de plus en plus éloignées des établissements et des parents d’élèves.</w:t>
      </w:r>
    </w:p>
    <w:p w14:paraId="7C2D7BE3" w14:textId="77777777" w:rsidR="0065175B" w:rsidRPr="005E46D3" w:rsidRDefault="0065175B" w:rsidP="0065175B">
      <w:pPr>
        <w:spacing w:before="120" w:after="120"/>
        <w:jc w:val="both"/>
      </w:pPr>
      <w:r w:rsidRPr="005E46D3">
        <w:t>Le tableau 1 présente l’évolution du nombre des entités interm</w:t>
      </w:r>
      <w:r w:rsidRPr="005E46D3">
        <w:t>é</w:t>
      </w:r>
      <w:r w:rsidRPr="005E46D3">
        <w:t>diaires au cours des années 1990 dans les 10 provi</w:t>
      </w:r>
      <w:r w:rsidRPr="005E46D3">
        <w:t>n</w:t>
      </w:r>
      <w:r w:rsidRPr="005E46D3">
        <w:t>ces canadiennes. On constate partout une réduction significative du nombre de co</w:t>
      </w:r>
      <w:r w:rsidRPr="005E46D3">
        <w:t>m</w:t>
      </w:r>
      <w:r w:rsidRPr="005E46D3">
        <w:t>missions scolaires et leur regroup</w:t>
      </w:r>
      <w:r w:rsidRPr="005E46D3">
        <w:t>e</w:t>
      </w:r>
      <w:r w:rsidRPr="005E46D3">
        <w:t>ment dans des ensembles plus grands, couvrant des territoires scola</w:t>
      </w:r>
      <w:r w:rsidRPr="005E46D3">
        <w:t>i</w:t>
      </w:r>
      <w:r w:rsidRPr="005E46D3">
        <w:t>res de plus en plus vastes. Ainsi, avec le temps, tout se passe comme si nous nous éloignions de</w:t>
      </w:r>
      <w:r>
        <w:t xml:space="preserve"> [189] </w:t>
      </w:r>
      <w:r w:rsidRPr="005E46D3">
        <w:t>plus en plus de la petite commission scolaire d’autrefois, g</w:t>
      </w:r>
      <w:r w:rsidRPr="005E46D3">
        <w:t>é</w:t>
      </w:r>
      <w:r w:rsidRPr="005E46D3">
        <w:t>rant que</w:t>
      </w:r>
      <w:r w:rsidRPr="005E46D3">
        <w:t>l</w:t>
      </w:r>
      <w:r w:rsidRPr="005E46D3">
        <w:t>ques écoles et où les relations entre les acteurs apparaissaient for</w:t>
      </w:r>
      <w:r w:rsidRPr="005E46D3">
        <w:lastRenderedPageBreak/>
        <w:t>t</w:t>
      </w:r>
      <w:r w:rsidRPr="005E46D3">
        <w:t>e</w:t>
      </w:r>
      <w:r w:rsidRPr="005E46D3">
        <w:t>ment personnalisées et parfois participaient d’une culture pédagog</w:t>
      </w:r>
      <w:r w:rsidRPr="005E46D3">
        <w:t>i</w:t>
      </w:r>
      <w:r w:rsidRPr="005E46D3">
        <w:t>que et éducative commune.</w:t>
      </w:r>
    </w:p>
    <w:p w14:paraId="77F69C49" w14:textId="77777777" w:rsidR="0065175B" w:rsidRDefault="0065175B" w:rsidP="0065175B">
      <w:pPr>
        <w:spacing w:before="120" w:after="120"/>
        <w:jc w:val="both"/>
      </w:pPr>
    </w:p>
    <w:p w14:paraId="4AD6A138" w14:textId="77777777" w:rsidR="0065175B" w:rsidRDefault="0065175B" w:rsidP="0065175B">
      <w:pPr>
        <w:pStyle w:val="figtitre"/>
      </w:pPr>
      <w:r>
        <w:t>Tableau 1.</w:t>
      </w:r>
    </w:p>
    <w:p w14:paraId="26F3AF32" w14:textId="77777777" w:rsidR="0065175B" w:rsidRPr="005E46D3" w:rsidRDefault="0065175B" w:rsidP="0065175B">
      <w:pPr>
        <w:pStyle w:val="figtitrest"/>
      </w:pPr>
      <w:r w:rsidRPr="005E46D3">
        <w:t>Fusion des commissions scolaires et nombre</w:t>
      </w:r>
      <w:r>
        <w:br/>
      </w:r>
      <w:r w:rsidRPr="005E46D3">
        <w:t>de commissions scolaires/districts scolaires par province</w:t>
      </w:r>
      <w:r>
        <w:br/>
      </w:r>
      <w:r w:rsidRPr="005E46D3">
        <w:t>(commissions scolaires francophones comprises)</w:t>
      </w:r>
    </w:p>
    <w:tbl>
      <w:tblPr>
        <w:tblW w:w="0" w:type="auto"/>
        <w:tblInd w:w="-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1620"/>
        <w:gridCol w:w="1800"/>
        <w:gridCol w:w="1530"/>
        <w:gridCol w:w="1440"/>
      </w:tblGrid>
      <w:tr w:rsidR="0065175B" w:rsidRPr="005E46D3" w14:paraId="7E06CCEE" w14:textId="77777777">
        <w:trPr>
          <w:trHeight w:val="823"/>
        </w:trPr>
        <w:tc>
          <w:tcPr>
            <w:tcW w:w="2700" w:type="dxa"/>
            <w:shd w:val="clear" w:color="auto" w:fill="E5E5E5"/>
          </w:tcPr>
          <w:p w14:paraId="6D94E070" w14:textId="77777777" w:rsidR="0065175B" w:rsidRPr="009D7125" w:rsidRDefault="0065175B" w:rsidP="0065175B">
            <w:pPr>
              <w:spacing w:before="60" w:after="60"/>
              <w:ind w:left="128" w:right="59" w:firstLine="0"/>
              <w:jc w:val="both"/>
              <w:rPr>
                <w:sz w:val="24"/>
              </w:rPr>
            </w:pPr>
          </w:p>
          <w:p w14:paraId="03730946" w14:textId="77777777" w:rsidR="0065175B" w:rsidRPr="009D7125" w:rsidRDefault="0065175B" w:rsidP="0065175B">
            <w:pPr>
              <w:spacing w:before="60" w:after="60"/>
              <w:ind w:left="128" w:right="59" w:firstLine="0"/>
              <w:jc w:val="both"/>
              <w:rPr>
                <w:sz w:val="24"/>
              </w:rPr>
            </w:pPr>
            <w:r w:rsidRPr="009D7125">
              <w:rPr>
                <w:sz w:val="24"/>
              </w:rPr>
              <w:t>Provi</w:t>
            </w:r>
            <w:r w:rsidRPr="009D7125">
              <w:rPr>
                <w:sz w:val="24"/>
              </w:rPr>
              <w:t>n</w:t>
            </w:r>
            <w:r w:rsidRPr="009D7125">
              <w:rPr>
                <w:sz w:val="24"/>
              </w:rPr>
              <w:t>ce</w:t>
            </w:r>
          </w:p>
        </w:tc>
        <w:tc>
          <w:tcPr>
            <w:tcW w:w="1620" w:type="dxa"/>
            <w:shd w:val="clear" w:color="auto" w:fill="E5E5E5"/>
          </w:tcPr>
          <w:p w14:paraId="6F377B26" w14:textId="77777777" w:rsidR="0065175B" w:rsidRPr="009D7125" w:rsidRDefault="0065175B" w:rsidP="0065175B">
            <w:pPr>
              <w:spacing w:before="60" w:after="60"/>
              <w:ind w:left="128" w:right="59" w:firstLine="0"/>
              <w:jc w:val="both"/>
              <w:rPr>
                <w:sz w:val="24"/>
              </w:rPr>
            </w:pPr>
            <w:r w:rsidRPr="009D7125">
              <w:rPr>
                <w:sz w:val="24"/>
              </w:rPr>
              <w:t>Année d’implantation</w:t>
            </w:r>
          </w:p>
        </w:tc>
        <w:tc>
          <w:tcPr>
            <w:tcW w:w="1800" w:type="dxa"/>
            <w:shd w:val="clear" w:color="auto" w:fill="E5E5E5"/>
          </w:tcPr>
          <w:p w14:paraId="3E7C4DE7" w14:textId="77777777" w:rsidR="0065175B" w:rsidRPr="009D7125" w:rsidRDefault="0065175B" w:rsidP="0065175B">
            <w:pPr>
              <w:spacing w:before="60" w:after="60"/>
              <w:ind w:left="128" w:right="59" w:firstLine="0"/>
              <w:jc w:val="both"/>
              <w:rPr>
                <w:sz w:val="24"/>
              </w:rPr>
            </w:pPr>
            <w:r w:rsidRPr="009D7125">
              <w:rPr>
                <w:sz w:val="24"/>
              </w:rPr>
              <w:t>Législation</w:t>
            </w:r>
            <w:r>
              <w:rPr>
                <w:sz w:val="24"/>
              </w:rPr>
              <w:t xml:space="preserve"> </w:t>
            </w:r>
            <w:r w:rsidRPr="009D7125">
              <w:rPr>
                <w:sz w:val="24"/>
              </w:rPr>
              <w:t>et doc</w:t>
            </w:r>
            <w:r w:rsidRPr="009D7125">
              <w:rPr>
                <w:sz w:val="24"/>
              </w:rPr>
              <w:t>u</w:t>
            </w:r>
            <w:r w:rsidRPr="009D7125">
              <w:rPr>
                <w:sz w:val="24"/>
              </w:rPr>
              <w:t>ments de</w:t>
            </w:r>
            <w:r>
              <w:rPr>
                <w:sz w:val="24"/>
              </w:rPr>
              <w:t xml:space="preserve"> </w:t>
            </w:r>
            <w:r w:rsidRPr="009D7125">
              <w:rPr>
                <w:sz w:val="24"/>
              </w:rPr>
              <w:t>référence</w:t>
            </w:r>
          </w:p>
        </w:tc>
        <w:tc>
          <w:tcPr>
            <w:tcW w:w="1530" w:type="dxa"/>
            <w:shd w:val="clear" w:color="auto" w:fill="E5E5E5"/>
          </w:tcPr>
          <w:p w14:paraId="41C55C60" w14:textId="77777777" w:rsidR="0065175B" w:rsidRPr="009D7125" w:rsidRDefault="0065175B" w:rsidP="0065175B">
            <w:pPr>
              <w:spacing w:before="60" w:after="60"/>
              <w:ind w:left="128" w:right="59" w:firstLine="0"/>
              <w:jc w:val="both"/>
              <w:rPr>
                <w:sz w:val="24"/>
              </w:rPr>
            </w:pPr>
            <w:r w:rsidRPr="009D7125">
              <w:rPr>
                <w:sz w:val="24"/>
              </w:rPr>
              <w:t>Rédu</w:t>
            </w:r>
            <w:r w:rsidRPr="009D7125">
              <w:rPr>
                <w:sz w:val="24"/>
              </w:rPr>
              <w:t>c</w:t>
            </w:r>
            <w:r w:rsidRPr="009D7125">
              <w:rPr>
                <w:sz w:val="24"/>
              </w:rPr>
              <w:t>tion</w:t>
            </w:r>
          </w:p>
        </w:tc>
        <w:tc>
          <w:tcPr>
            <w:tcW w:w="1440" w:type="dxa"/>
            <w:shd w:val="clear" w:color="auto" w:fill="E5E5E5"/>
          </w:tcPr>
          <w:p w14:paraId="4B75B753" w14:textId="77777777" w:rsidR="0065175B" w:rsidRPr="009D7125" w:rsidRDefault="0065175B" w:rsidP="0065175B">
            <w:pPr>
              <w:spacing w:before="60" w:after="60"/>
              <w:ind w:left="128" w:right="59" w:firstLine="0"/>
              <w:jc w:val="both"/>
              <w:rPr>
                <w:sz w:val="24"/>
              </w:rPr>
            </w:pPr>
            <w:r w:rsidRPr="009D7125">
              <w:rPr>
                <w:sz w:val="24"/>
              </w:rPr>
              <w:t>Nombre a</w:t>
            </w:r>
            <w:r w:rsidRPr="009D7125">
              <w:rPr>
                <w:sz w:val="24"/>
              </w:rPr>
              <w:t>c</w:t>
            </w:r>
            <w:r w:rsidRPr="009D7125">
              <w:rPr>
                <w:sz w:val="24"/>
              </w:rPr>
              <w:t>tuel</w:t>
            </w:r>
          </w:p>
        </w:tc>
      </w:tr>
      <w:tr w:rsidR="0065175B" w:rsidRPr="005E46D3" w14:paraId="3118356D" w14:textId="77777777">
        <w:trPr>
          <w:trHeight w:val="324"/>
        </w:trPr>
        <w:tc>
          <w:tcPr>
            <w:tcW w:w="2700" w:type="dxa"/>
          </w:tcPr>
          <w:p w14:paraId="65F0C83C" w14:textId="77777777" w:rsidR="0065175B" w:rsidRPr="009D7125" w:rsidRDefault="0065175B" w:rsidP="0065175B">
            <w:pPr>
              <w:spacing w:before="60" w:after="60"/>
              <w:ind w:left="128" w:right="59" w:firstLine="0"/>
              <w:rPr>
                <w:sz w:val="24"/>
              </w:rPr>
            </w:pPr>
            <w:r w:rsidRPr="009D7125">
              <w:rPr>
                <w:sz w:val="24"/>
              </w:rPr>
              <w:t>CB</w:t>
            </w:r>
          </w:p>
        </w:tc>
        <w:tc>
          <w:tcPr>
            <w:tcW w:w="1620" w:type="dxa"/>
          </w:tcPr>
          <w:p w14:paraId="613E96B6" w14:textId="77777777" w:rsidR="0065175B" w:rsidRPr="009D7125" w:rsidRDefault="0065175B" w:rsidP="0065175B">
            <w:pPr>
              <w:spacing w:before="60" w:after="60"/>
              <w:ind w:left="128" w:right="59" w:firstLine="0"/>
              <w:rPr>
                <w:sz w:val="24"/>
              </w:rPr>
            </w:pPr>
            <w:r w:rsidRPr="009D7125">
              <w:rPr>
                <w:sz w:val="24"/>
              </w:rPr>
              <w:t>1996</w:t>
            </w:r>
          </w:p>
        </w:tc>
        <w:tc>
          <w:tcPr>
            <w:tcW w:w="1800" w:type="dxa"/>
          </w:tcPr>
          <w:p w14:paraId="3928BA0E" w14:textId="77777777" w:rsidR="0065175B" w:rsidRPr="009D7125" w:rsidRDefault="0065175B" w:rsidP="0065175B">
            <w:pPr>
              <w:spacing w:before="60" w:after="60"/>
              <w:ind w:left="128" w:right="59" w:firstLine="0"/>
              <w:rPr>
                <w:sz w:val="24"/>
              </w:rPr>
            </w:pPr>
          </w:p>
        </w:tc>
        <w:tc>
          <w:tcPr>
            <w:tcW w:w="1530" w:type="dxa"/>
          </w:tcPr>
          <w:p w14:paraId="6A76812D" w14:textId="77777777" w:rsidR="0065175B" w:rsidRPr="009D7125" w:rsidRDefault="0065175B" w:rsidP="0065175B">
            <w:pPr>
              <w:spacing w:before="60" w:after="60"/>
              <w:ind w:left="128" w:right="59" w:firstLine="0"/>
              <w:rPr>
                <w:sz w:val="24"/>
              </w:rPr>
            </w:pPr>
            <w:r w:rsidRPr="009D7125">
              <w:rPr>
                <w:sz w:val="24"/>
              </w:rPr>
              <w:t>De 75 à 59</w:t>
            </w:r>
          </w:p>
        </w:tc>
        <w:tc>
          <w:tcPr>
            <w:tcW w:w="1440" w:type="dxa"/>
          </w:tcPr>
          <w:p w14:paraId="5F46903C" w14:textId="77777777" w:rsidR="0065175B" w:rsidRPr="009D7125" w:rsidRDefault="0065175B" w:rsidP="0065175B">
            <w:pPr>
              <w:spacing w:before="60" w:after="60"/>
              <w:ind w:left="128" w:right="59" w:firstLine="0"/>
              <w:rPr>
                <w:sz w:val="24"/>
              </w:rPr>
            </w:pPr>
            <w:r w:rsidRPr="009D7125">
              <w:rPr>
                <w:sz w:val="24"/>
              </w:rPr>
              <w:t>60</w:t>
            </w:r>
          </w:p>
        </w:tc>
      </w:tr>
      <w:tr w:rsidR="0065175B" w:rsidRPr="005E46D3" w14:paraId="09FC7396" w14:textId="77777777">
        <w:trPr>
          <w:trHeight w:val="323"/>
        </w:trPr>
        <w:tc>
          <w:tcPr>
            <w:tcW w:w="2700" w:type="dxa"/>
          </w:tcPr>
          <w:p w14:paraId="08C65218" w14:textId="77777777" w:rsidR="0065175B" w:rsidRPr="009D7125" w:rsidRDefault="0065175B" w:rsidP="0065175B">
            <w:pPr>
              <w:spacing w:before="60" w:after="60"/>
              <w:ind w:left="128" w:right="59" w:firstLine="0"/>
              <w:rPr>
                <w:sz w:val="24"/>
              </w:rPr>
            </w:pPr>
            <w:r w:rsidRPr="009D7125">
              <w:rPr>
                <w:sz w:val="24"/>
              </w:rPr>
              <w:t>Albe</w:t>
            </w:r>
            <w:r w:rsidRPr="009D7125">
              <w:rPr>
                <w:sz w:val="24"/>
              </w:rPr>
              <w:t>r</w:t>
            </w:r>
            <w:r w:rsidRPr="009D7125">
              <w:rPr>
                <w:sz w:val="24"/>
              </w:rPr>
              <w:t>ta</w:t>
            </w:r>
          </w:p>
        </w:tc>
        <w:tc>
          <w:tcPr>
            <w:tcW w:w="1620" w:type="dxa"/>
          </w:tcPr>
          <w:p w14:paraId="3B481EBD" w14:textId="77777777" w:rsidR="0065175B" w:rsidRPr="009D7125" w:rsidRDefault="0065175B" w:rsidP="0065175B">
            <w:pPr>
              <w:spacing w:before="60" w:after="60"/>
              <w:ind w:left="128" w:right="59" w:firstLine="0"/>
              <w:rPr>
                <w:sz w:val="24"/>
              </w:rPr>
            </w:pPr>
            <w:r w:rsidRPr="009D7125">
              <w:rPr>
                <w:sz w:val="24"/>
              </w:rPr>
              <w:t>1994, 1995</w:t>
            </w:r>
          </w:p>
        </w:tc>
        <w:tc>
          <w:tcPr>
            <w:tcW w:w="1800" w:type="dxa"/>
          </w:tcPr>
          <w:p w14:paraId="58CFFF17" w14:textId="77777777" w:rsidR="0065175B" w:rsidRPr="009D7125" w:rsidRDefault="0065175B" w:rsidP="0065175B">
            <w:pPr>
              <w:spacing w:before="60" w:after="60"/>
              <w:ind w:left="128" w:right="59" w:firstLine="0"/>
              <w:rPr>
                <w:sz w:val="24"/>
              </w:rPr>
            </w:pPr>
          </w:p>
        </w:tc>
        <w:tc>
          <w:tcPr>
            <w:tcW w:w="1530" w:type="dxa"/>
          </w:tcPr>
          <w:p w14:paraId="3E7A0BAB" w14:textId="77777777" w:rsidR="0065175B" w:rsidRPr="009D7125" w:rsidRDefault="0065175B" w:rsidP="0065175B">
            <w:pPr>
              <w:spacing w:before="60" w:after="60"/>
              <w:ind w:left="128" w:right="59" w:firstLine="0"/>
              <w:rPr>
                <w:sz w:val="24"/>
              </w:rPr>
            </w:pPr>
            <w:r w:rsidRPr="009D7125">
              <w:rPr>
                <w:sz w:val="24"/>
              </w:rPr>
              <w:t>De 141 à 71</w:t>
            </w:r>
          </w:p>
        </w:tc>
        <w:tc>
          <w:tcPr>
            <w:tcW w:w="1440" w:type="dxa"/>
          </w:tcPr>
          <w:p w14:paraId="6B1E71B1" w14:textId="77777777" w:rsidR="0065175B" w:rsidRPr="009D7125" w:rsidRDefault="0065175B" w:rsidP="0065175B">
            <w:pPr>
              <w:spacing w:before="60" w:after="60"/>
              <w:ind w:left="128" w:right="59" w:firstLine="0"/>
              <w:rPr>
                <w:sz w:val="24"/>
              </w:rPr>
            </w:pPr>
            <w:r w:rsidRPr="009D7125">
              <w:rPr>
                <w:sz w:val="24"/>
              </w:rPr>
              <w:t>66</w:t>
            </w:r>
          </w:p>
        </w:tc>
      </w:tr>
      <w:tr w:rsidR="0065175B" w:rsidRPr="005E46D3" w14:paraId="433F80B1" w14:textId="77777777">
        <w:trPr>
          <w:trHeight w:val="324"/>
        </w:trPr>
        <w:tc>
          <w:tcPr>
            <w:tcW w:w="2700" w:type="dxa"/>
          </w:tcPr>
          <w:p w14:paraId="34EB04B4" w14:textId="77777777" w:rsidR="0065175B" w:rsidRPr="009D7125" w:rsidRDefault="0065175B" w:rsidP="0065175B">
            <w:pPr>
              <w:spacing w:before="60" w:after="60"/>
              <w:ind w:left="128" w:right="59" w:firstLine="0"/>
              <w:rPr>
                <w:sz w:val="24"/>
              </w:rPr>
            </w:pPr>
            <w:r w:rsidRPr="009D7125">
              <w:rPr>
                <w:sz w:val="24"/>
              </w:rPr>
              <w:t>Saska</w:t>
            </w:r>
            <w:r w:rsidRPr="009D7125">
              <w:rPr>
                <w:sz w:val="24"/>
              </w:rPr>
              <w:t>t</w:t>
            </w:r>
            <w:r w:rsidRPr="009D7125">
              <w:rPr>
                <w:sz w:val="24"/>
              </w:rPr>
              <w:t>chewan</w:t>
            </w:r>
          </w:p>
        </w:tc>
        <w:tc>
          <w:tcPr>
            <w:tcW w:w="1620" w:type="dxa"/>
          </w:tcPr>
          <w:p w14:paraId="3720449C" w14:textId="77777777" w:rsidR="0065175B" w:rsidRPr="009D7125" w:rsidRDefault="0065175B" w:rsidP="0065175B">
            <w:pPr>
              <w:spacing w:before="60" w:after="60"/>
              <w:ind w:left="128" w:right="59" w:firstLine="0"/>
              <w:rPr>
                <w:sz w:val="24"/>
              </w:rPr>
            </w:pPr>
            <w:r w:rsidRPr="009D7125">
              <w:rPr>
                <w:sz w:val="24"/>
              </w:rPr>
              <w:t>1998, 2004</w:t>
            </w:r>
          </w:p>
        </w:tc>
        <w:tc>
          <w:tcPr>
            <w:tcW w:w="1800" w:type="dxa"/>
          </w:tcPr>
          <w:p w14:paraId="6BF4D8A1" w14:textId="77777777" w:rsidR="0065175B" w:rsidRPr="009D7125" w:rsidRDefault="0065175B" w:rsidP="0065175B">
            <w:pPr>
              <w:spacing w:before="60" w:after="60"/>
              <w:ind w:left="128" w:right="59" w:firstLine="0"/>
              <w:rPr>
                <w:sz w:val="24"/>
              </w:rPr>
            </w:pPr>
          </w:p>
        </w:tc>
        <w:tc>
          <w:tcPr>
            <w:tcW w:w="1530" w:type="dxa"/>
          </w:tcPr>
          <w:p w14:paraId="2B278F07" w14:textId="77777777" w:rsidR="0065175B" w:rsidRPr="009D7125" w:rsidRDefault="0065175B" w:rsidP="0065175B">
            <w:pPr>
              <w:spacing w:before="60" w:after="60"/>
              <w:ind w:left="128" w:right="59" w:firstLine="0"/>
              <w:rPr>
                <w:sz w:val="24"/>
              </w:rPr>
            </w:pPr>
            <w:r w:rsidRPr="009D7125">
              <w:rPr>
                <w:sz w:val="24"/>
              </w:rPr>
              <w:t>De 119 à 100</w:t>
            </w:r>
          </w:p>
        </w:tc>
        <w:tc>
          <w:tcPr>
            <w:tcW w:w="1440" w:type="dxa"/>
          </w:tcPr>
          <w:p w14:paraId="27A6C0CF" w14:textId="77777777" w:rsidR="0065175B" w:rsidRPr="009D7125" w:rsidRDefault="0065175B" w:rsidP="0065175B">
            <w:pPr>
              <w:spacing w:before="60" w:after="60"/>
              <w:ind w:left="128" w:right="59" w:firstLine="0"/>
              <w:rPr>
                <w:sz w:val="24"/>
              </w:rPr>
            </w:pPr>
            <w:r w:rsidRPr="009D7125">
              <w:rPr>
                <w:sz w:val="24"/>
              </w:rPr>
              <w:t>82</w:t>
            </w:r>
          </w:p>
        </w:tc>
      </w:tr>
      <w:tr w:rsidR="0065175B" w:rsidRPr="005E46D3" w14:paraId="50C798E9" w14:textId="77777777">
        <w:trPr>
          <w:trHeight w:val="533"/>
        </w:trPr>
        <w:tc>
          <w:tcPr>
            <w:tcW w:w="2700" w:type="dxa"/>
          </w:tcPr>
          <w:p w14:paraId="7638E8AE" w14:textId="77777777" w:rsidR="0065175B" w:rsidRPr="009D7125" w:rsidRDefault="0065175B" w:rsidP="0065175B">
            <w:pPr>
              <w:spacing w:before="60" w:after="60"/>
              <w:ind w:left="128" w:right="59" w:firstLine="0"/>
              <w:rPr>
                <w:sz w:val="24"/>
              </w:rPr>
            </w:pPr>
            <w:r w:rsidRPr="009D7125">
              <w:rPr>
                <w:sz w:val="24"/>
              </w:rPr>
              <w:t>Man</w:t>
            </w:r>
            <w:r w:rsidRPr="009D7125">
              <w:rPr>
                <w:sz w:val="24"/>
              </w:rPr>
              <w:t>i</w:t>
            </w:r>
            <w:r w:rsidRPr="009D7125">
              <w:rPr>
                <w:sz w:val="24"/>
              </w:rPr>
              <w:t>toba</w:t>
            </w:r>
          </w:p>
        </w:tc>
        <w:tc>
          <w:tcPr>
            <w:tcW w:w="1620" w:type="dxa"/>
          </w:tcPr>
          <w:p w14:paraId="00434803" w14:textId="77777777" w:rsidR="0065175B" w:rsidRPr="009D7125" w:rsidRDefault="0065175B" w:rsidP="0065175B">
            <w:pPr>
              <w:spacing w:before="60" w:after="60"/>
              <w:ind w:left="128" w:right="59" w:firstLine="0"/>
              <w:rPr>
                <w:sz w:val="24"/>
              </w:rPr>
            </w:pPr>
            <w:r w:rsidRPr="009D7125">
              <w:rPr>
                <w:sz w:val="24"/>
              </w:rPr>
              <w:t>1993, 1998,</w:t>
            </w:r>
            <w:r>
              <w:rPr>
                <w:sz w:val="24"/>
              </w:rPr>
              <w:t xml:space="preserve"> </w:t>
            </w:r>
            <w:r w:rsidRPr="009D7125">
              <w:rPr>
                <w:sz w:val="24"/>
              </w:rPr>
              <w:t>2001</w:t>
            </w:r>
          </w:p>
        </w:tc>
        <w:tc>
          <w:tcPr>
            <w:tcW w:w="1800" w:type="dxa"/>
          </w:tcPr>
          <w:p w14:paraId="302E44AD" w14:textId="77777777" w:rsidR="0065175B" w:rsidRPr="009D7125" w:rsidRDefault="0065175B" w:rsidP="0065175B">
            <w:pPr>
              <w:spacing w:before="60" w:after="60"/>
              <w:ind w:left="128" w:right="59" w:firstLine="0"/>
              <w:rPr>
                <w:sz w:val="24"/>
              </w:rPr>
            </w:pPr>
            <w:r w:rsidRPr="009D7125">
              <w:rPr>
                <w:sz w:val="24"/>
              </w:rPr>
              <w:t>Loi 14 : P</w:t>
            </w:r>
            <w:r w:rsidRPr="009D7125">
              <w:rPr>
                <w:sz w:val="24"/>
              </w:rPr>
              <w:t>u</w:t>
            </w:r>
            <w:r w:rsidRPr="009D7125">
              <w:rPr>
                <w:sz w:val="24"/>
              </w:rPr>
              <w:t>blic School Mode</w:t>
            </w:r>
            <w:r w:rsidRPr="009D7125">
              <w:rPr>
                <w:sz w:val="24"/>
              </w:rPr>
              <w:t>r</w:t>
            </w:r>
            <w:r w:rsidRPr="009D7125">
              <w:rPr>
                <w:sz w:val="24"/>
              </w:rPr>
              <w:t>niz</w:t>
            </w:r>
            <w:r w:rsidRPr="009D7125">
              <w:rPr>
                <w:sz w:val="24"/>
              </w:rPr>
              <w:t>a</w:t>
            </w:r>
            <w:r w:rsidRPr="009D7125">
              <w:rPr>
                <w:sz w:val="24"/>
              </w:rPr>
              <w:t>tion Act</w:t>
            </w:r>
          </w:p>
        </w:tc>
        <w:tc>
          <w:tcPr>
            <w:tcW w:w="1530" w:type="dxa"/>
          </w:tcPr>
          <w:p w14:paraId="7A0D736B" w14:textId="77777777" w:rsidR="0065175B" w:rsidRPr="009D7125" w:rsidRDefault="0065175B" w:rsidP="0065175B">
            <w:pPr>
              <w:spacing w:before="60" w:after="60"/>
              <w:ind w:left="128" w:right="59" w:firstLine="0"/>
              <w:rPr>
                <w:sz w:val="24"/>
              </w:rPr>
            </w:pPr>
            <w:r w:rsidRPr="009D7125">
              <w:rPr>
                <w:sz w:val="24"/>
              </w:rPr>
              <w:t>De 57 à 36</w:t>
            </w:r>
          </w:p>
        </w:tc>
        <w:tc>
          <w:tcPr>
            <w:tcW w:w="1440" w:type="dxa"/>
          </w:tcPr>
          <w:p w14:paraId="7111BE8A" w14:textId="77777777" w:rsidR="0065175B" w:rsidRPr="009D7125" w:rsidRDefault="0065175B" w:rsidP="0065175B">
            <w:pPr>
              <w:spacing w:before="60" w:after="60"/>
              <w:ind w:left="128" w:right="59" w:firstLine="0"/>
              <w:rPr>
                <w:sz w:val="24"/>
              </w:rPr>
            </w:pPr>
            <w:r w:rsidRPr="009D7125">
              <w:rPr>
                <w:sz w:val="24"/>
              </w:rPr>
              <w:t>36</w:t>
            </w:r>
          </w:p>
        </w:tc>
      </w:tr>
      <w:tr w:rsidR="0065175B" w:rsidRPr="005E46D3" w14:paraId="5B430F05" w14:textId="77777777">
        <w:trPr>
          <w:trHeight w:val="533"/>
        </w:trPr>
        <w:tc>
          <w:tcPr>
            <w:tcW w:w="2700" w:type="dxa"/>
          </w:tcPr>
          <w:p w14:paraId="14420853" w14:textId="77777777" w:rsidR="0065175B" w:rsidRPr="009D7125" w:rsidRDefault="0065175B" w:rsidP="0065175B">
            <w:pPr>
              <w:spacing w:before="60" w:after="60"/>
              <w:ind w:left="128" w:right="59" w:firstLine="0"/>
              <w:rPr>
                <w:sz w:val="24"/>
              </w:rPr>
            </w:pPr>
            <w:r w:rsidRPr="009D7125">
              <w:rPr>
                <w:sz w:val="24"/>
              </w:rPr>
              <w:t>Ont</w:t>
            </w:r>
            <w:r w:rsidRPr="009D7125">
              <w:rPr>
                <w:sz w:val="24"/>
              </w:rPr>
              <w:t>a</w:t>
            </w:r>
            <w:r w:rsidRPr="009D7125">
              <w:rPr>
                <w:sz w:val="24"/>
              </w:rPr>
              <w:t>rio</w:t>
            </w:r>
          </w:p>
        </w:tc>
        <w:tc>
          <w:tcPr>
            <w:tcW w:w="1620" w:type="dxa"/>
          </w:tcPr>
          <w:p w14:paraId="44461E49" w14:textId="77777777" w:rsidR="0065175B" w:rsidRPr="009D7125" w:rsidRDefault="0065175B" w:rsidP="0065175B">
            <w:pPr>
              <w:spacing w:before="60" w:after="60"/>
              <w:ind w:left="128" w:right="59" w:firstLine="0"/>
              <w:rPr>
                <w:sz w:val="24"/>
              </w:rPr>
            </w:pPr>
            <w:r w:rsidRPr="009D7125">
              <w:rPr>
                <w:sz w:val="24"/>
              </w:rPr>
              <w:t>1997</w:t>
            </w:r>
          </w:p>
        </w:tc>
        <w:tc>
          <w:tcPr>
            <w:tcW w:w="1800" w:type="dxa"/>
          </w:tcPr>
          <w:p w14:paraId="5104B0F5" w14:textId="77777777" w:rsidR="0065175B" w:rsidRPr="009D7125" w:rsidRDefault="0065175B" w:rsidP="0065175B">
            <w:pPr>
              <w:spacing w:before="60" w:after="60"/>
              <w:ind w:left="128" w:right="59" w:firstLine="0"/>
              <w:rPr>
                <w:sz w:val="24"/>
              </w:rPr>
            </w:pPr>
            <w:r w:rsidRPr="009D7125">
              <w:rPr>
                <w:sz w:val="24"/>
              </w:rPr>
              <w:t>Loi 104 : F</w:t>
            </w:r>
            <w:r w:rsidRPr="009D7125">
              <w:rPr>
                <w:sz w:val="24"/>
              </w:rPr>
              <w:t>e</w:t>
            </w:r>
            <w:r w:rsidRPr="009D7125">
              <w:rPr>
                <w:sz w:val="24"/>
              </w:rPr>
              <w:t>wer School Boards Act</w:t>
            </w:r>
          </w:p>
        </w:tc>
        <w:tc>
          <w:tcPr>
            <w:tcW w:w="1530" w:type="dxa"/>
          </w:tcPr>
          <w:p w14:paraId="3C058A0F" w14:textId="77777777" w:rsidR="0065175B" w:rsidRPr="009D7125" w:rsidRDefault="0065175B" w:rsidP="0065175B">
            <w:pPr>
              <w:spacing w:before="60" w:after="60"/>
              <w:ind w:left="128" w:right="59" w:firstLine="0"/>
              <w:rPr>
                <w:sz w:val="24"/>
              </w:rPr>
            </w:pPr>
            <w:r w:rsidRPr="009D7125">
              <w:rPr>
                <w:sz w:val="24"/>
              </w:rPr>
              <w:t>De 129 à 72</w:t>
            </w:r>
          </w:p>
        </w:tc>
        <w:tc>
          <w:tcPr>
            <w:tcW w:w="1440" w:type="dxa"/>
          </w:tcPr>
          <w:p w14:paraId="3B8E403C" w14:textId="77777777" w:rsidR="0065175B" w:rsidRPr="009D7125" w:rsidRDefault="0065175B" w:rsidP="0065175B">
            <w:pPr>
              <w:spacing w:before="60" w:after="60"/>
              <w:ind w:left="128" w:right="59" w:firstLine="0"/>
              <w:rPr>
                <w:sz w:val="24"/>
              </w:rPr>
            </w:pPr>
            <w:r w:rsidRPr="009D7125">
              <w:rPr>
                <w:sz w:val="24"/>
              </w:rPr>
              <w:t>72</w:t>
            </w:r>
          </w:p>
        </w:tc>
      </w:tr>
      <w:tr w:rsidR="0065175B" w:rsidRPr="005E46D3" w14:paraId="79F17566" w14:textId="77777777">
        <w:trPr>
          <w:trHeight w:val="324"/>
        </w:trPr>
        <w:tc>
          <w:tcPr>
            <w:tcW w:w="2700" w:type="dxa"/>
          </w:tcPr>
          <w:p w14:paraId="36A408C3" w14:textId="77777777" w:rsidR="0065175B" w:rsidRPr="009D7125" w:rsidRDefault="0065175B" w:rsidP="0065175B">
            <w:pPr>
              <w:spacing w:before="60" w:after="60"/>
              <w:ind w:left="128" w:right="59" w:firstLine="0"/>
              <w:rPr>
                <w:sz w:val="24"/>
              </w:rPr>
            </w:pPr>
            <w:r w:rsidRPr="009D7125">
              <w:rPr>
                <w:sz w:val="24"/>
              </w:rPr>
              <w:t>Qu</w:t>
            </w:r>
            <w:r w:rsidRPr="009D7125">
              <w:rPr>
                <w:sz w:val="24"/>
              </w:rPr>
              <w:t>é</w:t>
            </w:r>
            <w:r w:rsidRPr="009D7125">
              <w:rPr>
                <w:sz w:val="24"/>
              </w:rPr>
              <w:t>bec</w:t>
            </w:r>
          </w:p>
        </w:tc>
        <w:tc>
          <w:tcPr>
            <w:tcW w:w="1620" w:type="dxa"/>
          </w:tcPr>
          <w:p w14:paraId="4DF0E16D" w14:textId="77777777" w:rsidR="0065175B" w:rsidRPr="009D7125" w:rsidRDefault="0065175B" w:rsidP="0065175B">
            <w:pPr>
              <w:spacing w:before="60" w:after="60"/>
              <w:ind w:left="128" w:right="59" w:firstLine="0"/>
              <w:rPr>
                <w:sz w:val="24"/>
              </w:rPr>
            </w:pPr>
            <w:r w:rsidRPr="009D7125">
              <w:rPr>
                <w:sz w:val="24"/>
              </w:rPr>
              <w:t>1997</w:t>
            </w:r>
          </w:p>
        </w:tc>
        <w:tc>
          <w:tcPr>
            <w:tcW w:w="1800" w:type="dxa"/>
          </w:tcPr>
          <w:p w14:paraId="2D050278" w14:textId="77777777" w:rsidR="0065175B" w:rsidRPr="009D7125" w:rsidRDefault="0065175B" w:rsidP="0065175B">
            <w:pPr>
              <w:spacing w:before="60" w:after="60"/>
              <w:ind w:left="128" w:right="59" w:firstLine="0"/>
              <w:rPr>
                <w:sz w:val="24"/>
              </w:rPr>
            </w:pPr>
            <w:r w:rsidRPr="009D7125">
              <w:rPr>
                <w:sz w:val="24"/>
              </w:rPr>
              <w:t>Loi 109</w:t>
            </w:r>
          </w:p>
        </w:tc>
        <w:tc>
          <w:tcPr>
            <w:tcW w:w="1530" w:type="dxa"/>
          </w:tcPr>
          <w:p w14:paraId="343C7057" w14:textId="77777777" w:rsidR="0065175B" w:rsidRPr="009D7125" w:rsidRDefault="0065175B" w:rsidP="0065175B">
            <w:pPr>
              <w:spacing w:before="60" w:after="60"/>
              <w:ind w:left="128" w:right="59" w:firstLine="0"/>
              <w:rPr>
                <w:sz w:val="24"/>
              </w:rPr>
            </w:pPr>
            <w:r w:rsidRPr="009D7125">
              <w:rPr>
                <w:sz w:val="24"/>
              </w:rPr>
              <w:t>De 160 à 72</w:t>
            </w:r>
          </w:p>
        </w:tc>
        <w:tc>
          <w:tcPr>
            <w:tcW w:w="1440" w:type="dxa"/>
          </w:tcPr>
          <w:p w14:paraId="0DAE7CAB" w14:textId="77777777" w:rsidR="0065175B" w:rsidRPr="009D7125" w:rsidRDefault="0065175B" w:rsidP="0065175B">
            <w:pPr>
              <w:spacing w:before="60" w:after="60"/>
              <w:ind w:left="128" w:right="59" w:firstLine="0"/>
              <w:rPr>
                <w:sz w:val="24"/>
              </w:rPr>
            </w:pPr>
            <w:r w:rsidRPr="009D7125">
              <w:rPr>
                <w:sz w:val="24"/>
              </w:rPr>
              <w:t>72</w:t>
            </w:r>
          </w:p>
        </w:tc>
      </w:tr>
      <w:tr w:rsidR="0065175B" w:rsidRPr="005E46D3" w14:paraId="41ACDBB3" w14:textId="77777777">
        <w:trPr>
          <w:trHeight w:val="533"/>
        </w:trPr>
        <w:tc>
          <w:tcPr>
            <w:tcW w:w="2700" w:type="dxa"/>
          </w:tcPr>
          <w:p w14:paraId="3F31BC9F" w14:textId="77777777" w:rsidR="0065175B" w:rsidRPr="009D7125" w:rsidRDefault="0065175B" w:rsidP="0065175B">
            <w:pPr>
              <w:spacing w:before="60" w:after="60"/>
              <w:ind w:left="128" w:right="59" w:firstLine="0"/>
              <w:rPr>
                <w:sz w:val="24"/>
              </w:rPr>
            </w:pPr>
            <w:r w:rsidRPr="009D7125">
              <w:rPr>
                <w:sz w:val="24"/>
              </w:rPr>
              <w:t>Nouveau Brun</w:t>
            </w:r>
            <w:r w:rsidRPr="009D7125">
              <w:rPr>
                <w:sz w:val="24"/>
              </w:rPr>
              <w:t>s</w:t>
            </w:r>
            <w:r w:rsidRPr="009D7125">
              <w:rPr>
                <w:sz w:val="24"/>
              </w:rPr>
              <w:t>wick</w:t>
            </w:r>
          </w:p>
        </w:tc>
        <w:tc>
          <w:tcPr>
            <w:tcW w:w="1620" w:type="dxa"/>
          </w:tcPr>
          <w:p w14:paraId="721DEF42" w14:textId="77777777" w:rsidR="0065175B" w:rsidRPr="009D7125" w:rsidRDefault="0065175B" w:rsidP="0065175B">
            <w:pPr>
              <w:spacing w:before="60" w:after="60"/>
              <w:ind w:left="128" w:right="59" w:firstLine="0"/>
              <w:rPr>
                <w:sz w:val="24"/>
              </w:rPr>
            </w:pPr>
            <w:r w:rsidRPr="009D7125">
              <w:rPr>
                <w:sz w:val="24"/>
              </w:rPr>
              <w:t>1992, 1996</w:t>
            </w:r>
          </w:p>
        </w:tc>
        <w:tc>
          <w:tcPr>
            <w:tcW w:w="1800" w:type="dxa"/>
          </w:tcPr>
          <w:p w14:paraId="0170AC78" w14:textId="77777777" w:rsidR="0065175B" w:rsidRPr="009D7125" w:rsidRDefault="0065175B" w:rsidP="0065175B">
            <w:pPr>
              <w:spacing w:before="60" w:after="60"/>
              <w:ind w:left="128" w:right="59" w:firstLine="0"/>
              <w:rPr>
                <w:sz w:val="24"/>
              </w:rPr>
            </w:pPr>
          </w:p>
        </w:tc>
        <w:tc>
          <w:tcPr>
            <w:tcW w:w="1530" w:type="dxa"/>
          </w:tcPr>
          <w:p w14:paraId="5A9523E0" w14:textId="77777777" w:rsidR="0065175B" w:rsidRPr="009D7125" w:rsidRDefault="0065175B" w:rsidP="0065175B">
            <w:pPr>
              <w:spacing w:before="60" w:after="60"/>
              <w:ind w:left="128" w:right="59" w:firstLine="0"/>
              <w:rPr>
                <w:sz w:val="24"/>
              </w:rPr>
            </w:pPr>
            <w:r w:rsidRPr="009D7125">
              <w:rPr>
                <w:sz w:val="24"/>
              </w:rPr>
              <w:t>De 42 à 0</w:t>
            </w:r>
          </w:p>
          <w:p w14:paraId="268E2FA1" w14:textId="77777777" w:rsidR="0065175B" w:rsidRPr="009D7125" w:rsidRDefault="0065175B" w:rsidP="0065175B">
            <w:pPr>
              <w:spacing w:before="60" w:after="60"/>
              <w:ind w:left="128" w:right="59" w:firstLine="0"/>
              <w:rPr>
                <w:sz w:val="24"/>
              </w:rPr>
            </w:pPr>
            <w:r w:rsidRPr="009D7125">
              <w:rPr>
                <w:sz w:val="24"/>
              </w:rPr>
              <w:t>De 0 à14</w:t>
            </w:r>
          </w:p>
        </w:tc>
        <w:tc>
          <w:tcPr>
            <w:tcW w:w="1440" w:type="dxa"/>
          </w:tcPr>
          <w:p w14:paraId="37C5FDF8" w14:textId="77777777" w:rsidR="0065175B" w:rsidRPr="009D7125" w:rsidRDefault="0065175B" w:rsidP="0065175B">
            <w:pPr>
              <w:spacing w:before="60" w:after="60"/>
              <w:ind w:left="128" w:right="59" w:firstLine="0"/>
              <w:rPr>
                <w:sz w:val="24"/>
              </w:rPr>
            </w:pPr>
            <w:r w:rsidRPr="009D7125">
              <w:rPr>
                <w:sz w:val="24"/>
              </w:rPr>
              <w:t>14 conseils de di</w:t>
            </w:r>
            <w:r w:rsidRPr="009D7125">
              <w:rPr>
                <w:sz w:val="24"/>
              </w:rPr>
              <w:t>s</w:t>
            </w:r>
            <w:r w:rsidRPr="009D7125">
              <w:rPr>
                <w:sz w:val="24"/>
              </w:rPr>
              <w:t>tricts</w:t>
            </w:r>
          </w:p>
        </w:tc>
      </w:tr>
      <w:tr w:rsidR="0065175B" w:rsidRPr="005E46D3" w14:paraId="6A4B8BD7" w14:textId="77777777">
        <w:trPr>
          <w:trHeight w:val="533"/>
        </w:trPr>
        <w:tc>
          <w:tcPr>
            <w:tcW w:w="2700" w:type="dxa"/>
          </w:tcPr>
          <w:p w14:paraId="1F753C3E" w14:textId="77777777" w:rsidR="0065175B" w:rsidRPr="009D7125" w:rsidRDefault="0065175B" w:rsidP="0065175B">
            <w:pPr>
              <w:spacing w:before="60" w:after="60"/>
              <w:ind w:left="128" w:right="59" w:firstLine="0"/>
              <w:rPr>
                <w:sz w:val="24"/>
              </w:rPr>
            </w:pPr>
            <w:r w:rsidRPr="009D7125">
              <w:rPr>
                <w:sz w:val="24"/>
              </w:rPr>
              <w:t>Nouvelle Éco</w:t>
            </w:r>
            <w:r w:rsidRPr="009D7125">
              <w:rPr>
                <w:sz w:val="24"/>
              </w:rPr>
              <w:t>s</w:t>
            </w:r>
            <w:r w:rsidRPr="009D7125">
              <w:rPr>
                <w:sz w:val="24"/>
              </w:rPr>
              <w:t>se</w:t>
            </w:r>
          </w:p>
        </w:tc>
        <w:tc>
          <w:tcPr>
            <w:tcW w:w="1620" w:type="dxa"/>
          </w:tcPr>
          <w:p w14:paraId="6F94E4AC" w14:textId="77777777" w:rsidR="0065175B" w:rsidRPr="009D7125" w:rsidRDefault="0065175B" w:rsidP="0065175B">
            <w:pPr>
              <w:spacing w:before="60" w:after="60"/>
              <w:ind w:left="128" w:right="59" w:firstLine="0"/>
              <w:rPr>
                <w:sz w:val="24"/>
              </w:rPr>
            </w:pPr>
            <w:r w:rsidRPr="009D7125">
              <w:rPr>
                <w:sz w:val="24"/>
              </w:rPr>
              <w:t>1996, 2000</w:t>
            </w:r>
          </w:p>
        </w:tc>
        <w:tc>
          <w:tcPr>
            <w:tcW w:w="1800" w:type="dxa"/>
          </w:tcPr>
          <w:p w14:paraId="3E1585A2" w14:textId="77777777" w:rsidR="0065175B" w:rsidRPr="009D7125" w:rsidRDefault="0065175B" w:rsidP="0065175B">
            <w:pPr>
              <w:spacing w:before="60" w:after="60"/>
              <w:ind w:left="128" w:right="59" w:firstLine="0"/>
              <w:rPr>
                <w:sz w:val="24"/>
              </w:rPr>
            </w:pPr>
            <w:r w:rsidRPr="009D7125">
              <w:rPr>
                <w:sz w:val="24"/>
              </w:rPr>
              <w:t>School Board Boundary R</w:t>
            </w:r>
            <w:r w:rsidRPr="009D7125">
              <w:rPr>
                <w:sz w:val="24"/>
              </w:rPr>
              <w:t>e</w:t>
            </w:r>
            <w:r w:rsidRPr="009D7125">
              <w:rPr>
                <w:sz w:val="24"/>
              </w:rPr>
              <w:t>view (2000)</w:t>
            </w:r>
          </w:p>
        </w:tc>
        <w:tc>
          <w:tcPr>
            <w:tcW w:w="1530" w:type="dxa"/>
          </w:tcPr>
          <w:p w14:paraId="5AB46819" w14:textId="77777777" w:rsidR="0065175B" w:rsidRPr="009D7125" w:rsidRDefault="0065175B" w:rsidP="0065175B">
            <w:pPr>
              <w:spacing w:before="60" w:after="60"/>
              <w:ind w:left="128" w:right="59" w:firstLine="0"/>
              <w:rPr>
                <w:sz w:val="24"/>
              </w:rPr>
            </w:pPr>
            <w:r w:rsidRPr="009D7125">
              <w:rPr>
                <w:sz w:val="24"/>
              </w:rPr>
              <w:t>De 22 à 7</w:t>
            </w:r>
          </w:p>
        </w:tc>
        <w:tc>
          <w:tcPr>
            <w:tcW w:w="1440" w:type="dxa"/>
          </w:tcPr>
          <w:p w14:paraId="560A7586" w14:textId="77777777" w:rsidR="0065175B" w:rsidRPr="009D7125" w:rsidRDefault="0065175B" w:rsidP="0065175B">
            <w:pPr>
              <w:spacing w:before="60" w:after="60"/>
              <w:ind w:left="128" w:right="59" w:firstLine="0"/>
              <w:rPr>
                <w:sz w:val="24"/>
              </w:rPr>
            </w:pPr>
            <w:r w:rsidRPr="009D7125">
              <w:rPr>
                <w:sz w:val="24"/>
              </w:rPr>
              <w:t>7 région</w:t>
            </w:r>
            <w:r w:rsidRPr="009D7125">
              <w:rPr>
                <w:sz w:val="24"/>
              </w:rPr>
              <w:t>a</w:t>
            </w:r>
            <w:r w:rsidRPr="009D7125">
              <w:rPr>
                <w:sz w:val="24"/>
              </w:rPr>
              <w:t>les</w:t>
            </w:r>
          </w:p>
        </w:tc>
      </w:tr>
      <w:tr w:rsidR="0065175B" w:rsidRPr="005E46D3" w14:paraId="03D606D3" w14:textId="77777777">
        <w:trPr>
          <w:trHeight w:val="534"/>
        </w:trPr>
        <w:tc>
          <w:tcPr>
            <w:tcW w:w="2700" w:type="dxa"/>
          </w:tcPr>
          <w:p w14:paraId="6F40A21A" w14:textId="77777777" w:rsidR="0065175B" w:rsidRPr="009D7125" w:rsidRDefault="0065175B" w:rsidP="0065175B">
            <w:pPr>
              <w:spacing w:before="60" w:after="60"/>
              <w:ind w:left="128" w:right="59" w:firstLine="0"/>
              <w:rPr>
                <w:sz w:val="24"/>
              </w:rPr>
            </w:pPr>
            <w:r w:rsidRPr="009D7125">
              <w:rPr>
                <w:sz w:val="24"/>
              </w:rPr>
              <w:t>Île du Prince Édouard</w:t>
            </w:r>
          </w:p>
        </w:tc>
        <w:tc>
          <w:tcPr>
            <w:tcW w:w="1620" w:type="dxa"/>
          </w:tcPr>
          <w:p w14:paraId="1D97A7F9" w14:textId="77777777" w:rsidR="0065175B" w:rsidRPr="009D7125" w:rsidRDefault="0065175B" w:rsidP="0065175B">
            <w:pPr>
              <w:spacing w:before="60" w:after="60"/>
              <w:ind w:left="128" w:right="59" w:firstLine="0"/>
              <w:rPr>
                <w:sz w:val="24"/>
              </w:rPr>
            </w:pPr>
            <w:r w:rsidRPr="009D7125">
              <w:rPr>
                <w:sz w:val="24"/>
              </w:rPr>
              <w:t>1994</w:t>
            </w:r>
          </w:p>
        </w:tc>
        <w:tc>
          <w:tcPr>
            <w:tcW w:w="1800" w:type="dxa"/>
          </w:tcPr>
          <w:p w14:paraId="5E13BDEB" w14:textId="77777777" w:rsidR="0065175B" w:rsidRPr="009D7125" w:rsidRDefault="0065175B" w:rsidP="0065175B">
            <w:pPr>
              <w:spacing w:before="60" w:after="60"/>
              <w:ind w:left="128" w:right="59" w:firstLine="0"/>
              <w:rPr>
                <w:sz w:val="24"/>
              </w:rPr>
            </w:pPr>
          </w:p>
        </w:tc>
        <w:tc>
          <w:tcPr>
            <w:tcW w:w="1530" w:type="dxa"/>
          </w:tcPr>
          <w:p w14:paraId="3669BEA2" w14:textId="77777777" w:rsidR="0065175B" w:rsidRPr="009D7125" w:rsidRDefault="0065175B" w:rsidP="0065175B">
            <w:pPr>
              <w:spacing w:before="60" w:after="60"/>
              <w:ind w:left="128" w:right="59" w:firstLine="0"/>
              <w:rPr>
                <w:sz w:val="24"/>
              </w:rPr>
            </w:pPr>
            <w:r w:rsidRPr="009D7125">
              <w:rPr>
                <w:sz w:val="24"/>
              </w:rPr>
              <w:t>De 5 à 3</w:t>
            </w:r>
          </w:p>
        </w:tc>
        <w:tc>
          <w:tcPr>
            <w:tcW w:w="1440" w:type="dxa"/>
          </w:tcPr>
          <w:p w14:paraId="11C313A9" w14:textId="77777777" w:rsidR="0065175B" w:rsidRPr="009D7125" w:rsidRDefault="0065175B" w:rsidP="0065175B">
            <w:pPr>
              <w:spacing w:before="60" w:after="60"/>
              <w:ind w:left="128" w:right="59" w:firstLine="0"/>
              <w:rPr>
                <w:sz w:val="24"/>
              </w:rPr>
            </w:pPr>
            <w:r w:rsidRPr="009D7125">
              <w:rPr>
                <w:sz w:val="24"/>
              </w:rPr>
              <w:t>3</w:t>
            </w:r>
          </w:p>
        </w:tc>
      </w:tr>
      <w:tr w:rsidR="0065175B" w:rsidRPr="005E46D3" w14:paraId="78C8713D" w14:textId="77777777">
        <w:trPr>
          <w:trHeight w:val="533"/>
        </w:trPr>
        <w:tc>
          <w:tcPr>
            <w:tcW w:w="2700" w:type="dxa"/>
          </w:tcPr>
          <w:p w14:paraId="44D08A9E" w14:textId="77777777" w:rsidR="0065175B" w:rsidRPr="009D7125" w:rsidRDefault="0065175B" w:rsidP="0065175B">
            <w:pPr>
              <w:spacing w:before="60" w:after="60"/>
              <w:ind w:left="128" w:right="59" w:firstLine="0"/>
              <w:rPr>
                <w:sz w:val="24"/>
              </w:rPr>
            </w:pPr>
            <w:r w:rsidRPr="009D7125">
              <w:rPr>
                <w:sz w:val="24"/>
              </w:rPr>
              <w:t>Terre Neuve et L</w:t>
            </w:r>
            <w:r w:rsidRPr="009D7125">
              <w:rPr>
                <w:sz w:val="24"/>
              </w:rPr>
              <w:t>a</w:t>
            </w:r>
            <w:r w:rsidRPr="009D7125">
              <w:rPr>
                <w:sz w:val="24"/>
              </w:rPr>
              <w:t>brador</w:t>
            </w:r>
          </w:p>
        </w:tc>
        <w:tc>
          <w:tcPr>
            <w:tcW w:w="1620" w:type="dxa"/>
          </w:tcPr>
          <w:p w14:paraId="0F62B18F" w14:textId="77777777" w:rsidR="0065175B" w:rsidRPr="009D7125" w:rsidRDefault="0065175B" w:rsidP="0065175B">
            <w:pPr>
              <w:spacing w:before="60" w:after="60"/>
              <w:ind w:left="128" w:right="59" w:firstLine="0"/>
              <w:rPr>
                <w:sz w:val="24"/>
              </w:rPr>
            </w:pPr>
            <w:r w:rsidRPr="009D7125">
              <w:rPr>
                <w:sz w:val="24"/>
              </w:rPr>
              <w:t>1996</w:t>
            </w:r>
          </w:p>
        </w:tc>
        <w:tc>
          <w:tcPr>
            <w:tcW w:w="1800" w:type="dxa"/>
          </w:tcPr>
          <w:p w14:paraId="58426C7A" w14:textId="77777777" w:rsidR="0065175B" w:rsidRPr="009D7125" w:rsidRDefault="0065175B" w:rsidP="0065175B">
            <w:pPr>
              <w:spacing w:before="60" w:after="60"/>
              <w:ind w:left="128" w:right="59" w:firstLine="0"/>
              <w:rPr>
                <w:sz w:val="24"/>
              </w:rPr>
            </w:pPr>
            <w:r w:rsidRPr="009D7125">
              <w:rPr>
                <w:sz w:val="24"/>
              </w:rPr>
              <w:t>Loi 8 (Commi</w:t>
            </w:r>
            <w:r w:rsidRPr="009D7125">
              <w:rPr>
                <w:sz w:val="24"/>
              </w:rPr>
              <w:t>s</w:t>
            </w:r>
            <w:r w:rsidRPr="009D7125">
              <w:rPr>
                <w:sz w:val="24"/>
              </w:rPr>
              <w:t>sion</w:t>
            </w:r>
            <w:r>
              <w:rPr>
                <w:sz w:val="24"/>
              </w:rPr>
              <w:t xml:space="preserve"> </w:t>
            </w:r>
            <w:r w:rsidRPr="009D7125">
              <w:rPr>
                <w:sz w:val="24"/>
              </w:rPr>
              <w:t>royale 1992)</w:t>
            </w:r>
          </w:p>
        </w:tc>
        <w:tc>
          <w:tcPr>
            <w:tcW w:w="1530" w:type="dxa"/>
          </w:tcPr>
          <w:p w14:paraId="074860A3" w14:textId="77777777" w:rsidR="0065175B" w:rsidRPr="009D7125" w:rsidRDefault="0065175B" w:rsidP="0065175B">
            <w:pPr>
              <w:spacing w:before="60" w:after="60"/>
              <w:ind w:left="128" w:right="59" w:firstLine="0"/>
              <w:rPr>
                <w:sz w:val="24"/>
              </w:rPr>
            </w:pPr>
            <w:r w:rsidRPr="009D7125">
              <w:rPr>
                <w:sz w:val="24"/>
              </w:rPr>
              <w:t>De 27 à 11</w:t>
            </w:r>
          </w:p>
          <w:p w14:paraId="7EAFF84C" w14:textId="77777777" w:rsidR="0065175B" w:rsidRPr="009D7125" w:rsidRDefault="0065175B" w:rsidP="0065175B">
            <w:pPr>
              <w:spacing w:before="60" w:after="60"/>
              <w:ind w:left="128" w:right="59" w:firstLine="0"/>
              <w:rPr>
                <w:sz w:val="24"/>
              </w:rPr>
            </w:pPr>
            <w:r w:rsidRPr="009D7125">
              <w:rPr>
                <w:sz w:val="24"/>
              </w:rPr>
              <w:t>De 11 à 5</w:t>
            </w:r>
          </w:p>
        </w:tc>
        <w:tc>
          <w:tcPr>
            <w:tcW w:w="1440" w:type="dxa"/>
          </w:tcPr>
          <w:p w14:paraId="3FD56675" w14:textId="77777777" w:rsidR="0065175B" w:rsidRPr="009D7125" w:rsidRDefault="0065175B" w:rsidP="0065175B">
            <w:pPr>
              <w:spacing w:before="60" w:after="60"/>
              <w:ind w:left="128" w:right="59" w:firstLine="0"/>
              <w:rPr>
                <w:sz w:val="24"/>
              </w:rPr>
            </w:pPr>
            <w:r w:rsidRPr="009D7125">
              <w:rPr>
                <w:sz w:val="24"/>
              </w:rPr>
              <w:t>5</w:t>
            </w:r>
          </w:p>
        </w:tc>
      </w:tr>
    </w:tbl>
    <w:p w14:paraId="3CAD3017" w14:textId="77777777" w:rsidR="0065175B" w:rsidRPr="005E46D3" w:rsidRDefault="0065175B" w:rsidP="0065175B">
      <w:pPr>
        <w:pStyle w:val="figst0"/>
      </w:pPr>
      <w:r w:rsidRPr="005E46D3">
        <w:t>Source : Chan &amp; al., Preliminary Synthesis of Trends in Education Policy in Canada, octobre-29, 2003, manuscript. Centre for Policy Studies in Higher Educ</w:t>
      </w:r>
      <w:r w:rsidRPr="005E46D3">
        <w:t>a</w:t>
      </w:r>
      <w:r w:rsidRPr="005E46D3">
        <w:t>tion and Training (CHET, University of British Columbia).</w:t>
      </w:r>
    </w:p>
    <w:p w14:paraId="5B1AB0CE" w14:textId="77777777" w:rsidR="0065175B" w:rsidRPr="005E46D3" w:rsidRDefault="0065175B" w:rsidP="0065175B">
      <w:pPr>
        <w:spacing w:before="120" w:after="120"/>
        <w:jc w:val="both"/>
      </w:pPr>
    </w:p>
    <w:p w14:paraId="29FDAF7F" w14:textId="77777777" w:rsidR="0065175B" w:rsidRPr="005E46D3" w:rsidRDefault="0065175B" w:rsidP="0065175B">
      <w:pPr>
        <w:spacing w:before="120" w:after="120"/>
        <w:jc w:val="both"/>
      </w:pPr>
    </w:p>
    <w:p w14:paraId="04425AC1" w14:textId="77777777" w:rsidR="0065175B" w:rsidRPr="005E46D3" w:rsidRDefault="0065175B" w:rsidP="0065175B">
      <w:pPr>
        <w:spacing w:before="120" w:after="120"/>
        <w:jc w:val="both"/>
      </w:pPr>
      <w:r w:rsidRPr="005E46D3">
        <w:lastRenderedPageBreak/>
        <w:t>La fusion des commissions scolaires apparaît comme une tendance lourde. Depuis les années 1990, toutes les provinces cherchant à r</w:t>
      </w:r>
      <w:r w:rsidRPr="005E46D3">
        <w:t>é</w:t>
      </w:r>
      <w:r w:rsidRPr="005E46D3">
        <w:t>duire leur déficit budgétaire ont entrepris de vastes programmes de compressions budgétaires en éd</w:t>
      </w:r>
      <w:r w:rsidRPr="005E46D3">
        <w:t>u</w:t>
      </w:r>
      <w:r w:rsidRPr="005E46D3">
        <w:t>cation. Ces compressions ont eu lieu dans un moment de remise en question des modèles administratifs tr</w:t>
      </w:r>
      <w:r w:rsidRPr="005E46D3">
        <w:t>a</w:t>
      </w:r>
      <w:r w:rsidRPr="005E46D3">
        <w:t>ditionnels du secteur public, de fortes interrogations ont été exprimées sur la b</w:t>
      </w:r>
      <w:r w:rsidRPr="005E46D3">
        <w:t>u</w:t>
      </w:r>
      <w:r w:rsidRPr="005E46D3">
        <w:t>reaucratisation de l’éducation et sur l’efficacité et l’efficience du palier intermédiaire et des cadres qui y tr</w:t>
      </w:r>
      <w:r w:rsidRPr="005E46D3">
        <w:t>a</w:t>
      </w:r>
      <w:r w:rsidRPr="005E46D3">
        <w:t>vaillent. L’éducation a importé le questionnement prévalant dans le secteur privé sur le “c</w:t>
      </w:r>
      <w:r w:rsidRPr="005E46D3">
        <w:t>a</w:t>
      </w:r>
      <w:r w:rsidRPr="005E46D3">
        <w:t>dre i</w:t>
      </w:r>
      <w:r w:rsidRPr="005E46D3">
        <w:t>n</w:t>
      </w:r>
      <w:r w:rsidRPr="005E46D3">
        <w:t>termédiaire” (</w:t>
      </w:r>
      <w:r w:rsidRPr="005E46D3">
        <w:rPr>
          <w:i/>
          <w:iCs/>
        </w:rPr>
        <w:t>middle-management</w:t>
      </w:r>
      <w:r w:rsidRPr="005E46D3">
        <w:t>). La fusion des commissions scolaires, dans la plupart des</w:t>
      </w:r>
      <w:r>
        <w:t xml:space="preserve"> [190] </w:t>
      </w:r>
      <w:r w:rsidRPr="005E46D3">
        <w:t>cas, a été accompagnée d’une r</w:t>
      </w:r>
      <w:r w:rsidRPr="005E46D3">
        <w:t>é</w:t>
      </w:r>
      <w:r w:rsidRPr="005E46D3">
        <w:t>duction significative de la burea</w:t>
      </w:r>
      <w:r w:rsidRPr="005E46D3">
        <w:t>u</w:t>
      </w:r>
      <w:r w:rsidRPr="005E46D3">
        <w:t>cratie intermédiaire ou d’une tentat</w:t>
      </w:r>
      <w:r w:rsidRPr="005E46D3">
        <w:t>i</w:t>
      </w:r>
      <w:r w:rsidRPr="005E46D3">
        <w:t>ve de la r</w:t>
      </w:r>
      <w:r w:rsidRPr="005E46D3">
        <w:t>é</w:t>
      </w:r>
      <w:r w:rsidRPr="005E46D3">
        <w:t>duire.</w:t>
      </w:r>
    </w:p>
    <w:p w14:paraId="00A059C3" w14:textId="77777777" w:rsidR="0065175B" w:rsidRPr="005E46D3" w:rsidRDefault="0065175B" w:rsidP="0065175B">
      <w:pPr>
        <w:spacing w:before="120" w:after="120"/>
        <w:jc w:val="both"/>
      </w:pPr>
    </w:p>
    <w:p w14:paraId="22A0316F" w14:textId="77777777" w:rsidR="0065175B" w:rsidRPr="009D7125" w:rsidRDefault="0065175B" w:rsidP="0065175B">
      <w:pPr>
        <w:pStyle w:val="b"/>
      </w:pPr>
      <w:r w:rsidRPr="009D7125">
        <w:t>La déconfessionnalisation</w:t>
      </w:r>
    </w:p>
    <w:p w14:paraId="76952D83" w14:textId="77777777" w:rsidR="0065175B" w:rsidRDefault="0065175B" w:rsidP="0065175B">
      <w:pPr>
        <w:spacing w:before="120" w:after="120"/>
        <w:jc w:val="both"/>
      </w:pPr>
    </w:p>
    <w:p w14:paraId="53FFFD27" w14:textId="77777777" w:rsidR="0065175B" w:rsidRPr="005E46D3" w:rsidRDefault="0065175B" w:rsidP="0065175B">
      <w:pPr>
        <w:spacing w:before="120" w:after="120"/>
        <w:jc w:val="both"/>
      </w:pPr>
      <w:r w:rsidRPr="005E46D3">
        <w:t>Le deuxième phénomène est celui de la déconfessionnalis</w:t>
      </w:r>
      <w:r w:rsidRPr="005E46D3">
        <w:t>a</w:t>
      </w:r>
      <w:r w:rsidRPr="005E46D3">
        <w:t>tion. À Terre</w:t>
      </w:r>
      <w:r>
        <w:t>-</w:t>
      </w:r>
      <w:r w:rsidRPr="005E46D3">
        <w:t>Neuve et Labrador et au Québec, les fusions ont donné lieu à une restructuration du palier intermédiaire abandonnant des bases strictement religieuses. À Terre</w:t>
      </w:r>
      <w:r>
        <w:t>-</w:t>
      </w:r>
      <w:r w:rsidRPr="005E46D3">
        <w:t>Neuve et Labrador, il a fallu deux r</w:t>
      </w:r>
      <w:r w:rsidRPr="005E46D3">
        <w:t>é</w:t>
      </w:r>
      <w:r w:rsidRPr="005E46D3">
        <w:t>férendums pour modifier l’article 17 de l’entente d’intégration de la province à la Confédération canadienne. Une forte résistance des Égl</w:t>
      </w:r>
      <w:r w:rsidRPr="005E46D3">
        <w:t>i</w:t>
      </w:r>
      <w:r w:rsidRPr="005E46D3">
        <w:t>ses catholique et de la Pentecôte a coloré le processus de déconfe</w:t>
      </w:r>
      <w:r w:rsidRPr="005E46D3">
        <w:t>s</w:t>
      </w:r>
      <w:r w:rsidRPr="005E46D3">
        <w:t>sionnalisation. Au Québec, la déconfessionnalisation des commissions et du système scolaire reconstruit sur une base linguistique, s’est réal</w:t>
      </w:r>
      <w:r w:rsidRPr="005E46D3">
        <w:t>i</w:t>
      </w:r>
      <w:r w:rsidRPr="005E46D3">
        <w:t>sée sans difficultés majeures ni obstruction systématique des Églises catholique et protestante. Comme si, au Québec, tous les partis polit</w:t>
      </w:r>
      <w:r w:rsidRPr="005E46D3">
        <w:t>i</w:t>
      </w:r>
      <w:r w:rsidRPr="005E46D3">
        <w:t>ques et une portion significative de l’opinion publique, habitant les grands centres urbains pluriethniques, reconnaissaient que la ge</w:t>
      </w:r>
      <w:r w:rsidRPr="005E46D3">
        <w:t>s</w:t>
      </w:r>
      <w:r w:rsidRPr="005E46D3">
        <w:t>tion du pluralisme religieux en milieu scolaire, dans l’actuelle conjoncture des chartes de droits et libertés, rendait imp</w:t>
      </w:r>
      <w:r w:rsidRPr="005E46D3">
        <w:t>é</w:t>
      </w:r>
      <w:r w:rsidRPr="005E46D3">
        <w:t>rieuse la fin de l’utilisation de la clause dérogatoire permettant le maintien de struct</w:t>
      </w:r>
      <w:r w:rsidRPr="005E46D3">
        <w:t>u</w:t>
      </w:r>
      <w:r w:rsidRPr="005E46D3">
        <w:t>res publiques confessionnelles. L’argument de la coh</w:t>
      </w:r>
      <w:r w:rsidRPr="005E46D3">
        <w:t>é</w:t>
      </w:r>
      <w:r w:rsidRPr="005E46D3">
        <w:t>sion sociale au sein d’une société civile de plus en plus diversifiée et pluraliste est apparu fo</w:t>
      </w:r>
      <w:r w:rsidRPr="005E46D3">
        <w:t>n</w:t>
      </w:r>
      <w:r w:rsidRPr="005E46D3">
        <w:t>dé et rassembleur.</w:t>
      </w:r>
    </w:p>
    <w:p w14:paraId="1E9F9B75" w14:textId="77777777" w:rsidR="0065175B" w:rsidRPr="005E46D3" w:rsidRDefault="0065175B" w:rsidP="0065175B">
      <w:pPr>
        <w:spacing w:before="120" w:after="120"/>
        <w:jc w:val="both"/>
      </w:pPr>
      <w:r>
        <w:br w:type="page"/>
      </w:r>
    </w:p>
    <w:p w14:paraId="6C1BAC9F" w14:textId="77777777" w:rsidR="0065175B" w:rsidRPr="009D7125" w:rsidRDefault="0065175B" w:rsidP="0065175B">
      <w:pPr>
        <w:pStyle w:val="b"/>
      </w:pPr>
      <w:r w:rsidRPr="009D7125">
        <w:t>La centralisation et la décentralisation</w:t>
      </w:r>
    </w:p>
    <w:p w14:paraId="7CBA36C9" w14:textId="77777777" w:rsidR="0065175B" w:rsidRDefault="0065175B" w:rsidP="0065175B">
      <w:pPr>
        <w:spacing w:before="120" w:after="120"/>
        <w:jc w:val="both"/>
      </w:pPr>
    </w:p>
    <w:p w14:paraId="0ED4B3EF" w14:textId="77777777" w:rsidR="0065175B" w:rsidRPr="005E46D3" w:rsidRDefault="0065175B" w:rsidP="0065175B">
      <w:pPr>
        <w:spacing w:before="120" w:after="120"/>
        <w:jc w:val="both"/>
      </w:pPr>
      <w:r w:rsidRPr="005E46D3">
        <w:t>Elles forment un couple inséparable : la seconde a besoin de la première pour se déployer et dans la plupart des syst</w:t>
      </w:r>
      <w:r w:rsidRPr="005E46D3">
        <w:t>è</w:t>
      </w:r>
      <w:r w:rsidRPr="005E46D3">
        <w:t>mes éducatifs, les deux processus sont observés sur différentes dimensions. Si certa</w:t>
      </w:r>
      <w:r w:rsidRPr="005E46D3">
        <w:t>i</w:t>
      </w:r>
      <w:r w:rsidRPr="005E46D3">
        <w:t>nes provinces, parmi les plus importantes (Alberta, Ont</w:t>
      </w:r>
      <w:r w:rsidRPr="005E46D3">
        <w:t>a</w:t>
      </w:r>
      <w:r w:rsidRPr="005E46D3">
        <w:t>rio, Québec) ont désormais ou depuis lon</w:t>
      </w:r>
      <w:r w:rsidRPr="005E46D3">
        <w:t>g</w:t>
      </w:r>
      <w:r w:rsidRPr="005E46D3">
        <w:t>temps un financement centralisé, si d’autres cherchent des moyens de limiter les coûts de l’éducation en transférant des charges au palier intermédiaire, la centralisation du curriculum et de l’évaluation standardisée semble une tendance gén</w:t>
      </w:r>
      <w:r w:rsidRPr="005E46D3">
        <w:t>é</w:t>
      </w:r>
      <w:r w:rsidRPr="005E46D3">
        <w:t>rale, à laquelle aucune province et a</w:t>
      </w:r>
      <w:r w:rsidRPr="005E46D3">
        <w:t>u</w:t>
      </w:r>
      <w:r w:rsidRPr="005E46D3">
        <w:t>cun territoire n’échappent. Cette forte tendance est caractéristique de la gouvernance axée sur les résu</w:t>
      </w:r>
      <w:r w:rsidRPr="005E46D3">
        <w:t>l</w:t>
      </w:r>
      <w:r w:rsidRPr="005E46D3">
        <w:t>tats, analysée plus haut à propos du CMEC, des consortiums interpr</w:t>
      </w:r>
      <w:r w:rsidRPr="005E46D3">
        <w:t>o</w:t>
      </w:r>
      <w:r w:rsidRPr="005E46D3">
        <w:t>vinciaux en mati</w:t>
      </w:r>
      <w:r w:rsidRPr="005E46D3">
        <w:t>è</w:t>
      </w:r>
      <w:r w:rsidRPr="005E46D3">
        <w:t>re curriculaire et des programmes internationaux d’évaluation des résultats scolaires, comme PISA.</w:t>
      </w:r>
    </w:p>
    <w:p w14:paraId="1107957E" w14:textId="77777777" w:rsidR="0065175B" w:rsidRPr="005E46D3" w:rsidRDefault="0065175B" w:rsidP="0065175B">
      <w:pPr>
        <w:spacing w:before="120" w:after="120"/>
        <w:jc w:val="both"/>
      </w:pPr>
      <w:r w:rsidRPr="005E46D3">
        <w:t>Quant à la décentralisation, il n’est pas toujours aisé d’en dégager les tendances claires. S’agit-il de décentralisation du ministère vers les commissions scolaires, des commissions scolaires vers les établiss</w:t>
      </w:r>
      <w:r w:rsidRPr="005E46D3">
        <w:t>e</w:t>
      </w:r>
      <w:r w:rsidRPr="005E46D3">
        <w:t>ments ou les deux à la fois ? Par exemple, la Colombie-Britannique a accordé davantage de pouvoir de gestion des ressources humaines et des relations de travail aux commissions scolaires, au nom de la flex</w:t>
      </w:r>
      <w:r w:rsidRPr="005E46D3">
        <w:t>i</w:t>
      </w:r>
      <w:r w:rsidRPr="005E46D3">
        <w:t>bilité managériale. L’Alberta a décentralisé à partir du milieu des a</w:t>
      </w:r>
      <w:r w:rsidRPr="005E46D3">
        <w:t>n</w:t>
      </w:r>
      <w:r w:rsidRPr="005E46D3">
        <w:t>nées 1980 les pouvoirs de la commission scolaire d’Edmonton vers les établi</w:t>
      </w:r>
      <w:r w:rsidRPr="005E46D3">
        <w:t>s</w:t>
      </w:r>
      <w:r w:rsidRPr="005E46D3">
        <w:t>sements sous sa responsabilité, puisque, dorénavant, plus de 75% du</w:t>
      </w:r>
      <w:r>
        <w:t xml:space="preserve"> [191] </w:t>
      </w:r>
      <w:r w:rsidRPr="005E46D3">
        <w:t>budget des écoles leur sont alloués et gérés par elles. Au Québec, les conseils d’établissement sont décisionnels sur des objets impo</w:t>
      </w:r>
      <w:r w:rsidRPr="005E46D3">
        <w:t>r</w:t>
      </w:r>
      <w:r w:rsidRPr="005E46D3">
        <w:t>tants : le plan de réussite de l’école, son budget, sa marge de manœ</w:t>
      </w:r>
      <w:r w:rsidRPr="005E46D3">
        <w:t>u</w:t>
      </w:r>
      <w:r w:rsidRPr="005E46D3">
        <w:t>vre curriculaire, ses démarches d’autofinancement et de part</w:t>
      </w:r>
      <w:r w:rsidRPr="005E46D3">
        <w:t>e</w:t>
      </w:r>
      <w:r w:rsidRPr="005E46D3">
        <w:t>nariats locaux, etc.</w:t>
      </w:r>
    </w:p>
    <w:p w14:paraId="6AFEC90E" w14:textId="77777777" w:rsidR="0065175B" w:rsidRPr="005E46D3" w:rsidRDefault="0065175B" w:rsidP="0065175B">
      <w:pPr>
        <w:spacing w:before="120" w:after="120"/>
        <w:jc w:val="both"/>
      </w:pPr>
    </w:p>
    <w:p w14:paraId="4B740676" w14:textId="77777777" w:rsidR="0065175B" w:rsidRPr="009D7125" w:rsidRDefault="0065175B" w:rsidP="0065175B">
      <w:pPr>
        <w:pStyle w:val="b"/>
      </w:pPr>
      <w:r w:rsidRPr="009D7125">
        <w:t>La participation des parents</w:t>
      </w:r>
    </w:p>
    <w:p w14:paraId="3D28B7C1" w14:textId="77777777" w:rsidR="0065175B" w:rsidRDefault="0065175B" w:rsidP="0065175B">
      <w:pPr>
        <w:spacing w:before="120" w:after="120"/>
        <w:jc w:val="both"/>
      </w:pPr>
    </w:p>
    <w:p w14:paraId="5E1E4D9D" w14:textId="77777777" w:rsidR="0065175B" w:rsidRPr="005E46D3" w:rsidRDefault="0065175B" w:rsidP="0065175B">
      <w:pPr>
        <w:spacing w:before="120" w:after="120"/>
        <w:jc w:val="both"/>
      </w:pPr>
      <w:r w:rsidRPr="005E46D3">
        <w:t>Si les commissions scolaires deviennent des entités pol</w:t>
      </w:r>
      <w:r w:rsidRPr="005E46D3">
        <w:t>i</w:t>
      </w:r>
      <w:r w:rsidRPr="005E46D3">
        <w:t>tiques et administratives de plus en plus éloignées des m</w:t>
      </w:r>
      <w:r w:rsidRPr="005E46D3">
        <w:t>i</w:t>
      </w:r>
      <w:r w:rsidRPr="005E46D3">
        <w:t>lieux locaux, il peut paraître approprié de créer et de renforcer la part</w:t>
      </w:r>
      <w:r w:rsidRPr="005E46D3">
        <w:t>i</w:t>
      </w:r>
      <w:r w:rsidRPr="005E46D3">
        <w:t xml:space="preserve">cipation parentale à </w:t>
      </w:r>
      <w:r w:rsidRPr="005E46D3">
        <w:lastRenderedPageBreak/>
        <w:t>la gestion des établissements scolaires. C’est ce que firent les provi</w:t>
      </w:r>
      <w:r w:rsidRPr="005E46D3">
        <w:t>n</w:t>
      </w:r>
      <w:r w:rsidRPr="005E46D3">
        <w:t>ces et les territoires au cours de la décennie 1990. Le tableau 2 prése</w:t>
      </w:r>
      <w:r w:rsidRPr="005E46D3">
        <w:t>n</w:t>
      </w:r>
      <w:r w:rsidRPr="005E46D3">
        <w:t>te les conseils d’établissement à travers le Canada.</w:t>
      </w:r>
    </w:p>
    <w:p w14:paraId="4B946C75" w14:textId="77777777" w:rsidR="0065175B" w:rsidRPr="005E46D3" w:rsidRDefault="0065175B" w:rsidP="0065175B">
      <w:pPr>
        <w:spacing w:before="120" w:after="120"/>
        <w:jc w:val="both"/>
      </w:pPr>
      <w:r w:rsidRPr="005E46D3">
        <w:t>Tout comme pour les fusions, la problématique de la partic</w:t>
      </w:r>
      <w:r w:rsidRPr="005E46D3">
        <w:t>i</w:t>
      </w:r>
      <w:r w:rsidRPr="005E46D3">
        <w:t>pation des parents et de la communauté locale n’est pas nouvelle. La trad</w:t>
      </w:r>
      <w:r w:rsidRPr="005E46D3">
        <w:t>i</w:t>
      </w:r>
      <w:r w:rsidRPr="005E46D3">
        <w:t>tion nord-américaine conçoit l’école comme une institution comm</w:t>
      </w:r>
      <w:r w:rsidRPr="005E46D3">
        <w:t>u</w:t>
      </w:r>
      <w:r w:rsidRPr="005E46D3">
        <w:t>nautaire, devant refléter les valeurs du milieu, ce qui donne droit de parole aux parents. La no</w:t>
      </w:r>
      <w:r w:rsidRPr="005E46D3">
        <w:t>u</w:t>
      </w:r>
      <w:r w:rsidRPr="005E46D3">
        <w:t>veauté des années 1990 est de rendre à la fois les parents plus actifs dans l’amélioration de l’école et des résu</w:t>
      </w:r>
      <w:r w:rsidRPr="005E46D3">
        <w:t>l</w:t>
      </w:r>
      <w:r w:rsidRPr="005E46D3">
        <w:t>tats des élèves et l’école – et ses acteurs – formellement imputables de leurs actes auprès d’instances externes, dont les parents. S’il y a des degrés dans cette volonté, partout l’établissement semble pénétré d’une logique managériale inspirée du “</w:t>
      </w:r>
      <w:r w:rsidRPr="005E46D3">
        <w:rPr>
          <w:i/>
          <w:iCs/>
        </w:rPr>
        <w:t>New public management</w:t>
      </w:r>
      <w:r w:rsidRPr="005E46D3">
        <w:t>”, so</w:t>
      </w:r>
      <w:r w:rsidRPr="005E46D3">
        <w:t>u</w:t>
      </w:r>
      <w:r w:rsidRPr="005E46D3">
        <w:t>cieuse d’efficacité et d’efficience suivant des normes externes.</w:t>
      </w:r>
    </w:p>
    <w:p w14:paraId="181197FA" w14:textId="77777777" w:rsidR="0065175B" w:rsidRPr="005E46D3" w:rsidRDefault="0065175B" w:rsidP="0065175B">
      <w:pPr>
        <w:spacing w:before="120" w:after="120"/>
        <w:jc w:val="both"/>
      </w:pPr>
      <w:r w:rsidRPr="005E46D3">
        <w:t>Le développement des conseils d’établissement soulève pl</w:t>
      </w:r>
      <w:r w:rsidRPr="005E46D3">
        <w:t>u</w:t>
      </w:r>
      <w:r w:rsidRPr="005E46D3">
        <w:t>sieurs questions. En premier lieu, s’agit-il d’une stratégie pour limiter le pouvoir et l’influence des acteurs internes de l’éducation – les ense</w:t>
      </w:r>
      <w:r w:rsidRPr="005E46D3">
        <w:t>i</w:t>
      </w:r>
      <w:r w:rsidRPr="005E46D3">
        <w:t>gnants et les directeurs – au profit des usagers et des parents conso</w:t>
      </w:r>
      <w:r w:rsidRPr="005E46D3">
        <w:t>m</w:t>
      </w:r>
      <w:r w:rsidRPr="005E46D3">
        <w:t>mateurs de services éducatifs ? En s</w:t>
      </w:r>
      <w:r w:rsidRPr="005E46D3">
        <w:t>e</w:t>
      </w:r>
      <w:r w:rsidRPr="005E46D3">
        <w:t>cond lieu, l’obligation faite un peu partout aux conseils d’établissement de produire des plans de r</w:t>
      </w:r>
      <w:r w:rsidRPr="005E46D3">
        <w:t>é</w:t>
      </w:r>
      <w:r w:rsidRPr="005E46D3">
        <w:t>ussite tenant compte des paramètres quantitatifs de la réussite scolaire fournis par les instances gouvernementales provinciales n’en fait-elle pas des o</w:t>
      </w:r>
      <w:r w:rsidRPr="005E46D3">
        <w:t>u</w:t>
      </w:r>
      <w:r w:rsidRPr="005E46D3">
        <w:t>tils de l’administration centrale – dans sa volonté d’intégration verticale des paliers du système éduc</w:t>
      </w:r>
      <w:r w:rsidRPr="005E46D3">
        <w:t>a</w:t>
      </w:r>
      <w:r w:rsidRPr="005E46D3">
        <w:t>tif sur des normes externes de rendement et d’efficacité ? Tout porte à croire que, sauf exce</w:t>
      </w:r>
      <w:r w:rsidRPr="005E46D3">
        <w:t>p</w:t>
      </w:r>
      <w:r w:rsidRPr="005E46D3">
        <w:t>tion, les conseils d’établissement ne constituent ni de véritables contre-pouvoirs ni des pouvoirs dotés d’une capacité politique d’autonomie par rapport à la commission scolaire ou à l’instance pr</w:t>
      </w:r>
      <w:r w:rsidRPr="005E46D3">
        <w:t>o</w:t>
      </w:r>
      <w:r w:rsidRPr="005E46D3">
        <w:t>vinciale. Du moins pour le moment.</w:t>
      </w:r>
    </w:p>
    <w:p w14:paraId="760012A1" w14:textId="77777777" w:rsidR="0065175B" w:rsidRPr="005E46D3" w:rsidRDefault="0065175B" w:rsidP="0065175B">
      <w:pPr>
        <w:spacing w:before="120" w:after="120"/>
        <w:jc w:val="both"/>
      </w:pPr>
      <w:r w:rsidRPr="005E46D3">
        <w:t>En troisième lieu, dans un moment de restrictions budgéta</w:t>
      </w:r>
      <w:r w:rsidRPr="005E46D3">
        <w:t>i</w:t>
      </w:r>
      <w:r w:rsidRPr="005E46D3">
        <w:t>res, les conseils d’établissement constituent-ils un outil de re</w:t>
      </w:r>
      <w:r w:rsidRPr="005E46D3">
        <w:t>s</w:t>
      </w:r>
      <w:r w:rsidRPr="005E46D3">
        <w:t>ponsabilisation accrue des acteurs locaux pour la quête de fonds compensatoires ? Ou, comme le suggère Weiner (2003), un symptôme de privatisation furt</w:t>
      </w:r>
      <w:r w:rsidRPr="005E46D3">
        <w:t>i</w:t>
      </w:r>
      <w:r w:rsidRPr="005E46D3">
        <w:t>ve du financement de l’éducation publique ? En quatrième lieu, les rapports e</w:t>
      </w:r>
      <w:r w:rsidRPr="005E46D3">
        <w:t>n</w:t>
      </w:r>
      <w:r w:rsidRPr="005E46D3">
        <w:t>tre la commission scolaire et les établissements ont-ils été transformés par la mise sur pied des conseils d’établissement ?</w:t>
      </w:r>
    </w:p>
    <w:p w14:paraId="7BD7AF42" w14:textId="77777777" w:rsidR="0065175B" w:rsidRPr="005E46D3" w:rsidRDefault="0065175B" w:rsidP="0065175B">
      <w:pPr>
        <w:pStyle w:val="p"/>
      </w:pPr>
      <w:r w:rsidRPr="005E46D3">
        <w:br w:type="page"/>
      </w:r>
      <w:r>
        <w:lastRenderedPageBreak/>
        <w:t>[192]</w:t>
      </w:r>
    </w:p>
    <w:p w14:paraId="1C6B7216" w14:textId="77777777" w:rsidR="0065175B" w:rsidRPr="005E46D3" w:rsidRDefault="0065175B" w:rsidP="0065175B">
      <w:pPr>
        <w:spacing w:before="120" w:after="120"/>
        <w:jc w:val="both"/>
      </w:pPr>
    </w:p>
    <w:p w14:paraId="61047A40" w14:textId="77777777" w:rsidR="0065175B" w:rsidRDefault="0065175B" w:rsidP="0065175B">
      <w:pPr>
        <w:pStyle w:val="figtitre"/>
      </w:pPr>
      <w:r>
        <w:t>Tableau 2</w:t>
      </w:r>
    </w:p>
    <w:p w14:paraId="03D2D54D" w14:textId="77777777" w:rsidR="0065175B" w:rsidRPr="005E46D3" w:rsidRDefault="0065175B" w:rsidP="0065175B">
      <w:pPr>
        <w:pStyle w:val="figtitrest"/>
      </w:pPr>
      <w:r w:rsidRPr="005E46D3">
        <w:t>Conseils d’écoles par province et territo</w:t>
      </w:r>
      <w:r w:rsidRPr="005E46D3">
        <w:t>i</w:t>
      </w:r>
      <w:r w:rsidRPr="005E46D3">
        <w:t>res du Canada</w:t>
      </w:r>
    </w:p>
    <w:tbl>
      <w:tblPr>
        <w:tblW w:w="0" w:type="auto"/>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810"/>
        <w:gridCol w:w="1667"/>
        <w:gridCol w:w="3463"/>
      </w:tblGrid>
      <w:tr w:rsidR="0065175B" w:rsidRPr="005E46D3" w14:paraId="4D902B19" w14:textId="77777777">
        <w:trPr>
          <w:trHeight w:val="760"/>
          <w:tblHeader/>
        </w:trPr>
        <w:tc>
          <w:tcPr>
            <w:tcW w:w="2880" w:type="dxa"/>
            <w:shd w:val="clear" w:color="auto" w:fill="E5E5E5"/>
          </w:tcPr>
          <w:p w14:paraId="4A4D9B9A" w14:textId="77777777" w:rsidR="0065175B" w:rsidRPr="009D7125" w:rsidRDefault="0065175B" w:rsidP="0065175B">
            <w:pPr>
              <w:spacing w:before="60" w:after="60"/>
              <w:ind w:left="61" w:right="91" w:firstLine="0"/>
              <w:jc w:val="both"/>
              <w:rPr>
                <w:sz w:val="24"/>
              </w:rPr>
            </w:pPr>
            <w:r w:rsidRPr="009D7125">
              <w:rPr>
                <w:sz w:val="24"/>
              </w:rPr>
              <w:t>Province</w:t>
            </w:r>
            <w:r>
              <w:rPr>
                <w:sz w:val="24"/>
              </w:rPr>
              <w:br/>
            </w:r>
            <w:r w:rsidRPr="009D7125">
              <w:rPr>
                <w:sz w:val="24"/>
              </w:rPr>
              <w:t>Nom du Conseil</w:t>
            </w:r>
          </w:p>
        </w:tc>
        <w:tc>
          <w:tcPr>
            <w:tcW w:w="810" w:type="dxa"/>
            <w:shd w:val="clear" w:color="auto" w:fill="E5E5E5"/>
          </w:tcPr>
          <w:p w14:paraId="1E57385E" w14:textId="77777777" w:rsidR="0065175B" w:rsidRPr="009D7125" w:rsidRDefault="0065175B" w:rsidP="0065175B">
            <w:pPr>
              <w:spacing w:before="60" w:after="60"/>
              <w:ind w:left="61" w:right="91" w:firstLine="0"/>
              <w:jc w:val="both"/>
              <w:rPr>
                <w:sz w:val="24"/>
              </w:rPr>
            </w:pPr>
            <w:r w:rsidRPr="009D7125">
              <w:rPr>
                <w:sz w:val="24"/>
              </w:rPr>
              <w:t>Année</w:t>
            </w:r>
          </w:p>
        </w:tc>
        <w:tc>
          <w:tcPr>
            <w:tcW w:w="1667" w:type="dxa"/>
            <w:shd w:val="clear" w:color="auto" w:fill="E5E5E5"/>
          </w:tcPr>
          <w:p w14:paraId="131A2453" w14:textId="77777777" w:rsidR="0065175B" w:rsidRPr="009D7125" w:rsidRDefault="0065175B" w:rsidP="0065175B">
            <w:pPr>
              <w:spacing w:before="60" w:after="60"/>
              <w:ind w:left="61" w:right="91" w:firstLine="0"/>
              <w:rPr>
                <w:sz w:val="24"/>
              </w:rPr>
            </w:pPr>
            <w:r w:rsidRPr="009D7125">
              <w:rPr>
                <w:sz w:val="24"/>
              </w:rPr>
              <w:t>Législ</w:t>
            </w:r>
            <w:r w:rsidRPr="009D7125">
              <w:rPr>
                <w:sz w:val="24"/>
              </w:rPr>
              <w:t>a</w:t>
            </w:r>
            <w:r w:rsidRPr="009D7125">
              <w:rPr>
                <w:sz w:val="24"/>
              </w:rPr>
              <w:t>tion</w:t>
            </w:r>
            <w:r>
              <w:rPr>
                <w:sz w:val="24"/>
              </w:rPr>
              <w:t xml:space="preserve"> </w:t>
            </w:r>
            <w:r w:rsidRPr="009D7125">
              <w:rPr>
                <w:sz w:val="24"/>
              </w:rPr>
              <w:t>et doc</w:t>
            </w:r>
            <w:r w:rsidRPr="009D7125">
              <w:rPr>
                <w:sz w:val="24"/>
              </w:rPr>
              <w:t>u</w:t>
            </w:r>
            <w:r w:rsidRPr="009D7125">
              <w:rPr>
                <w:sz w:val="24"/>
              </w:rPr>
              <w:t>ments de</w:t>
            </w:r>
            <w:r>
              <w:rPr>
                <w:sz w:val="24"/>
              </w:rPr>
              <w:t xml:space="preserve"> </w:t>
            </w:r>
            <w:r w:rsidRPr="009D7125">
              <w:rPr>
                <w:sz w:val="24"/>
              </w:rPr>
              <w:t>référence</w:t>
            </w:r>
          </w:p>
        </w:tc>
        <w:tc>
          <w:tcPr>
            <w:tcW w:w="3463" w:type="dxa"/>
            <w:shd w:val="clear" w:color="auto" w:fill="E5E5E5"/>
          </w:tcPr>
          <w:p w14:paraId="6CF04424" w14:textId="77777777" w:rsidR="0065175B" w:rsidRPr="009D7125" w:rsidRDefault="0065175B" w:rsidP="0065175B">
            <w:pPr>
              <w:spacing w:before="60" w:after="60"/>
              <w:ind w:left="61" w:right="91" w:firstLine="0"/>
              <w:jc w:val="both"/>
              <w:rPr>
                <w:sz w:val="24"/>
              </w:rPr>
            </w:pPr>
          </w:p>
          <w:p w14:paraId="5872F790" w14:textId="77777777" w:rsidR="0065175B" w:rsidRPr="009D7125" w:rsidRDefault="0065175B" w:rsidP="0065175B">
            <w:pPr>
              <w:spacing w:before="60" w:after="60"/>
              <w:ind w:left="61" w:right="91" w:firstLine="0"/>
              <w:jc w:val="both"/>
              <w:rPr>
                <w:sz w:val="24"/>
              </w:rPr>
            </w:pPr>
            <w:r w:rsidRPr="009D7125">
              <w:rPr>
                <w:sz w:val="24"/>
              </w:rPr>
              <w:t>Composition</w:t>
            </w:r>
          </w:p>
        </w:tc>
      </w:tr>
      <w:tr w:rsidR="0065175B" w:rsidRPr="005E46D3" w14:paraId="43EF7DAD" w14:textId="77777777">
        <w:trPr>
          <w:trHeight w:val="461"/>
        </w:trPr>
        <w:tc>
          <w:tcPr>
            <w:tcW w:w="2880" w:type="dxa"/>
          </w:tcPr>
          <w:p w14:paraId="2ED24B7B" w14:textId="77777777" w:rsidR="0065175B" w:rsidRPr="009D7125" w:rsidRDefault="0065175B" w:rsidP="0065175B">
            <w:pPr>
              <w:spacing w:before="60" w:after="60"/>
              <w:ind w:left="61" w:right="91" w:firstLine="0"/>
              <w:rPr>
                <w:sz w:val="24"/>
              </w:rPr>
            </w:pPr>
            <w:r w:rsidRPr="009D7125">
              <w:rPr>
                <w:sz w:val="24"/>
              </w:rPr>
              <w:t>Colombie Br</w:t>
            </w:r>
            <w:r w:rsidRPr="009D7125">
              <w:rPr>
                <w:sz w:val="24"/>
              </w:rPr>
              <w:t>i</w:t>
            </w:r>
            <w:r w:rsidRPr="009D7125">
              <w:rPr>
                <w:sz w:val="24"/>
              </w:rPr>
              <w:t>tannique School Planning Cou</w:t>
            </w:r>
            <w:r w:rsidRPr="009D7125">
              <w:rPr>
                <w:sz w:val="24"/>
              </w:rPr>
              <w:t>n</w:t>
            </w:r>
            <w:r w:rsidRPr="009D7125">
              <w:rPr>
                <w:sz w:val="24"/>
              </w:rPr>
              <w:t>cils</w:t>
            </w:r>
          </w:p>
        </w:tc>
        <w:tc>
          <w:tcPr>
            <w:tcW w:w="810" w:type="dxa"/>
          </w:tcPr>
          <w:p w14:paraId="54A668A7" w14:textId="77777777" w:rsidR="0065175B" w:rsidRPr="009D7125" w:rsidRDefault="0065175B" w:rsidP="0065175B">
            <w:pPr>
              <w:spacing w:before="60" w:after="60"/>
              <w:ind w:left="61" w:right="91" w:firstLine="0"/>
              <w:rPr>
                <w:sz w:val="24"/>
              </w:rPr>
            </w:pPr>
            <w:r w:rsidRPr="009D7125">
              <w:rPr>
                <w:sz w:val="24"/>
              </w:rPr>
              <w:t>2002</w:t>
            </w:r>
          </w:p>
        </w:tc>
        <w:tc>
          <w:tcPr>
            <w:tcW w:w="1667" w:type="dxa"/>
          </w:tcPr>
          <w:p w14:paraId="0F09A6A3" w14:textId="77777777" w:rsidR="0065175B" w:rsidRPr="009D7125" w:rsidRDefault="0065175B" w:rsidP="0065175B">
            <w:pPr>
              <w:spacing w:before="60" w:after="60"/>
              <w:ind w:left="61" w:right="91" w:firstLine="0"/>
              <w:rPr>
                <w:sz w:val="24"/>
              </w:rPr>
            </w:pPr>
            <w:r w:rsidRPr="009D7125">
              <w:rPr>
                <w:sz w:val="24"/>
              </w:rPr>
              <w:t>Loi 34 School Board Flexib</w:t>
            </w:r>
            <w:r w:rsidRPr="009D7125">
              <w:rPr>
                <w:sz w:val="24"/>
              </w:rPr>
              <w:t>i</w:t>
            </w:r>
            <w:r w:rsidRPr="009D7125">
              <w:rPr>
                <w:sz w:val="24"/>
              </w:rPr>
              <w:t>lity Bill</w:t>
            </w:r>
          </w:p>
        </w:tc>
        <w:tc>
          <w:tcPr>
            <w:tcW w:w="3463" w:type="dxa"/>
          </w:tcPr>
          <w:p w14:paraId="004A7823" w14:textId="77777777" w:rsidR="0065175B" w:rsidRPr="009D7125" w:rsidRDefault="0065175B" w:rsidP="0065175B">
            <w:pPr>
              <w:spacing w:before="60" w:after="60"/>
              <w:ind w:left="61" w:right="91" w:firstLine="0"/>
              <w:rPr>
                <w:sz w:val="24"/>
              </w:rPr>
            </w:pPr>
            <w:r w:rsidRPr="009D7125">
              <w:rPr>
                <w:sz w:val="24"/>
              </w:rPr>
              <w:t>3 parents, 1 enseignant, le dire</w:t>
            </w:r>
            <w:r w:rsidRPr="009D7125">
              <w:rPr>
                <w:sz w:val="24"/>
              </w:rPr>
              <w:t>c</w:t>
            </w:r>
            <w:r w:rsidRPr="009D7125">
              <w:rPr>
                <w:sz w:val="24"/>
              </w:rPr>
              <w:t>teur</w:t>
            </w:r>
          </w:p>
        </w:tc>
      </w:tr>
      <w:tr w:rsidR="0065175B" w:rsidRPr="005E46D3" w14:paraId="740C8415" w14:textId="77777777">
        <w:trPr>
          <w:trHeight w:val="1068"/>
        </w:trPr>
        <w:tc>
          <w:tcPr>
            <w:tcW w:w="2880" w:type="dxa"/>
          </w:tcPr>
          <w:p w14:paraId="55B54112" w14:textId="77777777" w:rsidR="0065175B" w:rsidRPr="009D7125" w:rsidRDefault="0065175B" w:rsidP="0065175B">
            <w:pPr>
              <w:spacing w:before="60" w:after="60"/>
              <w:ind w:left="61" w:right="91" w:firstLine="0"/>
              <w:rPr>
                <w:sz w:val="24"/>
              </w:rPr>
            </w:pPr>
            <w:r w:rsidRPr="009D7125">
              <w:rPr>
                <w:sz w:val="24"/>
              </w:rPr>
              <w:t>Alberta</w:t>
            </w:r>
          </w:p>
          <w:p w14:paraId="258E34FE" w14:textId="77777777" w:rsidR="0065175B" w:rsidRPr="009D7125" w:rsidRDefault="0065175B" w:rsidP="0065175B">
            <w:pPr>
              <w:spacing w:before="60" w:after="60"/>
              <w:ind w:left="61" w:right="91" w:firstLine="0"/>
              <w:rPr>
                <w:sz w:val="24"/>
              </w:rPr>
            </w:pPr>
            <w:r w:rsidRPr="009D7125">
              <w:rPr>
                <w:sz w:val="24"/>
              </w:rPr>
              <w:t>School Cou</w:t>
            </w:r>
            <w:r w:rsidRPr="009D7125">
              <w:rPr>
                <w:sz w:val="24"/>
              </w:rPr>
              <w:t>n</w:t>
            </w:r>
            <w:r w:rsidRPr="009D7125">
              <w:rPr>
                <w:sz w:val="24"/>
              </w:rPr>
              <w:t>cils</w:t>
            </w:r>
          </w:p>
        </w:tc>
        <w:tc>
          <w:tcPr>
            <w:tcW w:w="810" w:type="dxa"/>
          </w:tcPr>
          <w:p w14:paraId="5B93CBDD" w14:textId="77777777" w:rsidR="0065175B" w:rsidRPr="009D7125" w:rsidRDefault="0065175B" w:rsidP="0065175B">
            <w:pPr>
              <w:spacing w:before="60" w:after="60"/>
              <w:ind w:left="61" w:right="91" w:firstLine="0"/>
              <w:rPr>
                <w:sz w:val="24"/>
              </w:rPr>
            </w:pPr>
            <w:r w:rsidRPr="009D7125">
              <w:rPr>
                <w:sz w:val="24"/>
              </w:rPr>
              <w:t>1995</w:t>
            </w:r>
          </w:p>
        </w:tc>
        <w:tc>
          <w:tcPr>
            <w:tcW w:w="1667" w:type="dxa"/>
          </w:tcPr>
          <w:p w14:paraId="5000C416" w14:textId="77777777" w:rsidR="0065175B" w:rsidRPr="009D7125" w:rsidRDefault="0065175B" w:rsidP="0065175B">
            <w:pPr>
              <w:spacing w:before="60" w:after="60"/>
              <w:ind w:left="61" w:right="91" w:firstLine="0"/>
              <w:rPr>
                <w:sz w:val="24"/>
              </w:rPr>
            </w:pPr>
            <w:r w:rsidRPr="009D7125">
              <w:rPr>
                <w:sz w:val="24"/>
              </w:rPr>
              <w:t>School Act ; revised Policy 1.8.3 (2003)</w:t>
            </w:r>
          </w:p>
        </w:tc>
        <w:tc>
          <w:tcPr>
            <w:tcW w:w="3463" w:type="dxa"/>
          </w:tcPr>
          <w:p w14:paraId="486F61EC" w14:textId="77777777" w:rsidR="0065175B" w:rsidRPr="009D7125" w:rsidRDefault="0065175B" w:rsidP="0065175B">
            <w:pPr>
              <w:spacing w:before="60" w:after="60"/>
              <w:ind w:left="61" w:right="91" w:firstLine="0"/>
              <w:rPr>
                <w:sz w:val="24"/>
              </w:rPr>
            </w:pPr>
            <w:r w:rsidRPr="009D7125">
              <w:rPr>
                <w:sz w:val="24"/>
              </w:rPr>
              <w:t>1directeur, au moins un ense</w:t>
            </w:r>
            <w:r w:rsidRPr="009D7125">
              <w:rPr>
                <w:sz w:val="24"/>
              </w:rPr>
              <w:t>i</w:t>
            </w:r>
            <w:r w:rsidRPr="009D7125">
              <w:rPr>
                <w:sz w:val="24"/>
              </w:rPr>
              <w:t>gnant, 1 élève, p</w:t>
            </w:r>
            <w:r w:rsidRPr="009D7125">
              <w:rPr>
                <w:sz w:val="24"/>
              </w:rPr>
              <w:t>a</w:t>
            </w:r>
            <w:r w:rsidRPr="009D7125">
              <w:rPr>
                <w:sz w:val="24"/>
              </w:rPr>
              <w:t>rents d’élèves de l’école, un autre parent ou un membre de la comm</w:t>
            </w:r>
            <w:r w:rsidRPr="009D7125">
              <w:rPr>
                <w:sz w:val="24"/>
              </w:rPr>
              <w:t>u</w:t>
            </w:r>
            <w:r w:rsidRPr="009D7125">
              <w:rPr>
                <w:sz w:val="24"/>
              </w:rPr>
              <w:t>nauté.</w:t>
            </w:r>
          </w:p>
        </w:tc>
      </w:tr>
      <w:tr w:rsidR="0065175B" w:rsidRPr="005E46D3" w14:paraId="73C89A57" w14:textId="77777777">
        <w:trPr>
          <w:trHeight w:val="1673"/>
        </w:trPr>
        <w:tc>
          <w:tcPr>
            <w:tcW w:w="2880" w:type="dxa"/>
          </w:tcPr>
          <w:p w14:paraId="1F34024E" w14:textId="77777777" w:rsidR="0065175B" w:rsidRPr="009D7125" w:rsidRDefault="0065175B" w:rsidP="0065175B">
            <w:pPr>
              <w:spacing w:before="60" w:after="60"/>
              <w:ind w:left="61" w:right="91" w:firstLine="0"/>
              <w:rPr>
                <w:sz w:val="24"/>
              </w:rPr>
            </w:pPr>
            <w:r w:rsidRPr="009D7125">
              <w:rPr>
                <w:sz w:val="24"/>
              </w:rPr>
              <w:t>Manitoba</w:t>
            </w:r>
          </w:p>
          <w:p w14:paraId="29493ABC" w14:textId="77777777" w:rsidR="0065175B" w:rsidRPr="009D7125" w:rsidRDefault="0065175B" w:rsidP="0065175B">
            <w:pPr>
              <w:spacing w:before="60" w:after="60"/>
              <w:ind w:left="61" w:right="91" w:firstLine="0"/>
              <w:rPr>
                <w:sz w:val="24"/>
              </w:rPr>
            </w:pPr>
            <w:r w:rsidRPr="009D7125">
              <w:rPr>
                <w:sz w:val="24"/>
              </w:rPr>
              <w:t>Advisory Councils for School Leader</w:t>
            </w:r>
            <w:r w:rsidRPr="009D7125">
              <w:rPr>
                <w:sz w:val="24"/>
              </w:rPr>
              <w:t>s</w:t>
            </w:r>
            <w:r w:rsidRPr="009D7125">
              <w:rPr>
                <w:sz w:val="24"/>
              </w:rPr>
              <w:t>hip</w:t>
            </w:r>
          </w:p>
        </w:tc>
        <w:tc>
          <w:tcPr>
            <w:tcW w:w="810" w:type="dxa"/>
          </w:tcPr>
          <w:p w14:paraId="795F1450" w14:textId="77777777" w:rsidR="0065175B" w:rsidRPr="009D7125" w:rsidRDefault="0065175B" w:rsidP="0065175B">
            <w:pPr>
              <w:spacing w:before="60" w:after="60"/>
              <w:ind w:left="61" w:right="91" w:firstLine="0"/>
              <w:rPr>
                <w:sz w:val="24"/>
              </w:rPr>
            </w:pPr>
            <w:r w:rsidRPr="009D7125">
              <w:rPr>
                <w:sz w:val="24"/>
              </w:rPr>
              <w:t>1995,</w:t>
            </w:r>
          </w:p>
          <w:p w14:paraId="4F9B2EFB" w14:textId="77777777" w:rsidR="0065175B" w:rsidRPr="009D7125" w:rsidRDefault="0065175B" w:rsidP="0065175B">
            <w:pPr>
              <w:spacing w:before="60" w:after="60"/>
              <w:ind w:left="61" w:right="91" w:firstLine="0"/>
              <w:rPr>
                <w:sz w:val="24"/>
              </w:rPr>
            </w:pPr>
            <w:r w:rsidRPr="009D7125">
              <w:rPr>
                <w:sz w:val="24"/>
              </w:rPr>
              <w:t>1996</w:t>
            </w:r>
          </w:p>
        </w:tc>
        <w:tc>
          <w:tcPr>
            <w:tcW w:w="1667" w:type="dxa"/>
          </w:tcPr>
          <w:p w14:paraId="0F663F02" w14:textId="77777777" w:rsidR="0065175B" w:rsidRPr="009D7125" w:rsidRDefault="0065175B" w:rsidP="0065175B">
            <w:pPr>
              <w:spacing w:before="60" w:after="60"/>
              <w:ind w:left="61" w:right="91" w:firstLine="0"/>
              <w:rPr>
                <w:sz w:val="24"/>
              </w:rPr>
            </w:pPr>
            <w:r w:rsidRPr="009D7125">
              <w:rPr>
                <w:sz w:val="24"/>
              </w:rPr>
              <w:t>Education Administr</w:t>
            </w:r>
            <w:r w:rsidRPr="009D7125">
              <w:rPr>
                <w:sz w:val="24"/>
              </w:rPr>
              <w:t>a</w:t>
            </w:r>
            <w:r w:rsidRPr="009D7125">
              <w:rPr>
                <w:sz w:val="24"/>
              </w:rPr>
              <w:t>tion Act</w:t>
            </w:r>
          </w:p>
        </w:tc>
        <w:tc>
          <w:tcPr>
            <w:tcW w:w="3463" w:type="dxa"/>
          </w:tcPr>
          <w:p w14:paraId="608BF1D0" w14:textId="77777777" w:rsidR="0065175B" w:rsidRPr="009D7125" w:rsidRDefault="0065175B" w:rsidP="0065175B">
            <w:pPr>
              <w:spacing w:before="60" w:after="60"/>
              <w:ind w:left="61" w:right="91" w:firstLine="0"/>
              <w:rPr>
                <w:sz w:val="24"/>
              </w:rPr>
            </w:pPr>
            <w:r w:rsidRPr="009D7125">
              <w:rPr>
                <w:sz w:val="24"/>
              </w:rPr>
              <w:t>7 membres externes dont 2/3 p</w:t>
            </w:r>
            <w:r w:rsidRPr="009D7125">
              <w:rPr>
                <w:sz w:val="24"/>
              </w:rPr>
              <w:t>a</w:t>
            </w:r>
            <w:r w:rsidRPr="009D7125">
              <w:rPr>
                <w:sz w:val="24"/>
              </w:rPr>
              <w:t>rents et 1/3 non-parents incluant des membres de la co</w:t>
            </w:r>
            <w:r w:rsidRPr="009D7125">
              <w:rPr>
                <w:sz w:val="24"/>
              </w:rPr>
              <w:t>m</w:t>
            </w:r>
            <w:r w:rsidRPr="009D7125">
              <w:rPr>
                <w:sz w:val="24"/>
              </w:rPr>
              <w:t>munauté. Des enseignants et du perso</w:t>
            </w:r>
            <w:r w:rsidRPr="009D7125">
              <w:rPr>
                <w:sz w:val="24"/>
              </w:rPr>
              <w:t>n</w:t>
            </w:r>
            <w:r w:rsidRPr="009D7125">
              <w:rPr>
                <w:sz w:val="24"/>
              </w:rPr>
              <w:t>nel peuvent être élus, mais ne pe</w:t>
            </w:r>
            <w:r w:rsidRPr="009D7125">
              <w:rPr>
                <w:sz w:val="24"/>
              </w:rPr>
              <w:t>u</w:t>
            </w:r>
            <w:r w:rsidRPr="009D7125">
              <w:rPr>
                <w:sz w:val="24"/>
              </w:rPr>
              <w:t>vent dépasser le nombre des a</w:t>
            </w:r>
            <w:r w:rsidRPr="009D7125">
              <w:rPr>
                <w:sz w:val="24"/>
              </w:rPr>
              <w:t>u</w:t>
            </w:r>
            <w:r w:rsidRPr="009D7125">
              <w:rPr>
                <w:sz w:val="24"/>
              </w:rPr>
              <w:t>tres membres.</w:t>
            </w:r>
          </w:p>
        </w:tc>
      </w:tr>
      <w:tr w:rsidR="0065175B" w:rsidRPr="005E46D3" w14:paraId="0EC3E4E2" w14:textId="77777777">
        <w:trPr>
          <w:trHeight w:val="866"/>
        </w:trPr>
        <w:tc>
          <w:tcPr>
            <w:tcW w:w="2880" w:type="dxa"/>
          </w:tcPr>
          <w:p w14:paraId="71D5FD61" w14:textId="77777777" w:rsidR="0065175B" w:rsidRPr="009D7125" w:rsidRDefault="0065175B" w:rsidP="0065175B">
            <w:pPr>
              <w:spacing w:before="60" w:after="60"/>
              <w:ind w:left="61" w:right="91" w:firstLine="0"/>
              <w:rPr>
                <w:sz w:val="24"/>
              </w:rPr>
            </w:pPr>
            <w:r w:rsidRPr="009D7125">
              <w:rPr>
                <w:sz w:val="24"/>
              </w:rPr>
              <w:t>Ontario</w:t>
            </w:r>
          </w:p>
          <w:p w14:paraId="39666328" w14:textId="77777777" w:rsidR="0065175B" w:rsidRPr="009D7125" w:rsidRDefault="0065175B" w:rsidP="0065175B">
            <w:pPr>
              <w:spacing w:before="60" w:after="60"/>
              <w:ind w:left="61" w:right="91" w:firstLine="0"/>
              <w:rPr>
                <w:sz w:val="24"/>
              </w:rPr>
            </w:pPr>
            <w:r w:rsidRPr="009D7125">
              <w:rPr>
                <w:sz w:val="24"/>
              </w:rPr>
              <w:t>School Cou</w:t>
            </w:r>
            <w:r w:rsidRPr="009D7125">
              <w:rPr>
                <w:sz w:val="24"/>
              </w:rPr>
              <w:t>n</w:t>
            </w:r>
            <w:r w:rsidRPr="009D7125">
              <w:rPr>
                <w:sz w:val="24"/>
              </w:rPr>
              <w:t>cils</w:t>
            </w:r>
          </w:p>
        </w:tc>
        <w:tc>
          <w:tcPr>
            <w:tcW w:w="810" w:type="dxa"/>
          </w:tcPr>
          <w:p w14:paraId="27F6C52F" w14:textId="77777777" w:rsidR="0065175B" w:rsidRPr="009D7125" w:rsidRDefault="0065175B" w:rsidP="0065175B">
            <w:pPr>
              <w:spacing w:before="60" w:after="60"/>
              <w:ind w:left="61" w:right="91" w:firstLine="0"/>
              <w:rPr>
                <w:sz w:val="24"/>
              </w:rPr>
            </w:pPr>
            <w:r w:rsidRPr="009D7125">
              <w:rPr>
                <w:sz w:val="24"/>
              </w:rPr>
              <w:t>1995</w:t>
            </w:r>
          </w:p>
        </w:tc>
        <w:tc>
          <w:tcPr>
            <w:tcW w:w="1667" w:type="dxa"/>
          </w:tcPr>
          <w:p w14:paraId="40F752C6" w14:textId="77777777" w:rsidR="0065175B" w:rsidRPr="009D7125" w:rsidRDefault="0065175B" w:rsidP="0065175B">
            <w:pPr>
              <w:spacing w:before="60" w:after="60"/>
              <w:ind w:left="61" w:right="91" w:firstLine="0"/>
              <w:rPr>
                <w:sz w:val="24"/>
              </w:rPr>
            </w:pPr>
            <w:r w:rsidRPr="009D7125">
              <w:rPr>
                <w:sz w:val="24"/>
              </w:rPr>
              <w:t>Pol</w:t>
            </w:r>
            <w:r w:rsidRPr="009D7125">
              <w:rPr>
                <w:sz w:val="24"/>
              </w:rPr>
              <w:t>i</w:t>
            </w:r>
            <w:r w:rsidRPr="009D7125">
              <w:rPr>
                <w:sz w:val="24"/>
              </w:rPr>
              <w:t>cy/Program Memora</w:t>
            </w:r>
            <w:r w:rsidRPr="009D7125">
              <w:rPr>
                <w:sz w:val="24"/>
              </w:rPr>
              <w:t>n</w:t>
            </w:r>
            <w:r w:rsidRPr="009D7125">
              <w:rPr>
                <w:sz w:val="24"/>
              </w:rPr>
              <w:t>dum No. 122</w:t>
            </w:r>
          </w:p>
        </w:tc>
        <w:tc>
          <w:tcPr>
            <w:tcW w:w="3463" w:type="dxa"/>
          </w:tcPr>
          <w:p w14:paraId="6B2F4055" w14:textId="77777777" w:rsidR="0065175B" w:rsidRPr="009D7125" w:rsidRDefault="0065175B" w:rsidP="0065175B">
            <w:pPr>
              <w:spacing w:before="60" w:after="60"/>
              <w:ind w:left="61" w:right="91" w:firstLine="0"/>
              <w:rPr>
                <w:sz w:val="24"/>
              </w:rPr>
            </w:pPr>
            <w:r w:rsidRPr="009D7125">
              <w:rPr>
                <w:sz w:val="24"/>
              </w:rPr>
              <w:t>Le directeur, 1 enseignant, des représentants des parents, des membres de la comm</w:t>
            </w:r>
            <w:r w:rsidRPr="009D7125">
              <w:rPr>
                <w:sz w:val="24"/>
              </w:rPr>
              <w:t>u</w:t>
            </w:r>
            <w:r w:rsidRPr="009D7125">
              <w:rPr>
                <w:sz w:val="24"/>
              </w:rPr>
              <w:t>nauté (non-parents).</w:t>
            </w:r>
          </w:p>
        </w:tc>
      </w:tr>
      <w:tr w:rsidR="0065175B" w:rsidRPr="005E46D3" w14:paraId="76E842AA" w14:textId="77777777">
        <w:trPr>
          <w:trHeight w:val="1068"/>
        </w:trPr>
        <w:tc>
          <w:tcPr>
            <w:tcW w:w="2880" w:type="dxa"/>
          </w:tcPr>
          <w:p w14:paraId="0C306A14" w14:textId="77777777" w:rsidR="0065175B" w:rsidRPr="009D7125" w:rsidRDefault="0065175B" w:rsidP="0065175B">
            <w:pPr>
              <w:spacing w:before="60" w:after="60"/>
              <w:ind w:left="61" w:right="91" w:firstLine="0"/>
              <w:rPr>
                <w:sz w:val="24"/>
              </w:rPr>
            </w:pPr>
            <w:r w:rsidRPr="009D7125">
              <w:rPr>
                <w:sz w:val="24"/>
              </w:rPr>
              <w:t>Québec</w:t>
            </w:r>
            <w:r>
              <w:rPr>
                <w:sz w:val="24"/>
              </w:rPr>
              <w:br/>
            </w:r>
            <w:r w:rsidRPr="009D7125">
              <w:rPr>
                <w:sz w:val="24"/>
              </w:rPr>
              <w:t>Conseils d’établissement</w:t>
            </w:r>
          </w:p>
        </w:tc>
        <w:tc>
          <w:tcPr>
            <w:tcW w:w="810" w:type="dxa"/>
          </w:tcPr>
          <w:p w14:paraId="386228AE" w14:textId="77777777" w:rsidR="0065175B" w:rsidRPr="009D7125" w:rsidRDefault="0065175B" w:rsidP="0065175B">
            <w:pPr>
              <w:spacing w:before="60" w:after="60"/>
              <w:ind w:left="61" w:right="91" w:firstLine="0"/>
              <w:rPr>
                <w:sz w:val="24"/>
              </w:rPr>
            </w:pPr>
            <w:r w:rsidRPr="009D7125">
              <w:rPr>
                <w:sz w:val="24"/>
              </w:rPr>
              <w:t>1998</w:t>
            </w:r>
          </w:p>
        </w:tc>
        <w:tc>
          <w:tcPr>
            <w:tcW w:w="1667" w:type="dxa"/>
          </w:tcPr>
          <w:p w14:paraId="28BF6385" w14:textId="77777777" w:rsidR="0065175B" w:rsidRPr="009D7125" w:rsidRDefault="0065175B" w:rsidP="0065175B">
            <w:pPr>
              <w:spacing w:before="60" w:after="60"/>
              <w:ind w:left="61" w:right="91" w:firstLine="0"/>
              <w:rPr>
                <w:sz w:val="24"/>
              </w:rPr>
            </w:pPr>
            <w:r w:rsidRPr="009D7125">
              <w:rPr>
                <w:sz w:val="24"/>
              </w:rPr>
              <w:t>Loi 180 (1997)</w:t>
            </w:r>
          </w:p>
        </w:tc>
        <w:tc>
          <w:tcPr>
            <w:tcW w:w="3463" w:type="dxa"/>
          </w:tcPr>
          <w:p w14:paraId="5159A3A8" w14:textId="77777777" w:rsidR="0065175B" w:rsidRPr="009D7125" w:rsidRDefault="0065175B" w:rsidP="0065175B">
            <w:pPr>
              <w:spacing w:before="60" w:after="60"/>
              <w:ind w:left="61" w:right="91" w:firstLine="0"/>
              <w:rPr>
                <w:sz w:val="24"/>
              </w:rPr>
            </w:pPr>
            <w:r w:rsidRPr="009D7125">
              <w:rPr>
                <w:sz w:val="24"/>
              </w:rPr>
              <w:t>Élèves, parents, enseignants, pe</w:t>
            </w:r>
            <w:r w:rsidRPr="009D7125">
              <w:rPr>
                <w:sz w:val="24"/>
              </w:rPr>
              <w:t>r</w:t>
            </w:r>
            <w:r w:rsidRPr="009D7125">
              <w:rPr>
                <w:sz w:val="24"/>
              </w:rPr>
              <w:t>sonnel et représentants de la communauté. Le dire</w:t>
            </w:r>
            <w:r w:rsidRPr="009D7125">
              <w:rPr>
                <w:sz w:val="24"/>
              </w:rPr>
              <w:t>c</w:t>
            </w:r>
            <w:r w:rsidRPr="009D7125">
              <w:rPr>
                <w:sz w:val="24"/>
              </w:rPr>
              <w:t>teur ex-officio.</w:t>
            </w:r>
            <w:r>
              <w:rPr>
                <w:sz w:val="24"/>
              </w:rPr>
              <w:br/>
            </w:r>
            <w:r w:rsidRPr="009D7125">
              <w:rPr>
                <w:sz w:val="24"/>
              </w:rPr>
              <w:t>Parité interne-externe.</w:t>
            </w:r>
          </w:p>
        </w:tc>
      </w:tr>
      <w:tr w:rsidR="0065175B" w:rsidRPr="005E46D3" w14:paraId="4C885ADF" w14:textId="77777777">
        <w:trPr>
          <w:trHeight w:val="260"/>
        </w:trPr>
        <w:tc>
          <w:tcPr>
            <w:tcW w:w="2880" w:type="dxa"/>
          </w:tcPr>
          <w:p w14:paraId="47525D68" w14:textId="77777777" w:rsidR="0065175B" w:rsidRPr="009D7125" w:rsidRDefault="0065175B" w:rsidP="0065175B">
            <w:pPr>
              <w:spacing w:before="60" w:after="60"/>
              <w:ind w:left="61" w:right="91" w:firstLine="0"/>
              <w:rPr>
                <w:sz w:val="24"/>
              </w:rPr>
            </w:pPr>
            <w:r w:rsidRPr="009D7125">
              <w:rPr>
                <w:sz w:val="24"/>
              </w:rPr>
              <w:t>Nouveau Brunswick</w:t>
            </w:r>
          </w:p>
        </w:tc>
        <w:tc>
          <w:tcPr>
            <w:tcW w:w="810" w:type="dxa"/>
          </w:tcPr>
          <w:p w14:paraId="3DD63D1E" w14:textId="77777777" w:rsidR="0065175B" w:rsidRPr="009D7125" w:rsidRDefault="0065175B" w:rsidP="0065175B">
            <w:pPr>
              <w:spacing w:before="60" w:after="60"/>
              <w:ind w:left="61" w:right="91" w:firstLine="0"/>
              <w:rPr>
                <w:sz w:val="24"/>
              </w:rPr>
            </w:pPr>
          </w:p>
        </w:tc>
        <w:tc>
          <w:tcPr>
            <w:tcW w:w="1667" w:type="dxa"/>
          </w:tcPr>
          <w:p w14:paraId="5EF375AC" w14:textId="77777777" w:rsidR="0065175B" w:rsidRPr="009D7125" w:rsidRDefault="0065175B" w:rsidP="0065175B">
            <w:pPr>
              <w:spacing w:before="60" w:after="60"/>
              <w:ind w:left="61" w:right="91" w:firstLine="0"/>
              <w:rPr>
                <w:sz w:val="24"/>
              </w:rPr>
            </w:pPr>
          </w:p>
        </w:tc>
        <w:tc>
          <w:tcPr>
            <w:tcW w:w="3463" w:type="dxa"/>
          </w:tcPr>
          <w:p w14:paraId="3CF63627" w14:textId="77777777" w:rsidR="0065175B" w:rsidRPr="009D7125" w:rsidRDefault="0065175B" w:rsidP="0065175B">
            <w:pPr>
              <w:spacing w:before="60" w:after="60"/>
              <w:ind w:left="61" w:right="91" w:firstLine="0"/>
              <w:rPr>
                <w:sz w:val="24"/>
              </w:rPr>
            </w:pPr>
          </w:p>
        </w:tc>
      </w:tr>
      <w:tr w:rsidR="0065175B" w:rsidRPr="005E46D3" w14:paraId="3797644A" w14:textId="77777777">
        <w:trPr>
          <w:trHeight w:val="663"/>
        </w:trPr>
        <w:tc>
          <w:tcPr>
            <w:tcW w:w="2880" w:type="dxa"/>
          </w:tcPr>
          <w:p w14:paraId="2612FBA6" w14:textId="77777777" w:rsidR="0065175B" w:rsidRPr="009D7125" w:rsidRDefault="0065175B" w:rsidP="0065175B">
            <w:pPr>
              <w:spacing w:before="60" w:after="60"/>
              <w:ind w:left="61" w:right="91" w:firstLine="0"/>
              <w:rPr>
                <w:sz w:val="24"/>
              </w:rPr>
            </w:pPr>
            <w:r w:rsidRPr="009D7125">
              <w:rPr>
                <w:sz w:val="24"/>
              </w:rPr>
              <w:t>Nouvelle Éco</w:t>
            </w:r>
            <w:r w:rsidRPr="009D7125">
              <w:rPr>
                <w:sz w:val="24"/>
              </w:rPr>
              <w:t>s</w:t>
            </w:r>
            <w:r w:rsidRPr="009D7125">
              <w:rPr>
                <w:sz w:val="24"/>
              </w:rPr>
              <w:t>se</w:t>
            </w:r>
            <w:r>
              <w:rPr>
                <w:sz w:val="24"/>
              </w:rPr>
              <w:br/>
            </w:r>
            <w:r w:rsidRPr="009D7125">
              <w:rPr>
                <w:sz w:val="24"/>
              </w:rPr>
              <w:t>School Adv</w:t>
            </w:r>
            <w:r w:rsidRPr="009D7125">
              <w:rPr>
                <w:sz w:val="24"/>
              </w:rPr>
              <w:t>i</w:t>
            </w:r>
            <w:r w:rsidRPr="009D7125">
              <w:rPr>
                <w:sz w:val="24"/>
              </w:rPr>
              <w:t>sory Councils</w:t>
            </w:r>
          </w:p>
        </w:tc>
        <w:tc>
          <w:tcPr>
            <w:tcW w:w="810" w:type="dxa"/>
          </w:tcPr>
          <w:p w14:paraId="414CD297" w14:textId="77777777" w:rsidR="0065175B" w:rsidRPr="009D7125" w:rsidRDefault="0065175B" w:rsidP="0065175B">
            <w:pPr>
              <w:spacing w:before="60" w:after="60"/>
              <w:ind w:left="61" w:right="91" w:firstLine="0"/>
              <w:rPr>
                <w:sz w:val="24"/>
              </w:rPr>
            </w:pPr>
            <w:r w:rsidRPr="009D7125">
              <w:rPr>
                <w:sz w:val="24"/>
              </w:rPr>
              <w:t>1996</w:t>
            </w:r>
          </w:p>
        </w:tc>
        <w:tc>
          <w:tcPr>
            <w:tcW w:w="1667" w:type="dxa"/>
          </w:tcPr>
          <w:p w14:paraId="3B37C90A" w14:textId="77777777" w:rsidR="0065175B" w:rsidRPr="009D7125" w:rsidRDefault="0065175B" w:rsidP="0065175B">
            <w:pPr>
              <w:spacing w:before="60" w:after="60"/>
              <w:ind w:left="61" w:right="91" w:firstLine="0"/>
              <w:rPr>
                <w:sz w:val="24"/>
              </w:rPr>
            </w:pPr>
          </w:p>
        </w:tc>
        <w:tc>
          <w:tcPr>
            <w:tcW w:w="3463" w:type="dxa"/>
          </w:tcPr>
          <w:p w14:paraId="66286AD5" w14:textId="77777777" w:rsidR="0065175B" w:rsidRPr="009D7125" w:rsidRDefault="0065175B" w:rsidP="0065175B">
            <w:pPr>
              <w:spacing w:before="60" w:after="60"/>
              <w:ind w:left="61" w:right="91" w:firstLine="0"/>
              <w:rPr>
                <w:sz w:val="24"/>
              </w:rPr>
            </w:pPr>
            <w:r w:rsidRPr="009D7125">
              <w:rPr>
                <w:sz w:val="24"/>
              </w:rPr>
              <w:t>Élèves, parents, enseignants, pe</w:t>
            </w:r>
            <w:r w:rsidRPr="009D7125">
              <w:rPr>
                <w:sz w:val="24"/>
              </w:rPr>
              <w:t>r</w:t>
            </w:r>
            <w:r w:rsidRPr="009D7125">
              <w:rPr>
                <w:sz w:val="24"/>
              </w:rPr>
              <w:t>sonnel et représentants de la co</w:t>
            </w:r>
            <w:r w:rsidRPr="009D7125">
              <w:rPr>
                <w:sz w:val="24"/>
              </w:rPr>
              <w:t>m</w:t>
            </w:r>
            <w:r w:rsidRPr="009D7125">
              <w:rPr>
                <w:sz w:val="24"/>
              </w:rPr>
              <w:t>munauté.</w:t>
            </w:r>
          </w:p>
        </w:tc>
      </w:tr>
      <w:tr w:rsidR="0065175B" w:rsidRPr="005E46D3" w14:paraId="47C36B9F" w14:textId="77777777">
        <w:trPr>
          <w:trHeight w:val="664"/>
        </w:trPr>
        <w:tc>
          <w:tcPr>
            <w:tcW w:w="2880" w:type="dxa"/>
          </w:tcPr>
          <w:p w14:paraId="45EF4ED6" w14:textId="77777777" w:rsidR="0065175B" w:rsidRPr="009D7125" w:rsidRDefault="0065175B" w:rsidP="0065175B">
            <w:pPr>
              <w:spacing w:before="60" w:after="60"/>
              <w:ind w:left="61" w:right="91" w:firstLine="0"/>
              <w:rPr>
                <w:sz w:val="24"/>
              </w:rPr>
            </w:pPr>
            <w:r w:rsidRPr="009D7125">
              <w:rPr>
                <w:sz w:val="24"/>
              </w:rPr>
              <w:t xml:space="preserve">Île du Prince Édouard </w:t>
            </w:r>
            <w:r>
              <w:rPr>
                <w:sz w:val="24"/>
              </w:rPr>
              <w:br/>
            </w:r>
            <w:r w:rsidRPr="009D7125">
              <w:rPr>
                <w:sz w:val="24"/>
              </w:rPr>
              <w:t>School Councils</w:t>
            </w:r>
          </w:p>
        </w:tc>
        <w:tc>
          <w:tcPr>
            <w:tcW w:w="810" w:type="dxa"/>
          </w:tcPr>
          <w:p w14:paraId="08B04D6C" w14:textId="77777777" w:rsidR="0065175B" w:rsidRPr="009D7125" w:rsidRDefault="0065175B" w:rsidP="0065175B">
            <w:pPr>
              <w:spacing w:before="60" w:after="60"/>
              <w:ind w:left="61" w:right="91" w:firstLine="0"/>
              <w:rPr>
                <w:sz w:val="24"/>
              </w:rPr>
            </w:pPr>
            <w:r w:rsidRPr="009D7125">
              <w:rPr>
                <w:sz w:val="24"/>
              </w:rPr>
              <w:t>1995</w:t>
            </w:r>
          </w:p>
        </w:tc>
        <w:tc>
          <w:tcPr>
            <w:tcW w:w="1667" w:type="dxa"/>
          </w:tcPr>
          <w:p w14:paraId="6E96EE5D" w14:textId="77777777" w:rsidR="0065175B" w:rsidRPr="009D7125" w:rsidRDefault="0065175B" w:rsidP="0065175B">
            <w:pPr>
              <w:spacing w:before="60" w:after="60"/>
              <w:ind w:left="61" w:right="91" w:firstLine="0"/>
              <w:rPr>
                <w:sz w:val="24"/>
              </w:rPr>
            </w:pPr>
            <w:r w:rsidRPr="009D7125">
              <w:rPr>
                <w:sz w:val="24"/>
              </w:rPr>
              <w:t>Section 66 du School Act</w:t>
            </w:r>
          </w:p>
        </w:tc>
        <w:tc>
          <w:tcPr>
            <w:tcW w:w="3463" w:type="dxa"/>
          </w:tcPr>
          <w:p w14:paraId="2F436697" w14:textId="77777777" w:rsidR="0065175B" w:rsidRPr="009D7125" w:rsidRDefault="0065175B" w:rsidP="0065175B">
            <w:pPr>
              <w:spacing w:before="60" w:after="60"/>
              <w:ind w:left="61" w:right="91" w:firstLine="0"/>
              <w:rPr>
                <w:sz w:val="24"/>
              </w:rPr>
            </w:pPr>
            <w:r w:rsidRPr="009D7125">
              <w:rPr>
                <w:sz w:val="24"/>
              </w:rPr>
              <w:t>Parents, enseignants et le dire</w:t>
            </w:r>
            <w:r w:rsidRPr="009D7125">
              <w:rPr>
                <w:sz w:val="24"/>
              </w:rPr>
              <w:t>c</w:t>
            </w:r>
            <w:r w:rsidRPr="009D7125">
              <w:rPr>
                <w:sz w:val="24"/>
              </w:rPr>
              <w:t>teur. Les élèves peuvent aussi y être repr</w:t>
            </w:r>
            <w:r w:rsidRPr="009D7125">
              <w:rPr>
                <w:sz w:val="24"/>
              </w:rPr>
              <w:t>é</w:t>
            </w:r>
            <w:r w:rsidRPr="009D7125">
              <w:rPr>
                <w:sz w:val="24"/>
              </w:rPr>
              <w:t>sentés.</w:t>
            </w:r>
          </w:p>
        </w:tc>
      </w:tr>
      <w:tr w:rsidR="0065175B" w:rsidRPr="005E46D3" w14:paraId="45C2D219" w14:textId="77777777">
        <w:trPr>
          <w:trHeight w:val="865"/>
        </w:trPr>
        <w:tc>
          <w:tcPr>
            <w:tcW w:w="2880" w:type="dxa"/>
          </w:tcPr>
          <w:p w14:paraId="2F049884" w14:textId="77777777" w:rsidR="0065175B" w:rsidRPr="009D7125" w:rsidRDefault="0065175B" w:rsidP="0065175B">
            <w:pPr>
              <w:spacing w:before="60" w:after="60"/>
              <w:ind w:left="61" w:right="91" w:firstLine="0"/>
              <w:rPr>
                <w:sz w:val="24"/>
              </w:rPr>
            </w:pPr>
            <w:r w:rsidRPr="009D7125">
              <w:rPr>
                <w:sz w:val="24"/>
              </w:rPr>
              <w:lastRenderedPageBreak/>
              <w:t>Terre Neuve et Labrador School Councils</w:t>
            </w:r>
          </w:p>
        </w:tc>
        <w:tc>
          <w:tcPr>
            <w:tcW w:w="810" w:type="dxa"/>
          </w:tcPr>
          <w:p w14:paraId="5E5BCD0E" w14:textId="77777777" w:rsidR="0065175B" w:rsidRPr="009D7125" w:rsidRDefault="0065175B" w:rsidP="0065175B">
            <w:pPr>
              <w:spacing w:before="60" w:after="60"/>
              <w:ind w:left="61" w:right="91" w:firstLine="0"/>
              <w:rPr>
                <w:sz w:val="24"/>
              </w:rPr>
            </w:pPr>
            <w:r w:rsidRPr="009D7125">
              <w:rPr>
                <w:sz w:val="24"/>
              </w:rPr>
              <w:t>1996</w:t>
            </w:r>
          </w:p>
        </w:tc>
        <w:tc>
          <w:tcPr>
            <w:tcW w:w="1667" w:type="dxa"/>
          </w:tcPr>
          <w:p w14:paraId="02D66868" w14:textId="77777777" w:rsidR="0065175B" w:rsidRPr="009D7125" w:rsidRDefault="0065175B" w:rsidP="0065175B">
            <w:pPr>
              <w:spacing w:before="60" w:after="60"/>
              <w:ind w:left="61" w:right="91" w:firstLine="0"/>
              <w:rPr>
                <w:sz w:val="24"/>
              </w:rPr>
            </w:pPr>
            <w:r w:rsidRPr="009D7125">
              <w:rPr>
                <w:sz w:val="24"/>
              </w:rPr>
              <w:t>Commi</w:t>
            </w:r>
            <w:r w:rsidRPr="009D7125">
              <w:rPr>
                <w:sz w:val="24"/>
              </w:rPr>
              <w:t>s</w:t>
            </w:r>
            <w:r w:rsidRPr="009D7125">
              <w:rPr>
                <w:sz w:val="24"/>
              </w:rPr>
              <w:t>sion Royale (1992) ; Loi 48,</w:t>
            </w:r>
            <w:r>
              <w:rPr>
                <w:sz w:val="24"/>
              </w:rPr>
              <w:br/>
            </w:r>
            <w:r w:rsidRPr="009D7125">
              <w:rPr>
                <w:sz w:val="24"/>
              </w:rPr>
              <w:t>Section 26 de l’Education Act</w:t>
            </w:r>
          </w:p>
        </w:tc>
        <w:tc>
          <w:tcPr>
            <w:tcW w:w="3463" w:type="dxa"/>
          </w:tcPr>
          <w:p w14:paraId="76701AD8" w14:textId="77777777" w:rsidR="0065175B" w:rsidRPr="009D7125" w:rsidRDefault="0065175B" w:rsidP="0065175B">
            <w:pPr>
              <w:spacing w:before="60" w:after="60"/>
              <w:ind w:left="61" w:right="91" w:firstLine="0"/>
              <w:rPr>
                <w:sz w:val="24"/>
              </w:rPr>
            </w:pPr>
          </w:p>
        </w:tc>
      </w:tr>
      <w:tr w:rsidR="0065175B" w:rsidRPr="005E46D3" w14:paraId="5DF7891C" w14:textId="77777777">
        <w:trPr>
          <w:trHeight w:val="865"/>
        </w:trPr>
        <w:tc>
          <w:tcPr>
            <w:tcW w:w="2880" w:type="dxa"/>
          </w:tcPr>
          <w:p w14:paraId="5E02DCC7" w14:textId="77777777" w:rsidR="0065175B" w:rsidRPr="009D7125" w:rsidRDefault="0065175B" w:rsidP="0065175B">
            <w:pPr>
              <w:spacing w:before="60" w:after="60"/>
              <w:ind w:left="61" w:right="91" w:firstLine="0"/>
              <w:rPr>
                <w:sz w:val="24"/>
              </w:rPr>
            </w:pPr>
            <w:r w:rsidRPr="009D7125">
              <w:rPr>
                <w:sz w:val="24"/>
              </w:rPr>
              <w:t>Yukon</w:t>
            </w:r>
            <w:r>
              <w:rPr>
                <w:sz w:val="24"/>
              </w:rPr>
              <w:br/>
            </w:r>
            <w:r w:rsidRPr="009D7125">
              <w:rPr>
                <w:sz w:val="24"/>
              </w:rPr>
              <w:t>School Cou</w:t>
            </w:r>
            <w:r w:rsidRPr="009D7125">
              <w:rPr>
                <w:sz w:val="24"/>
              </w:rPr>
              <w:t>n</w:t>
            </w:r>
            <w:r w:rsidRPr="009D7125">
              <w:rPr>
                <w:sz w:val="24"/>
              </w:rPr>
              <w:t>cils</w:t>
            </w:r>
          </w:p>
        </w:tc>
        <w:tc>
          <w:tcPr>
            <w:tcW w:w="810" w:type="dxa"/>
          </w:tcPr>
          <w:p w14:paraId="2EDC9403" w14:textId="77777777" w:rsidR="0065175B" w:rsidRPr="009D7125" w:rsidRDefault="0065175B" w:rsidP="0065175B">
            <w:pPr>
              <w:spacing w:before="60" w:after="60"/>
              <w:ind w:left="61" w:right="91" w:firstLine="0"/>
              <w:rPr>
                <w:sz w:val="24"/>
              </w:rPr>
            </w:pPr>
            <w:r w:rsidRPr="009D7125">
              <w:rPr>
                <w:sz w:val="24"/>
              </w:rPr>
              <w:t>1990</w:t>
            </w:r>
          </w:p>
        </w:tc>
        <w:tc>
          <w:tcPr>
            <w:tcW w:w="1667" w:type="dxa"/>
          </w:tcPr>
          <w:p w14:paraId="5F270922" w14:textId="77777777" w:rsidR="0065175B" w:rsidRPr="009D7125" w:rsidRDefault="0065175B" w:rsidP="0065175B">
            <w:pPr>
              <w:spacing w:before="60" w:after="60"/>
              <w:ind w:left="61" w:right="91" w:firstLine="0"/>
              <w:rPr>
                <w:sz w:val="24"/>
              </w:rPr>
            </w:pPr>
            <w:r w:rsidRPr="009D7125">
              <w:rPr>
                <w:sz w:val="24"/>
              </w:rPr>
              <w:t>Education Act</w:t>
            </w:r>
          </w:p>
        </w:tc>
        <w:tc>
          <w:tcPr>
            <w:tcW w:w="3463" w:type="dxa"/>
          </w:tcPr>
          <w:p w14:paraId="77965994" w14:textId="77777777" w:rsidR="0065175B" w:rsidRPr="009D7125" w:rsidRDefault="0065175B" w:rsidP="0065175B">
            <w:pPr>
              <w:spacing w:before="60" w:after="60"/>
              <w:ind w:left="61" w:right="91" w:firstLine="0"/>
              <w:rPr>
                <w:sz w:val="24"/>
              </w:rPr>
            </w:pPr>
            <w:r w:rsidRPr="009D7125">
              <w:rPr>
                <w:sz w:val="24"/>
              </w:rPr>
              <w:t>Des parents et des membres de la communauté. Garantie de la r</w:t>
            </w:r>
            <w:r w:rsidRPr="009D7125">
              <w:rPr>
                <w:sz w:val="24"/>
              </w:rPr>
              <w:t>e</w:t>
            </w:r>
            <w:r w:rsidRPr="009D7125">
              <w:rPr>
                <w:sz w:val="24"/>
              </w:rPr>
              <w:t>présentation des Premières N</w:t>
            </w:r>
            <w:r w:rsidRPr="009D7125">
              <w:rPr>
                <w:sz w:val="24"/>
              </w:rPr>
              <w:t>a</w:t>
            </w:r>
            <w:r w:rsidRPr="009D7125">
              <w:rPr>
                <w:sz w:val="24"/>
              </w:rPr>
              <w:t>tions.</w:t>
            </w:r>
          </w:p>
        </w:tc>
      </w:tr>
      <w:tr w:rsidR="0065175B" w:rsidRPr="005E46D3" w14:paraId="53A09A4B" w14:textId="77777777">
        <w:trPr>
          <w:trHeight w:val="260"/>
        </w:trPr>
        <w:tc>
          <w:tcPr>
            <w:tcW w:w="2880" w:type="dxa"/>
          </w:tcPr>
          <w:p w14:paraId="7C53EB3C" w14:textId="77777777" w:rsidR="0065175B" w:rsidRPr="009D7125" w:rsidRDefault="0065175B" w:rsidP="0065175B">
            <w:pPr>
              <w:spacing w:before="60" w:after="60"/>
              <w:ind w:left="61" w:right="91" w:firstLine="0"/>
              <w:rPr>
                <w:sz w:val="24"/>
              </w:rPr>
            </w:pPr>
            <w:r w:rsidRPr="009D7125">
              <w:rPr>
                <w:sz w:val="24"/>
              </w:rPr>
              <w:t>Nunavut</w:t>
            </w:r>
          </w:p>
        </w:tc>
        <w:tc>
          <w:tcPr>
            <w:tcW w:w="810" w:type="dxa"/>
          </w:tcPr>
          <w:p w14:paraId="3A744480" w14:textId="77777777" w:rsidR="0065175B" w:rsidRPr="009D7125" w:rsidRDefault="0065175B" w:rsidP="0065175B">
            <w:pPr>
              <w:spacing w:before="60" w:after="60"/>
              <w:ind w:left="61" w:right="91" w:firstLine="0"/>
              <w:rPr>
                <w:sz w:val="24"/>
              </w:rPr>
            </w:pPr>
          </w:p>
        </w:tc>
        <w:tc>
          <w:tcPr>
            <w:tcW w:w="1667" w:type="dxa"/>
          </w:tcPr>
          <w:p w14:paraId="1974A4F7" w14:textId="77777777" w:rsidR="0065175B" w:rsidRPr="009D7125" w:rsidRDefault="0065175B" w:rsidP="0065175B">
            <w:pPr>
              <w:spacing w:before="60" w:after="60"/>
              <w:ind w:left="61" w:right="91" w:firstLine="0"/>
              <w:rPr>
                <w:sz w:val="24"/>
              </w:rPr>
            </w:pPr>
          </w:p>
        </w:tc>
        <w:tc>
          <w:tcPr>
            <w:tcW w:w="3463" w:type="dxa"/>
          </w:tcPr>
          <w:p w14:paraId="2AE94FA1" w14:textId="77777777" w:rsidR="0065175B" w:rsidRPr="009D7125" w:rsidRDefault="0065175B" w:rsidP="0065175B">
            <w:pPr>
              <w:spacing w:before="60" w:after="60"/>
              <w:ind w:left="61" w:right="91" w:firstLine="0"/>
              <w:rPr>
                <w:sz w:val="24"/>
              </w:rPr>
            </w:pPr>
          </w:p>
        </w:tc>
      </w:tr>
      <w:tr w:rsidR="0065175B" w:rsidRPr="005E46D3" w14:paraId="1607B98A" w14:textId="77777777">
        <w:trPr>
          <w:trHeight w:val="260"/>
        </w:trPr>
        <w:tc>
          <w:tcPr>
            <w:tcW w:w="2880" w:type="dxa"/>
          </w:tcPr>
          <w:p w14:paraId="534C2209" w14:textId="77777777" w:rsidR="0065175B" w:rsidRPr="009D7125" w:rsidRDefault="0065175B" w:rsidP="0065175B">
            <w:pPr>
              <w:spacing w:before="60" w:after="60"/>
              <w:ind w:left="61" w:right="91" w:firstLine="0"/>
              <w:rPr>
                <w:sz w:val="24"/>
              </w:rPr>
            </w:pPr>
            <w:r>
              <w:rPr>
                <w:sz w:val="24"/>
              </w:rPr>
              <w:t>Territo</w:t>
            </w:r>
            <w:r w:rsidRPr="009D7125">
              <w:rPr>
                <w:sz w:val="24"/>
              </w:rPr>
              <w:t>i</w:t>
            </w:r>
            <w:r>
              <w:rPr>
                <w:sz w:val="24"/>
              </w:rPr>
              <w:t>r</w:t>
            </w:r>
            <w:r w:rsidRPr="009D7125">
              <w:rPr>
                <w:sz w:val="24"/>
              </w:rPr>
              <w:t>es du Nord-Ouest</w:t>
            </w:r>
          </w:p>
        </w:tc>
        <w:tc>
          <w:tcPr>
            <w:tcW w:w="810" w:type="dxa"/>
          </w:tcPr>
          <w:p w14:paraId="2AC2979A" w14:textId="77777777" w:rsidR="0065175B" w:rsidRPr="009D7125" w:rsidRDefault="0065175B" w:rsidP="0065175B">
            <w:pPr>
              <w:spacing w:before="60" w:after="60"/>
              <w:ind w:left="61" w:right="91" w:firstLine="0"/>
              <w:rPr>
                <w:sz w:val="24"/>
              </w:rPr>
            </w:pPr>
          </w:p>
        </w:tc>
        <w:tc>
          <w:tcPr>
            <w:tcW w:w="1667" w:type="dxa"/>
          </w:tcPr>
          <w:p w14:paraId="063EAABE" w14:textId="77777777" w:rsidR="0065175B" w:rsidRPr="009D7125" w:rsidRDefault="0065175B" w:rsidP="0065175B">
            <w:pPr>
              <w:spacing w:before="60" w:after="60"/>
              <w:ind w:left="61" w:right="91" w:firstLine="0"/>
              <w:rPr>
                <w:sz w:val="24"/>
              </w:rPr>
            </w:pPr>
          </w:p>
        </w:tc>
        <w:tc>
          <w:tcPr>
            <w:tcW w:w="3463" w:type="dxa"/>
          </w:tcPr>
          <w:p w14:paraId="2D28EC8D" w14:textId="77777777" w:rsidR="0065175B" w:rsidRPr="009D7125" w:rsidRDefault="0065175B" w:rsidP="0065175B">
            <w:pPr>
              <w:spacing w:before="60" w:after="60"/>
              <w:ind w:left="61" w:right="91" w:firstLine="0"/>
              <w:rPr>
                <w:sz w:val="24"/>
              </w:rPr>
            </w:pPr>
          </w:p>
        </w:tc>
      </w:tr>
    </w:tbl>
    <w:p w14:paraId="41658E38" w14:textId="77777777" w:rsidR="0065175B" w:rsidRPr="00AA0952" w:rsidRDefault="0065175B" w:rsidP="0065175B">
      <w:pPr>
        <w:pStyle w:val="figst0"/>
      </w:pPr>
      <w:r w:rsidRPr="00AA0952">
        <w:t xml:space="preserve">Source : Chan &amp; al., </w:t>
      </w:r>
      <w:r w:rsidRPr="00AA0952">
        <w:rPr>
          <w:i/>
        </w:rPr>
        <w:t>Preliminary Synthesis of Trends in Education Policy in Canada</w:t>
      </w:r>
      <w:r w:rsidRPr="00AA0952">
        <w:t>, octobre-29, 2003, manuscript. Centre for Policy Studies in Higher Ed</w:t>
      </w:r>
      <w:r w:rsidRPr="00AA0952">
        <w:t>u</w:t>
      </w:r>
      <w:r w:rsidRPr="00AA0952">
        <w:t>cation and Training (CHET, university of Br</w:t>
      </w:r>
      <w:r w:rsidRPr="00AA0952">
        <w:t>i</w:t>
      </w:r>
      <w:r w:rsidRPr="00AA0952">
        <w:t>tish Columbia).</w:t>
      </w:r>
    </w:p>
    <w:p w14:paraId="700DBED3" w14:textId="77777777" w:rsidR="0065175B" w:rsidRPr="005E46D3" w:rsidRDefault="0065175B" w:rsidP="0065175B">
      <w:pPr>
        <w:spacing w:before="120" w:after="120"/>
        <w:jc w:val="both"/>
      </w:pPr>
    </w:p>
    <w:p w14:paraId="5A5EA59A" w14:textId="77777777" w:rsidR="0065175B" w:rsidRDefault="0065175B" w:rsidP="0065175B">
      <w:pPr>
        <w:spacing w:before="120" w:after="120"/>
        <w:jc w:val="both"/>
      </w:pPr>
    </w:p>
    <w:p w14:paraId="7C03F602" w14:textId="77777777" w:rsidR="0065175B" w:rsidRPr="005E46D3" w:rsidRDefault="0065175B" w:rsidP="0065175B">
      <w:pPr>
        <w:spacing w:before="120" w:after="120"/>
        <w:jc w:val="both"/>
      </w:pPr>
      <w:r>
        <w:t>[193]</w:t>
      </w:r>
    </w:p>
    <w:p w14:paraId="3F01AE9A" w14:textId="77777777" w:rsidR="0065175B" w:rsidRPr="005E46D3" w:rsidRDefault="0065175B" w:rsidP="0065175B">
      <w:pPr>
        <w:spacing w:before="120" w:after="120"/>
        <w:jc w:val="both"/>
      </w:pPr>
      <w:r w:rsidRPr="005E46D3">
        <w:t>Les écoles, grâce à ces conseils, ont-elles gagné des ma</w:t>
      </w:r>
      <w:r w:rsidRPr="005E46D3">
        <w:t>r</w:t>
      </w:r>
      <w:r w:rsidRPr="005E46D3">
        <w:t>ges de manœuvre et des degrés de liberté par rapport à la commission scola</w:t>
      </w:r>
      <w:r w:rsidRPr="005E46D3">
        <w:t>i</w:t>
      </w:r>
      <w:r w:rsidRPr="005E46D3">
        <w:t>re ? Il est difficile de répondre pour l’ensemble du Canada. Cepe</w:t>
      </w:r>
      <w:r w:rsidRPr="005E46D3">
        <w:t>n</w:t>
      </w:r>
      <w:r w:rsidRPr="005E46D3">
        <w:t>dant, il semble possible de so</w:t>
      </w:r>
      <w:r w:rsidRPr="005E46D3">
        <w:t>u</w:t>
      </w:r>
      <w:r w:rsidRPr="005E46D3">
        <w:t>tenir que la dynamique des relations entre le palier interm</w:t>
      </w:r>
      <w:r w:rsidRPr="005E46D3">
        <w:t>é</w:t>
      </w:r>
      <w:r w:rsidRPr="005E46D3">
        <w:t>diaire – la commission scolaire – et les écoles change pour plusieurs raisons, dont certaines ne sont pas liées à la g</w:t>
      </w:r>
      <w:r w:rsidRPr="005E46D3">
        <w:t>é</w:t>
      </w:r>
      <w:r w:rsidRPr="005E46D3">
        <w:t>nér</w:t>
      </w:r>
      <w:r w:rsidRPr="005E46D3">
        <w:t>a</w:t>
      </w:r>
      <w:r w:rsidRPr="005E46D3">
        <w:t>lisation des conseils d’établissement. Par exemple, l’avènement de la gestion décentralisée à l’échelon de l’établissement (</w:t>
      </w:r>
      <w:r w:rsidRPr="005E46D3">
        <w:rPr>
          <w:i/>
          <w:iCs/>
        </w:rPr>
        <w:t>site-base management</w:t>
      </w:r>
      <w:r w:rsidRPr="005E46D3">
        <w:t>) en Alberta (Edmo</w:t>
      </w:r>
      <w:r w:rsidRPr="005E46D3">
        <w:t>n</w:t>
      </w:r>
      <w:r w:rsidRPr="005E46D3">
        <w:t>ton) transforme les rapports entre la commission scolaire et les établi</w:t>
      </w:r>
      <w:r w:rsidRPr="005E46D3">
        <w:t>s</w:t>
      </w:r>
      <w:r w:rsidRPr="005E46D3">
        <w:t>sements : dans ce cadre, il revient aux écoles de définir leurs priorités et leurs besoins et à la commission de fournir le soutien nécessaire. Les établissements se prennent en charge et assument la responsabilité de leurs résultats, la commission scolaire assurant en théorie les moyens et en supervisant l’utilisation.</w:t>
      </w:r>
    </w:p>
    <w:p w14:paraId="3E9417CC" w14:textId="77777777" w:rsidR="0065175B" w:rsidRPr="005E46D3" w:rsidRDefault="0065175B" w:rsidP="0065175B">
      <w:pPr>
        <w:spacing w:before="120" w:after="120"/>
        <w:jc w:val="both"/>
      </w:pPr>
      <w:r w:rsidRPr="005E46D3">
        <w:lastRenderedPageBreak/>
        <w:t>Ces trois questions se résument à une seule : la décentr</w:t>
      </w:r>
      <w:r w:rsidRPr="005E46D3">
        <w:t>a</w:t>
      </w:r>
      <w:r w:rsidRPr="005E46D3">
        <w:t>lisation – ou autonomie cadrée des établissements –, en mu</w:t>
      </w:r>
      <w:r w:rsidRPr="005E46D3">
        <w:t>l</w:t>
      </w:r>
      <w:r w:rsidRPr="005E46D3">
        <w:t>tipliant les petits pouvoirs locaux, a-t</w:t>
      </w:r>
      <w:r>
        <w:t>-</w:t>
      </w:r>
      <w:r w:rsidRPr="005E46D3">
        <w:t>elle paradoxalement pour effet de renforcer le pouvoir central, surtout dans une conjoncture de forte centralisation curriculaire et d’évaluation ?</w:t>
      </w:r>
    </w:p>
    <w:p w14:paraId="5261BC62" w14:textId="77777777" w:rsidR="0065175B" w:rsidRPr="005E46D3" w:rsidRDefault="0065175B" w:rsidP="0065175B">
      <w:pPr>
        <w:spacing w:before="120" w:after="120"/>
        <w:jc w:val="both"/>
      </w:pPr>
    </w:p>
    <w:p w14:paraId="0A84DC30" w14:textId="77777777" w:rsidR="0065175B" w:rsidRPr="00AA0952" w:rsidRDefault="0065175B" w:rsidP="0065175B">
      <w:pPr>
        <w:pStyle w:val="b"/>
      </w:pPr>
      <w:r w:rsidRPr="00AA0952">
        <w:t>L’extension du choix de l’école par les parents</w:t>
      </w:r>
    </w:p>
    <w:p w14:paraId="25FFD616" w14:textId="77777777" w:rsidR="0065175B" w:rsidRDefault="0065175B" w:rsidP="0065175B">
      <w:pPr>
        <w:spacing w:before="120" w:after="120"/>
        <w:jc w:val="both"/>
      </w:pPr>
    </w:p>
    <w:p w14:paraId="62C4C9C1" w14:textId="77777777" w:rsidR="0065175B" w:rsidRPr="005E46D3" w:rsidRDefault="0065175B" w:rsidP="0065175B">
      <w:pPr>
        <w:spacing w:before="120" w:after="120"/>
        <w:jc w:val="both"/>
      </w:pPr>
      <w:r w:rsidRPr="005E46D3">
        <w:t>Un gain net de pouvoir pour les parents est l’extension des possib</w:t>
      </w:r>
      <w:r w:rsidRPr="005E46D3">
        <w:t>i</w:t>
      </w:r>
      <w:r w:rsidRPr="005E46D3">
        <w:t>lités de choisir l’école de leurs enfants. L’Alberta a encore ici ouvert le chemin. En effet, en 1996, elle a éliminé les fro</w:t>
      </w:r>
      <w:r w:rsidRPr="005E46D3">
        <w:t>n</w:t>
      </w:r>
      <w:r w:rsidRPr="005E46D3">
        <w:t>tières dans toutes les juridictions scolaires. Grâce à cette désectorisation, tout parent a</w:t>
      </w:r>
      <w:r w:rsidRPr="005E46D3">
        <w:t>l</w:t>
      </w:r>
      <w:r w:rsidRPr="005E46D3">
        <w:t>bertain est libre d’inscrire son enfant là où il le désire suivant la di</w:t>
      </w:r>
      <w:r w:rsidRPr="005E46D3">
        <w:t>s</w:t>
      </w:r>
      <w:r w:rsidRPr="005E46D3">
        <w:t>ponibilité des places. Depuis 1994, la possibilité offerte aux parents de créer des écoles à charte – écoles privées au sein du système public – leur donne les moyens d’exercer leur droit à choisir une éducation. À ce jour, il y a</w:t>
      </w:r>
      <w:r w:rsidRPr="005E46D3">
        <w:t>u</w:t>
      </w:r>
      <w:r w:rsidRPr="005E46D3">
        <w:t>rait une dizaine d’écoles à charte en Alberta.</w:t>
      </w:r>
    </w:p>
    <w:p w14:paraId="327CE10F" w14:textId="77777777" w:rsidR="0065175B" w:rsidRPr="005E46D3" w:rsidRDefault="0065175B" w:rsidP="0065175B">
      <w:pPr>
        <w:spacing w:before="120" w:after="120"/>
        <w:jc w:val="both"/>
      </w:pPr>
      <w:r w:rsidRPr="005E46D3">
        <w:t>Au cours de la dernière campagne électorale québécoise (2003), le choix de l’école a émergé comme un enjeu impo</w:t>
      </w:r>
      <w:r w:rsidRPr="005E46D3">
        <w:t>r</w:t>
      </w:r>
      <w:r w:rsidRPr="005E46D3">
        <w:t>tant, ce choix étant déjà facilité : le gouvernement du Québec finance à hauteur de 50% un réseau d’écoles privées qui r</w:t>
      </w:r>
      <w:r w:rsidRPr="005E46D3">
        <w:t>e</w:t>
      </w:r>
      <w:r w:rsidRPr="005E46D3">
        <w:t>groupe 20% des effectifs –il en est de même en Colombie-Britannique, en Alberta, en Saskatchewan, au Manitoba. Au sein d’une commission scolaire, le choix entre les ét</w:t>
      </w:r>
      <w:r w:rsidRPr="005E46D3">
        <w:t>a</w:t>
      </w:r>
      <w:r w:rsidRPr="005E46D3">
        <w:t>blissements existe donc, à condition que des places soient dispon</w:t>
      </w:r>
      <w:r w:rsidRPr="005E46D3">
        <w:t>i</w:t>
      </w:r>
      <w:r w:rsidRPr="005E46D3">
        <w:t>bles. Or dans plusieurs commissions scolaires aux prises avec la baisse des effectifs, ces places augmentent et la concurrence entre établissements s’intensifie. Il est aussi possible d’inscrire son enfant dans une autre commission scolaire, pour un service particulier, si place il y a. En somme, au Québec, comme ailleurs sans doute, un parent info</w:t>
      </w:r>
      <w:r w:rsidRPr="005E46D3">
        <w:t>r</w:t>
      </w:r>
      <w:r w:rsidRPr="005E46D3">
        <w:t>mé des possibilités et bon stratège, peut choisir l’école de son enfant. En le déplaçant, il peut sanctionner une école qu’il juge ou perçoit comme de mauvaise qualité. Le succès des pa</w:t>
      </w:r>
      <w:r w:rsidRPr="005E46D3">
        <w:t>l</w:t>
      </w:r>
      <w:r w:rsidRPr="005E46D3">
        <w:t>marès d’écoles secondaires, initiés dans plusieurs provinces par le Fraser Institute (groupe de r</w:t>
      </w:r>
      <w:r w:rsidRPr="005E46D3">
        <w:t>é</w:t>
      </w:r>
      <w:r w:rsidRPr="005E46D3">
        <w:t>flexion de droite) ou par une succursale –l’Institut économique de Montréal– révèle que bon no</w:t>
      </w:r>
      <w:r w:rsidRPr="005E46D3">
        <w:t>m</w:t>
      </w:r>
      <w:r w:rsidRPr="005E46D3">
        <w:t>bre</w:t>
      </w:r>
      <w:r>
        <w:t xml:space="preserve"> [194] </w:t>
      </w:r>
      <w:r w:rsidRPr="005E46D3">
        <w:t>de parents se comportent comme des consommateurs et sont prêts à faire pression pour exercer, au moindre coût ou à un coût raisonn</w:t>
      </w:r>
      <w:r w:rsidRPr="005E46D3">
        <w:t>a</w:t>
      </w:r>
      <w:r w:rsidRPr="005E46D3">
        <w:t>ble, leur liberté de choix.</w:t>
      </w:r>
    </w:p>
    <w:p w14:paraId="7BD2BE28" w14:textId="77777777" w:rsidR="0065175B" w:rsidRPr="005E46D3" w:rsidRDefault="0065175B" w:rsidP="0065175B">
      <w:pPr>
        <w:spacing w:before="120" w:after="120"/>
        <w:jc w:val="both"/>
      </w:pPr>
      <w:r w:rsidRPr="005E46D3">
        <w:lastRenderedPageBreak/>
        <w:t>Les politiques éducatives récentes accordent donc plus de choix et plus de moyens aux parents pour exercer ce choix de l’école. Elles renforcent ainsi le pouvoir des parents sur les orientations et le fon</w:t>
      </w:r>
      <w:r w:rsidRPr="005E46D3">
        <w:t>c</w:t>
      </w:r>
      <w:r w:rsidRPr="005E46D3">
        <w:t>tionnement des écoles. Elles instaurent une concurrence entre les ét</w:t>
      </w:r>
      <w:r w:rsidRPr="005E46D3">
        <w:t>a</w:t>
      </w:r>
      <w:r w:rsidRPr="005E46D3">
        <w:t>blissements et les obligent à se placer sur un “quasi-marché scolaire” et à adopter des stratégies pert</w:t>
      </w:r>
      <w:r w:rsidRPr="005E46D3">
        <w:t>i</w:t>
      </w:r>
      <w:r w:rsidRPr="005E46D3">
        <w:t>nentes.</w:t>
      </w:r>
    </w:p>
    <w:p w14:paraId="5ED61032" w14:textId="77777777" w:rsidR="0065175B" w:rsidRPr="005E46D3" w:rsidRDefault="0065175B" w:rsidP="0065175B">
      <w:pPr>
        <w:spacing w:before="120" w:after="120"/>
        <w:jc w:val="both"/>
      </w:pPr>
      <w:r w:rsidRPr="005E46D3">
        <w:t>D’une certaine façon, le choix de l’école par les parents n’est pas une réalité nouvelle. Il y a déjà un moment que les parents de classes moyennes déterminent leur lieu de résidence en t</w:t>
      </w:r>
      <w:r w:rsidRPr="005E46D3">
        <w:t>e</w:t>
      </w:r>
      <w:r w:rsidRPr="005E46D3">
        <w:t>nant compte de la réputation des établissements de leur arrondi</w:t>
      </w:r>
      <w:r w:rsidRPr="005E46D3">
        <w:t>s</w:t>
      </w:r>
      <w:r w:rsidRPr="005E46D3">
        <w:t>sement ; que les parents scolarisés et bien informés interviennent pour obtenir gain de cause pour leur enfant (choix de l’école, des enseignants, des matières, etc.). Jusqu’à récemment cepe</w:t>
      </w:r>
      <w:r w:rsidRPr="005E46D3">
        <w:t>n</w:t>
      </w:r>
      <w:r w:rsidRPr="005E46D3">
        <w:t>dant, les autorités ministérielles, au nom de l’équité sociale et de l’intégrité du service public d’éducation, n’encourageaient pas ou peu, ce type de co</w:t>
      </w:r>
      <w:r w:rsidRPr="005E46D3">
        <w:t>m</w:t>
      </w:r>
      <w:r w:rsidRPr="005E46D3">
        <w:t>portement. La nouveauté réside dans l’encouragement des pouvoirs publics et leur utilisation du choix des parents comme stratégie de changement des établi</w:t>
      </w:r>
      <w:r w:rsidRPr="005E46D3">
        <w:t>s</w:t>
      </w:r>
      <w:r w:rsidRPr="005E46D3">
        <w:t>sements : refrain connu, la concurrence est saine, le client est roi, les acteurs de base du système bougeront s’ils craignent que les parents insatisfaits risquent de déserter leur école, la pression imp</w:t>
      </w:r>
      <w:r w:rsidRPr="005E46D3">
        <w:t>o</w:t>
      </w:r>
      <w:r w:rsidRPr="005E46D3">
        <w:t>sée par les parents consommateurs est la seule stratégie de changement, etc.</w:t>
      </w:r>
    </w:p>
    <w:p w14:paraId="55383E2E" w14:textId="77777777" w:rsidR="0065175B" w:rsidRPr="005E46D3" w:rsidRDefault="0065175B" w:rsidP="0065175B">
      <w:pPr>
        <w:spacing w:before="120" w:after="120"/>
        <w:jc w:val="both"/>
      </w:pPr>
      <w:r w:rsidRPr="005E46D3">
        <w:t>Cependant, il ne faut pas surestimer ce phénomène qui reste propre aux grandes agglomérations urbaines. Pour une grande portion du te</w:t>
      </w:r>
      <w:r w:rsidRPr="005E46D3">
        <w:t>r</w:t>
      </w:r>
      <w:r w:rsidRPr="005E46D3">
        <w:t>ritoire canadien, la priorité est plutôt d’assurer à tous une offre éduc</w:t>
      </w:r>
      <w:r w:rsidRPr="005E46D3">
        <w:t>a</w:t>
      </w:r>
      <w:r w:rsidRPr="005E46D3">
        <w:t>tive de base, proche des familles, à un coût raisonnable pour la colle</w:t>
      </w:r>
      <w:r w:rsidRPr="005E46D3">
        <w:t>c</w:t>
      </w:r>
      <w:r w:rsidRPr="005E46D3">
        <w:t>tivité. Dans les régions peu densément peuplées ou éloignées, le choix est un luxe inaccessible et on travaille à des fusions de services pl</w:t>
      </w:r>
      <w:r w:rsidRPr="005E46D3">
        <w:t>u</w:t>
      </w:r>
      <w:r w:rsidRPr="005E46D3">
        <w:t>tôt qu’à leur multiplic</w:t>
      </w:r>
      <w:r w:rsidRPr="005E46D3">
        <w:t>a</w:t>
      </w:r>
      <w:r w:rsidRPr="005E46D3">
        <w:t>tion.</w:t>
      </w:r>
    </w:p>
    <w:p w14:paraId="69B659C1" w14:textId="77777777" w:rsidR="0065175B" w:rsidRPr="005E46D3" w:rsidRDefault="0065175B" w:rsidP="0065175B">
      <w:pPr>
        <w:spacing w:before="120" w:after="120"/>
        <w:jc w:val="both"/>
      </w:pPr>
      <w:r w:rsidRPr="005E46D3">
        <w:t>Quoi qu’il en soit, l’extension du choix de l’école par les parents déstabilise l’offre scolaire publique et la soumet, davant</w:t>
      </w:r>
      <w:r w:rsidRPr="005E46D3">
        <w:t>a</w:t>
      </w:r>
      <w:r w:rsidRPr="005E46D3">
        <w:t>ge que par le passé, à la logique de la demande. Cela change la régulation du sy</w:t>
      </w:r>
      <w:r w:rsidRPr="005E46D3">
        <w:t>s</w:t>
      </w:r>
      <w:r w:rsidRPr="005E46D3">
        <w:t>tème.</w:t>
      </w:r>
    </w:p>
    <w:p w14:paraId="139E224C" w14:textId="77777777" w:rsidR="0065175B" w:rsidRPr="005E46D3" w:rsidRDefault="0065175B" w:rsidP="0065175B">
      <w:pPr>
        <w:spacing w:before="120" w:after="120"/>
        <w:jc w:val="both"/>
      </w:pPr>
      <w:r>
        <w:br w:type="page"/>
      </w:r>
    </w:p>
    <w:p w14:paraId="349687A4" w14:textId="77777777" w:rsidR="0065175B" w:rsidRPr="005E46D3" w:rsidRDefault="0065175B" w:rsidP="0065175B">
      <w:pPr>
        <w:pStyle w:val="b"/>
      </w:pPr>
      <w:r w:rsidRPr="00AA0952">
        <w:t>Partenariats</w:t>
      </w:r>
    </w:p>
    <w:p w14:paraId="0DDE63BE" w14:textId="77777777" w:rsidR="0065175B" w:rsidRDefault="0065175B" w:rsidP="0065175B">
      <w:pPr>
        <w:spacing w:before="120" w:after="120"/>
        <w:jc w:val="both"/>
      </w:pPr>
    </w:p>
    <w:p w14:paraId="27A5163D" w14:textId="77777777" w:rsidR="0065175B" w:rsidRPr="005E46D3" w:rsidRDefault="0065175B" w:rsidP="0065175B">
      <w:pPr>
        <w:spacing w:before="120" w:after="120"/>
        <w:jc w:val="both"/>
      </w:pPr>
      <w:r w:rsidRPr="005E46D3">
        <w:t>Dernier phénomène associé aux relations entre les acteurs du sy</w:t>
      </w:r>
      <w:r w:rsidRPr="005E46D3">
        <w:t>s</w:t>
      </w:r>
      <w:r w:rsidRPr="005E46D3">
        <w:t>tème, l’encouragement de partenariats avec le secteur privé, des org</w:t>
      </w:r>
      <w:r w:rsidRPr="005E46D3">
        <w:t>a</w:t>
      </w:r>
      <w:r w:rsidRPr="005E46D3">
        <w:t>nisations communautaires, des instances publiques œ</w:t>
      </w:r>
      <w:r w:rsidRPr="005E46D3">
        <w:t>u</w:t>
      </w:r>
      <w:r w:rsidRPr="005E46D3">
        <w:t>vrant dans d’autres champs – santé, gestion de la déviance, municipalités, etc. Ce vocable à la mode, entremêle plusieurs dime</w:t>
      </w:r>
      <w:r w:rsidRPr="005E46D3">
        <w:t>n</w:t>
      </w:r>
      <w:r w:rsidRPr="005E46D3">
        <w:t>sions, le rendant des plus ambigus. D’abord, l’injonction est fa</w:t>
      </w:r>
      <w:r w:rsidRPr="005E46D3">
        <w:t>i</w:t>
      </w:r>
      <w:r w:rsidRPr="005E46D3">
        <w:t>te aux acteurs scolaires de ne plus travailler uniquement entre eux, de sortir de leur “petit mo</w:t>
      </w:r>
      <w:r w:rsidRPr="005E46D3">
        <w:t>n</w:t>
      </w:r>
      <w:r w:rsidRPr="005E46D3">
        <w:t>de” et de partager leur pouvoir et leur influence avec des acteurs e</w:t>
      </w:r>
      <w:r w:rsidRPr="005E46D3">
        <w:t>x</w:t>
      </w:r>
      <w:r w:rsidRPr="005E46D3">
        <w:t>ternes, notamment des acteurs de la communauté. Ensuite, l’idée de confier au secteur privé certa</w:t>
      </w:r>
      <w:r w:rsidRPr="005E46D3">
        <w:t>i</w:t>
      </w:r>
      <w:r w:rsidRPr="005E46D3">
        <w:t>nes tâches, afin d’être plus efficient et efficace. Dans ce cas, le rappr</w:t>
      </w:r>
      <w:r w:rsidRPr="005E46D3">
        <w:t>o</w:t>
      </w:r>
      <w:r w:rsidRPr="005E46D3">
        <w:t>chement avec</w:t>
      </w:r>
      <w:r>
        <w:t xml:space="preserve"> [195] </w:t>
      </w:r>
      <w:r w:rsidRPr="005E46D3">
        <w:t>le privé touche à la fois la gestion des écoles et certains pans des programmes, comme en formation professionnelle et tec</w:t>
      </w:r>
      <w:r w:rsidRPr="005E46D3">
        <w:t>h</w:t>
      </w:r>
      <w:r w:rsidRPr="005E46D3">
        <w:t>nique. D’aucuns y voient la première étape vers une privatisation du système et sa soumission au monde du tr</w:t>
      </w:r>
      <w:r w:rsidRPr="005E46D3">
        <w:t>a</w:t>
      </w:r>
      <w:r w:rsidRPr="005E46D3">
        <w:t>vail.</w:t>
      </w:r>
    </w:p>
    <w:p w14:paraId="0352EE11" w14:textId="77777777" w:rsidR="0065175B" w:rsidRPr="005E46D3" w:rsidRDefault="0065175B" w:rsidP="0065175B">
      <w:pPr>
        <w:spacing w:before="120" w:after="120"/>
        <w:jc w:val="both"/>
      </w:pPr>
      <w:r w:rsidRPr="005E46D3">
        <w:t>Ces deux acceptions du partenariat sont différentes. La première est fondée sur une conception élargie de la dém</w:t>
      </w:r>
      <w:r w:rsidRPr="005E46D3">
        <w:t>o</w:t>
      </w:r>
      <w:r w:rsidRPr="005E46D3">
        <w:t>cratie de participation communautaire que l’on retrouve en Saskatchewan, dans les Territo</w:t>
      </w:r>
      <w:r w:rsidRPr="005E46D3">
        <w:t>i</w:t>
      </w:r>
      <w:r w:rsidRPr="005E46D3">
        <w:t>res et dans plusieurs commissions scolaires u</w:t>
      </w:r>
      <w:r w:rsidRPr="005E46D3">
        <w:t>r</w:t>
      </w:r>
      <w:r w:rsidRPr="005E46D3">
        <w:t>baines du Canada aux prises avec d’importantes clientèles d’élèves de milieu à faible revenu. Dans ce cas, l’injonction au partenariat prend les habits de l’intégration des services – concept voisin des “</w:t>
      </w:r>
      <w:r w:rsidRPr="005E46D3">
        <w:rPr>
          <w:i/>
          <w:iCs/>
        </w:rPr>
        <w:t>full service schools</w:t>
      </w:r>
      <w:r w:rsidRPr="005E46D3">
        <w:t>” aux États-Unis – et se manifeste par des tables i</w:t>
      </w:r>
      <w:r w:rsidRPr="005E46D3">
        <w:t>n</w:t>
      </w:r>
      <w:r w:rsidRPr="005E46D3">
        <w:t>tersectorielles de concertation autour de l’éducation des jeunes et de leur insertion s</w:t>
      </w:r>
      <w:r w:rsidRPr="005E46D3">
        <w:t>o</w:t>
      </w:r>
      <w:r w:rsidRPr="005E46D3">
        <w:t>ciocommunautaire. Cette approche s’éloigne d’un modèle de distrib</w:t>
      </w:r>
      <w:r w:rsidRPr="005E46D3">
        <w:t>u</w:t>
      </w:r>
      <w:r w:rsidRPr="005E46D3">
        <w:t>tion des services publics de type “silo” et augmente plutôt leur int</w:t>
      </w:r>
      <w:r w:rsidRPr="005E46D3">
        <w:t>é</w:t>
      </w:r>
      <w:r w:rsidRPr="005E46D3">
        <w:t>gration. Par exemple, le Manitoba School improvement Program, m</w:t>
      </w:r>
      <w:r w:rsidRPr="005E46D3">
        <w:t>e</w:t>
      </w:r>
      <w:r w:rsidRPr="005E46D3">
        <w:t>né par une organisation à but non lucratif, non gouvernementale et indépendante, regroupe divers partenaires internes et e</w:t>
      </w:r>
      <w:r w:rsidRPr="005E46D3">
        <w:t>x</w:t>
      </w:r>
      <w:r w:rsidRPr="005E46D3">
        <w:t xml:space="preserve">ternes à l’éducation. Quant à la seconde acception, proche de la conception de la démocratie libérale et de la libre entreprise, elle entend soumettre l’école aux normes de performances éprouvées dans le privé. Malgré la rhétorique favorable ou défavorable à la privatisation des systèmes éducatifs des provinces et des territoires canadiens – à tout le moins à </w:t>
      </w:r>
      <w:r w:rsidRPr="005E46D3">
        <w:lastRenderedPageBreak/>
        <w:t>des partenariats entre privé et p</w:t>
      </w:r>
      <w:r w:rsidRPr="005E46D3">
        <w:t>u</w:t>
      </w:r>
      <w:r w:rsidRPr="005E46D3">
        <w:t>blic en matière d’éducation – force est de constater la brièveté de la vie et le peu de gén</w:t>
      </w:r>
      <w:r w:rsidRPr="005E46D3">
        <w:t>é</w:t>
      </w:r>
      <w:r w:rsidRPr="005E46D3">
        <w:t>ralisation de ces partenariats. Nous sommes donc assez loin d’une privatisation de l’éducation.</w:t>
      </w:r>
    </w:p>
    <w:p w14:paraId="1F83B5BB" w14:textId="77777777" w:rsidR="0065175B" w:rsidRPr="005E46D3" w:rsidRDefault="0065175B" w:rsidP="0065175B">
      <w:pPr>
        <w:spacing w:before="120" w:after="120"/>
        <w:jc w:val="both"/>
      </w:pPr>
    </w:p>
    <w:p w14:paraId="1ADF7937" w14:textId="77777777" w:rsidR="0065175B" w:rsidRPr="005E46D3" w:rsidRDefault="0065175B" w:rsidP="0065175B">
      <w:pPr>
        <w:pStyle w:val="planche"/>
      </w:pPr>
      <w:bookmarkStart w:id="9" w:name="Gouvernance_4"/>
      <w:r w:rsidRPr="005E46D3">
        <w:t>Signification des tendances observées</w:t>
      </w:r>
    </w:p>
    <w:bookmarkEnd w:id="9"/>
    <w:p w14:paraId="0A39F8E4" w14:textId="77777777" w:rsidR="0065175B" w:rsidRPr="005E46D3" w:rsidRDefault="0065175B" w:rsidP="0065175B">
      <w:pPr>
        <w:spacing w:before="120" w:after="120"/>
        <w:jc w:val="both"/>
      </w:pPr>
    </w:p>
    <w:p w14:paraId="6D0E085C" w14:textId="77777777" w:rsidR="0065175B" w:rsidRPr="00384B20" w:rsidRDefault="0065175B" w:rsidP="0065175B">
      <w:pPr>
        <w:ind w:right="90" w:firstLine="0"/>
        <w:jc w:val="both"/>
        <w:rPr>
          <w:sz w:val="20"/>
        </w:rPr>
      </w:pPr>
      <w:hyperlink w:anchor="tdm" w:history="1">
        <w:r w:rsidRPr="00384B20">
          <w:rPr>
            <w:rStyle w:val="Hyperlien"/>
            <w:sz w:val="20"/>
          </w:rPr>
          <w:t>Retour à la table des matières</w:t>
        </w:r>
      </w:hyperlink>
    </w:p>
    <w:p w14:paraId="4E63A0D7" w14:textId="77777777" w:rsidR="0065175B" w:rsidRPr="005E46D3" w:rsidRDefault="0065175B" w:rsidP="0065175B">
      <w:pPr>
        <w:spacing w:before="120" w:after="120"/>
        <w:jc w:val="both"/>
      </w:pPr>
      <w:r>
        <w:t>R</w:t>
      </w:r>
      <w:r w:rsidRPr="005E46D3">
        <w:t>appelons que l’héritage canadien en matière de gouve</w:t>
      </w:r>
      <w:r w:rsidRPr="005E46D3">
        <w:t>r</w:t>
      </w:r>
      <w:r w:rsidRPr="005E46D3">
        <w:t>nance peut être compris en référence à un axe vertical et un axe horizontal. E</w:t>
      </w:r>
      <w:r w:rsidRPr="005E46D3">
        <w:t>n</w:t>
      </w:r>
      <w:r w:rsidRPr="005E46D3">
        <w:t>semble, les</w:t>
      </w:r>
      <w:r>
        <w:t xml:space="preserve"> </w:t>
      </w:r>
      <w:r w:rsidRPr="005E46D3">
        <w:t>phénomènes décrits ici contribuent à un double renforc</w:t>
      </w:r>
      <w:r w:rsidRPr="005E46D3">
        <w:t>e</w:t>
      </w:r>
      <w:r w:rsidRPr="005E46D3">
        <w:t>ment de ces axes et par là, à une intensification de la régul</w:t>
      </w:r>
      <w:r w:rsidRPr="005E46D3">
        <w:t>a</w:t>
      </w:r>
      <w:r w:rsidRPr="005E46D3">
        <w:t>tion de l’éducation.</w:t>
      </w:r>
    </w:p>
    <w:p w14:paraId="5F1E35D7" w14:textId="77777777" w:rsidR="0065175B" w:rsidRPr="005E46D3" w:rsidRDefault="0065175B" w:rsidP="0065175B">
      <w:pPr>
        <w:spacing w:before="120" w:after="120"/>
        <w:jc w:val="both"/>
      </w:pPr>
      <w:r w:rsidRPr="005E46D3">
        <w:t>Le renforcement de l’axe vertical de la gouvernance est lié au pil</w:t>
      </w:r>
      <w:r w:rsidRPr="005E46D3">
        <w:t>o</w:t>
      </w:r>
      <w:r w:rsidRPr="005E46D3">
        <w:t>tage et au contrôle accrus de la qualité par l’autorité ce</w:t>
      </w:r>
      <w:r w:rsidRPr="005E46D3">
        <w:t>n</w:t>
      </w:r>
      <w:r w:rsidRPr="005E46D3">
        <w:t>trale, grâce à l’instauration d’un curriculum centralisé et d’une obligation de résu</w:t>
      </w:r>
      <w:r w:rsidRPr="005E46D3">
        <w:t>l</w:t>
      </w:r>
      <w:r w:rsidRPr="005E46D3">
        <w:t>tats imposée par le p</w:t>
      </w:r>
      <w:r w:rsidRPr="005E46D3">
        <w:t>o</w:t>
      </w:r>
      <w:r w:rsidRPr="005E46D3">
        <w:t>litique à tous les paliers et rendue opérationnelle par le sommet de la pyramide bureaucr</w:t>
      </w:r>
      <w:r w:rsidRPr="005E46D3">
        <w:t>a</w:t>
      </w:r>
      <w:r w:rsidRPr="005E46D3">
        <w:t>tique du système éducatif. Contribuent aussi à son renforcement, le CMEC et sa stratégie panc</w:t>
      </w:r>
      <w:r w:rsidRPr="005E46D3">
        <w:t>a</w:t>
      </w:r>
      <w:r w:rsidRPr="005E46D3">
        <w:t>nadienne, le Conseil canadien sur l’apprentissage, les indicateurs de performance, la centralisation du financement et la fusion des co</w:t>
      </w:r>
      <w:r w:rsidRPr="005E46D3">
        <w:t>m</w:t>
      </w:r>
      <w:r w:rsidRPr="005E46D3">
        <w:t>missions scolaires. L’intensification de l’axe horizontal passe par la mobilis</w:t>
      </w:r>
      <w:r w:rsidRPr="005E46D3">
        <w:t>a</w:t>
      </w:r>
      <w:r w:rsidRPr="005E46D3">
        <w:t>tion des acteurs (internes et externes) de l’établissement dans le cadre de diverses formes de gestion décentralisée à l’échelon de l’établissement, la participation formelle accrue</w:t>
      </w:r>
      <w:r>
        <w:t xml:space="preserve"> [196] </w:t>
      </w:r>
      <w:r w:rsidRPr="005E46D3">
        <w:t>des parents et de la communauté, des plans de réussite con</w:t>
      </w:r>
      <w:r w:rsidRPr="005E46D3">
        <w:t>s</w:t>
      </w:r>
      <w:r w:rsidRPr="005E46D3">
        <w:t>truits et réalisés dans l’établissement comportant des partenariats communa</w:t>
      </w:r>
      <w:r w:rsidRPr="005E46D3">
        <w:t>u</w:t>
      </w:r>
      <w:r w:rsidRPr="005E46D3">
        <w:t>taires locaux ; elle est aussi liée à une plus grande compétition locale ou régionale pour les clientèles étudiantes, ex</w:t>
      </w:r>
      <w:r w:rsidRPr="005E46D3">
        <w:t>a</w:t>
      </w:r>
      <w:r w:rsidRPr="005E46D3">
        <w:t>cerbée par les palmarès d’établissements. Sur ce deuxième axe, des développements signific</w:t>
      </w:r>
      <w:r w:rsidRPr="005E46D3">
        <w:t>a</w:t>
      </w:r>
      <w:r w:rsidRPr="005E46D3">
        <w:t>tifs ont lieu : le renforcement de la participation parentale, les méc</w:t>
      </w:r>
      <w:r w:rsidRPr="005E46D3">
        <w:t>a</w:t>
      </w:r>
      <w:r w:rsidRPr="005E46D3">
        <w:t>nismes locaux de reddition de compte et d’imputabilité, la désectoris</w:t>
      </w:r>
      <w:r w:rsidRPr="005E46D3">
        <w:t>a</w:t>
      </w:r>
      <w:r w:rsidRPr="005E46D3">
        <w:t>tion et le développement d’un quasi-marché éd</w:t>
      </w:r>
      <w:r w:rsidRPr="005E46D3">
        <w:t>u</w:t>
      </w:r>
      <w:r w:rsidRPr="005E46D3">
        <w:t>catif du second degré.</w:t>
      </w:r>
    </w:p>
    <w:p w14:paraId="25045BDD" w14:textId="77777777" w:rsidR="0065175B" w:rsidRPr="005E46D3" w:rsidRDefault="0065175B" w:rsidP="0065175B">
      <w:pPr>
        <w:spacing w:before="120" w:after="120"/>
        <w:jc w:val="both"/>
      </w:pPr>
      <w:r w:rsidRPr="005E46D3">
        <w:t>S’agit-il d’une nouvelle régulation de l’éducation ? Oui d’abord par l’importance grandissante et générale de la pri</w:t>
      </w:r>
      <w:r w:rsidRPr="005E46D3">
        <w:t>o</w:t>
      </w:r>
      <w:r w:rsidRPr="005E46D3">
        <w:t xml:space="preserve">rité accordée aux résultats, des indicateurs de performance, de l’augmentation des choix </w:t>
      </w:r>
      <w:r w:rsidRPr="005E46D3">
        <w:lastRenderedPageBreak/>
        <w:t xml:space="preserve">pour les parents et donc de la concurrence entre les établissements, des pratiques de pilotage et d’encadrement liées au </w:t>
      </w:r>
      <w:r w:rsidRPr="005E46D3">
        <w:rPr>
          <w:i/>
          <w:iCs/>
        </w:rPr>
        <w:t>New Public M</w:t>
      </w:r>
      <w:r w:rsidRPr="005E46D3">
        <w:rPr>
          <w:i/>
          <w:iCs/>
        </w:rPr>
        <w:t>a</w:t>
      </w:r>
      <w:r w:rsidRPr="005E46D3">
        <w:rPr>
          <w:i/>
          <w:iCs/>
        </w:rPr>
        <w:t>nagement</w:t>
      </w:r>
      <w:r w:rsidRPr="005E46D3">
        <w:t>. E</w:t>
      </w:r>
      <w:r w:rsidRPr="005E46D3">
        <w:t>n</w:t>
      </w:r>
      <w:r w:rsidRPr="005E46D3">
        <w:t>suite, parce que les politiques éducatives actuelles, si elles n’éliminent pas le palier intermédiaire, affaiblissent son enrac</w:t>
      </w:r>
      <w:r w:rsidRPr="005E46D3">
        <w:t>i</w:t>
      </w:r>
      <w:r w:rsidRPr="005E46D3">
        <w:t>nement communautaire et fragilisent sa légitimité politique sans a</w:t>
      </w:r>
      <w:r w:rsidRPr="005E46D3">
        <w:t>c</w:t>
      </w:r>
      <w:r w:rsidRPr="005E46D3">
        <w:t>croître sa marge de manœuvre curriculaire et f</w:t>
      </w:r>
      <w:r w:rsidRPr="005E46D3">
        <w:t>i</w:t>
      </w:r>
      <w:r w:rsidRPr="005E46D3">
        <w:t>nancière. Par ailleurs, si de nouvelles dimensions de la régulation émergent ou prennent d</w:t>
      </w:r>
      <w:r w:rsidRPr="005E46D3">
        <w:t>a</w:t>
      </w:r>
      <w:r w:rsidRPr="005E46D3">
        <w:t>vantage de place – par exe</w:t>
      </w:r>
      <w:r w:rsidRPr="005E46D3">
        <w:t>m</w:t>
      </w:r>
      <w:r w:rsidRPr="005E46D3">
        <w:t>ple, celle liée au quasi-marché –, une transformation radicale de la gouvernance n’en découle pas : l’héritage structurel à trois paliers et un système de participation d</w:t>
      </w:r>
      <w:r w:rsidRPr="005E46D3">
        <w:t>é</w:t>
      </w:r>
      <w:r w:rsidRPr="005E46D3">
        <w:t>mocratique et communautaire perdurent.</w:t>
      </w:r>
    </w:p>
    <w:p w14:paraId="3344F032" w14:textId="77777777" w:rsidR="0065175B" w:rsidRPr="005E46D3" w:rsidRDefault="0065175B" w:rsidP="0065175B">
      <w:pPr>
        <w:spacing w:before="120" w:after="120"/>
        <w:jc w:val="both"/>
      </w:pPr>
      <w:r w:rsidRPr="005E46D3">
        <w:t>L’ensemble des provinces et des territoires canadiens, à des d</w:t>
      </w:r>
      <w:r w:rsidRPr="005E46D3">
        <w:t>e</w:t>
      </w:r>
      <w:r w:rsidRPr="005E46D3">
        <w:t>grés variables et avec des temporalités différentes, évolue en fonction du renforcement des deux axes, de l’intensification et de la diversific</w:t>
      </w:r>
      <w:r w:rsidRPr="005E46D3">
        <w:t>a</w:t>
      </w:r>
      <w:r w:rsidRPr="005E46D3">
        <w:t>tion des modes de régulation. Cependant, malgré ces tendances co</w:t>
      </w:r>
      <w:r w:rsidRPr="005E46D3">
        <w:t>m</w:t>
      </w:r>
      <w:r w:rsidRPr="005E46D3">
        <w:t>munes en polit</w:t>
      </w:r>
      <w:r w:rsidRPr="005E46D3">
        <w:t>i</w:t>
      </w:r>
      <w:r w:rsidRPr="005E46D3">
        <w:t>que éducative, il faut reconnaître que les provinces et les territoires ont des trajectoires politiques ou des cheminements hi</w:t>
      </w:r>
      <w:r w:rsidRPr="005E46D3">
        <w:t>s</w:t>
      </w:r>
      <w:r w:rsidRPr="005E46D3">
        <w:t>toriques différents : toutes et tous ne partent pas du même lieu, ne pa</w:t>
      </w:r>
      <w:r w:rsidRPr="005E46D3">
        <w:t>r</w:t>
      </w:r>
      <w:r w:rsidRPr="005E46D3">
        <w:t>courent pas la même route à la même vitesse. Des phénomènes de d</w:t>
      </w:r>
      <w:r w:rsidRPr="005E46D3">
        <w:t>é</w:t>
      </w:r>
      <w:r w:rsidRPr="005E46D3">
        <w:t xml:space="preserve">pendance du chemin parcouru – </w:t>
      </w:r>
      <w:r w:rsidRPr="005E46D3">
        <w:rPr>
          <w:i/>
          <w:iCs/>
        </w:rPr>
        <w:t>path d</w:t>
      </w:r>
      <w:r w:rsidRPr="005E46D3">
        <w:rPr>
          <w:i/>
          <w:iCs/>
        </w:rPr>
        <w:t>e</w:t>
      </w:r>
      <w:r w:rsidRPr="005E46D3">
        <w:rPr>
          <w:i/>
          <w:iCs/>
        </w:rPr>
        <w:t xml:space="preserve">pendency </w:t>
      </w:r>
      <w:r w:rsidRPr="005E46D3">
        <w:t>– (Palier &amp; Bonoli 1999) distinguent la Saskatchewan de l’Alberta ! L’Alberta a o</w:t>
      </w:r>
      <w:r w:rsidRPr="005E46D3">
        <w:t>u</w:t>
      </w:r>
      <w:r w:rsidRPr="005E46D3">
        <w:t>vert le chemin de la nouvelle gouvernance avec la Révolution du bon sens (go</w:t>
      </w:r>
      <w:r w:rsidRPr="005E46D3">
        <w:t>u</w:t>
      </w:r>
      <w:r w:rsidRPr="005E46D3">
        <w:t>vernement conservateur en 1992), suivi par l’Ontario à partir de 1996, puis la Colombie-Britannique depuis 2001. À l’opposé, la Sa</w:t>
      </w:r>
      <w:r w:rsidRPr="005E46D3">
        <w:t>s</w:t>
      </w:r>
      <w:r w:rsidRPr="005E46D3">
        <w:t>katchewan, tout en étant aussi soumise aux vents néo-libéraux, semble résister et conserver une appr</w:t>
      </w:r>
      <w:r w:rsidRPr="005E46D3">
        <w:t>o</w:t>
      </w:r>
      <w:r w:rsidRPr="005E46D3">
        <w:t>che éducative marquée par un souci d’équité sociale et de d</w:t>
      </w:r>
      <w:r w:rsidRPr="005E46D3">
        <w:t>é</w:t>
      </w:r>
      <w:r w:rsidRPr="005E46D3">
        <w:t>mocratie participative communautaire. Le Québec, dans la pr</w:t>
      </w:r>
      <w:r w:rsidRPr="005E46D3">
        <w:t>e</w:t>
      </w:r>
      <w:r w:rsidRPr="005E46D3">
        <w:t>mière moitié des années 1990, semblait vouloir “remettre l’école sur les rails de l’égalité des chances” (rapport de la commission des États Généraux de l’Éducation de 1996, 90) ; il paraît aujourd’hui rattrapé par les courants néo-libéraux, notamment depuis l’adoption de la loi sur la m</w:t>
      </w:r>
      <w:r w:rsidRPr="005E46D3">
        <w:t>o</w:t>
      </w:r>
      <w:r w:rsidRPr="005E46D3">
        <w:t>dernisation de l’État en 2000 et avec l’arrivée au pouvoir du gouvernement actuel (2003). Nous soumettons à titre hyp</w:t>
      </w:r>
      <w:r w:rsidRPr="005E46D3">
        <w:t>o</w:t>
      </w:r>
      <w:r w:rsidRPr="005E46D3">
        <w:t>thétique et pour fin de discussion le continuum suivant et les diverses positions des provinces et des territoires :</w:t>
      </w:r>
    </w:p>
    <w:p w14:paraId="76BF8FDE" w14:textId="77777777" w:rsidR="0065175B" w:rsidRPr="005E46D3" w:rsidRDefault="0065175B" w:rsidP="0065175B">
      <w:pPr>
        <w:pStyle w:val="p"/>
      </w:pPr>
      <w:r w:rsidRPr="005E46D3">
        <w:br w:type="page"/>
      </w:r>
      <w:r>
        <w:t>[197]</w:t>
      </w:r>
    </w:p>
    <w:p w14:paraId="2DFF3275" w14:textId="77777777" w:rsidR="0065175B" w:rsidRPr="005E46D3" w:rsidRDefault="0065175B" w:rsidP="0065175B">
      <w:pPr>
        <w:spacing w:before="120" w:after="120"/>
        <w:jc w:val="both"/>
      </w:pPr>
    </w:p>
    <w:p w14:paraId="323F8141" w14:textId="77777777" w:rsidR="0065175B" w:rsidRDefault="0065175B" w:rsidP="0065175B">
      <w:pPr>
        <w:pStyle w:val="figtitre"/>
      </w:pPr>
      <w:r w:rsidRPr="005E46D3">
        <w:t>Tableau</w:t>
      </w:r>
      <w:r>
        <w:t xml:space="preserve"> 3</w:t>
      </w:r>
    </w:p>
    <w:p w14:paraId="494E70C8" w14:textId="77777777" w:rsidR="0065175B" w:rsidRPr="005E46D3" w:rsidRDefault="0065175B" w:rsidP="0065175B">
      <w:pPr>
        <w:pStyle w:val="figtitrest"/>
      </w:pPr>
      <w:r w:rsidRPr="005E46D3">
        <w:t>Gouvernance de l’éducation et démocratie l</w:t>
      </w:r>
      <w:r w:rsidRPr="005E46D3">
        <w:t>i</w:t>
      </w:r>
      <w:r w:rsidRPr="005E46D3">
        <w:t>bérale</w:t>
      </w:r>
      <w:r>
        <w:br/>
      </w:r>
      <w:r w:rsidRPr="005E46D3">
        <w:t>fondée sur le marché et la libre entreprise</w:t>
      </w:r>
    </w:p>
    <w:p w14:paraId="61497E26" w14:textId="77777777" w:rsidR="0065175B" w:rsidRDefault="00035F0D" w:rsidP="0065175B">
      <w:pPr>
        <w:pStyle w:val="fig"/>
        <w:rPr>
          <w:noProof/>
          <w:lang w:val="fr-FR" w:eastAsia="fr-FR"/>
        </w:rPr>
      </w:pPr>
      <w:r w:rsidRPr="00AA0952">
        <w:rPr>
          <w:noProof/>
          <w:lang w:val="fr-FR" w:eastAsia="fr-FR"/>
        </w:rPr>
        <w:drawing>
          <wp:inline distT="0" distB="0" distL="0" distR="0" wp14:anchorId="0BA3F6FF" wp14:editId="2C4752D4">
            <wp:extent cx="5029200" cy="24892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29200" cy="2489200"/>
                    </a:xfrm>
                    <a:prstGeom prst="rect">
                      <a:avLst/>
                    </a:prstGeom>
                    <a:noFill/>
                    <a:ln>
                      <a:noFill/>
                    </a:ln>
                  </pic:spPr>
                </pic:pic>
              </a:graphicData>
            </a:graphic>
          </wp:inline>
        </w:drawing>
      </w:r>
    </w:p>
    <w:p w14:paraId="5B795B4F" w14:textId="77777777" w:rsidR="0065175B" w:rsidRPr="005E46D3" w:rsidRDefault="0065175B" w:rsidP="0065175B">
      <w:pPr>
        <w:pStyle w:val="figst0"/>
      </w:pPr>
      <w:r w:rsidRPr="005E46D3">
        <w:t>Source : Gouvernance de l’éducation et démocratie de participation comm</w:t>
      </w:r>
      <w:r w:rsidRPr="005E46D3">
        <w:t>u</w:t>
      </w:r>
      <w:r w:rsidRPr="005E46D3">
        <w:t>nautaire</w:t>
      </w:r>
    </w:p>
    <w:p w14:paraId="59B0C7EE" w14:textId="77777777" w:rsidR="0065175B" w:rsidRPr="005E46D3" w:rsidRDefault="0065175B" w:rsidP="0065175B">
      <w:pPr>
        <w:spacing w:before="120" w:after="120"/>
        <w:jc w:val="both"/>
      </w:pPr>
    </w:p>
    <w:p w14:paraId="6DF2D451" w14:textId="77777777" w:rsidR="0065175B" w:rsidRPr="005E46D3" w:rsidRDefault="0065175B" w:rsidP="0065175B">
      <w:pPr>
        <w:spacing w:before="120" w:after="120"/>
        <w:jc w:val="both"/>
      </w:pPr>
      <w:r w:rsidRPr="005E46D3">
        <w:t>Nous présentons cette liste des provinces et des territoires sur un continuum à titre heuristique. Excepté celles des pr</w:t>
      </w:r>
      <w:r w:rsidRPr="005E46D3">
        <w:t>o</w:t>
      </w:r>
      <w:r w:rsidRPr="005E46D3">
        <w:t>vinces situées à l’un ou l’autre pôle du continuum, les positions apparaissent discut</w:t>
      </w:r>
      <w:r w:rsidRPr="005E46D3">
        <w:t>a</w:t>
      </w:r>
      <w:r w:rsidRPr="005E46D3">
        <w:t>bles. Il y a ici matière à appréci</w:t>
      </w:r>
      <w:r w:rsidRPr="005E46D3">
        <w:t>a</w:t>
      </w:r>
      <w:r w:rsidRPr="005E46D3">
        <w:t>tion, d’autant qu’il n’est pas toujours aisé de faire la part e</w:t>
      </w:r>
      <w:r w:rsidRPr="005E46D3">
        <w:t>n</w:t>
      </w:r>
      <w:r w:rsidRPr="005E46D3">
        <w:t>tre la rhétorique politique et l’évolution réelle des systèmes et des rapports s</w:t>
      </w:r>
      <w:r w:rsidRPr="005E46D3">
        <w:t>o</w:t>
      </w:r>
      <w:r w:rsidRPr="005E46D3">
        <w:t>ciaux entre les acteurs.</w:t>
      </w:r>
    </w:p>
    <w:p w14:paraId="17C825FC" w14:textId="77777777" w:rsidR="0065175B" w:rsidRPr="005E46D3" w:rsidRDefault="0065175B" w:rsidP="0065175B">
      <w:pPr>
        <w:spacing w:before="120" w:after="120"/>
        <w:jc w:val="both"/>
      </w:pPr>
      <w:r w:rsidRPr="005E46D3">
        <w:t>Les provinces situées aux deux extrémités ont adopté des stratégies de changement radicalement différentes, les unes privilégiant la confrontation, notamment avec les acteurs internes du système éduc</w:t>
      </w:r>
      <w:r w:rsidRPr="005E46D3">
        <w:t>a</w:t>
      </w:r>
      <w:r w:rsidRPr="005E46D3">
        <w:t>tif, les autres continuant à préférer la collaboration et la construction de larges consensus. Le pr</w:t>
      </w:r>
      <w:r w:rsidRPr="005E46D3">
        <w:t>e</w:t>
      </w:r>
      <w:r w:rsidRPr="005E46D3">
        <w:t>mier cas fonctionne dans le cadre strict de la démocratie représentative, le second s’appuie sur le système de pa</w:t>
      </w:r>
      <w:r w:rsidRPr="005E46D3">
        <w:t>r</w:t>
      </w:r>
      <w:r w:rsidRPr="005E46D3">
        <w:t>ticip</w:t>
      </w:r>
      <w:r w:rsidRPr="005E46D3">
        <w:t>a</w:t>
      </w:r>
      <w:r w:rsidRPr="005E46D3">
        <w:t>tion démocratique et communautaire hérité du passé.</w:t>
      </w:r>
    </w:p>
    <w:p w14:paraId="7465E014" w14:textId="77777777" w:rsidR="0065175B" w:rsidRPr="005E46D3" w:rsidRDefault="0065175B" w:rsidP="0065175B">
      <w:pPr>
        <w:spacing w:before="120" w:after="120"/>
        <w:jc w:val="both"/>
      </w:pPr>
      <w:r w:rsidRPr="005E46D3">
        <w:t>Une troisième dimension, le rôle de l’État central, devrait être pr</w:t>
      </w:r>
      <w:r w:rsidRPr="005E46D3">
        <w:t>é</w:t>
      </w:r>
      <w:r w:rsidRPr="005E46D3">
        <w:t>sente car le tableau 3 oppose deux formes de gouverna</w:t>
      </w:r>
      <w:r w:rsidRPr="005E46D3">
        <w:t>n</w:t>
      </w:r>
      <w:r w:rsidRPr="005E46D3">
        <w:t>ce locale, l’une réglée par le marché et le libre choix de l’école de parents consommateurs de services éducatifs (A</w:t>
      </w:r>
      <w:r w:rsidRPr="005E46D3">
        <w:t>l</w:t>
      </w:r>
      <w:r w:rsidRPr="005E46D3">
        <w:t>berta), l’autre animée par des communautés locales partageant des v</w:t>
      </w:r>
      <w:r w:rsidRPr="005E46D3">
        <w:t>a</w:t>
      </w:r>
      <w:r w:rsidRPr="005E46D3">
        <w:t>leurs citoyennes et une notion du bien public local (Saskatchewan). Comme noté plus haut, dans pl</w:t>
      </w:r>
      <w:r w:rsidRPr="005E46D3">
        <w:t>u</w:t>
      </w:r>
      <w:r w:rsidRPr="005E46D3">
        <w:t>sieurs provinces (Ontario, provinces maritimes – APEF –, etc.), la d</w:t>
      </w:r>
      <w:r w:rsidRPr="005E46D3">
        <w:t>é</w:t>
      </w:r>
      <w:r w:rsidRPr="005E46D3">
        <w:t>cennie 1990 a été marquée par diverses formes de centralisation, n</w:t>
      </w:r>
      <w:r w:rsidRPr="005E46D3">
        <w:t>o</w:t>
      </w:r>
      <w:r w:rsidRPr="005E46D3">
        <w:t>tamment aux plans du curriculum et de l’évaluation, pour bien refléter cette évolution, notre tableau devrait comprendre la dimension du re</w:t>
      </w:r>
      <w:r w:rsidRPr="005E46D3">
        <w:t>n</w:t>
      </w:r>
      <w:r w:rsidRPr="005E46D3">
        <w:t>forcement du rôle de l’État central. Tâche difficile car plusieurs d</w:t>
      </w:r>
      <w:r w:rsidRPr="005E46D3">
        <w:t>i</w:t>
      </w:r>
      <w:r w:rsidRPr="005E46D3">
        <w:t>mensions de la centralisation coexistent, celle du curriculum et de l’évaluation, du financement et de l’encadrement portant sur les no</w:t>
      </w:r>
      <w:r w:rsidRPr="005E46D3">
        <w:t>r</w:t>
      </w:r>
      <w:r w:rsidRPr="005E46D3">
        <w:t>mes régulant l’usage des ressources consenties aux commissions</w:t>
      </w:r>
      <w:r>
        <w:t xml:space="preserve"> [198] </w:t>
      </w:r>
      <w:r w:rsidRPr="005E46D3">
        <w:t>scolaires et aux établissements (conventions collectives de travail, normes de gestion des équipements, etc.).</w:t>
      </w:r>
    </w:p>
    <w:p w14:paraId="03524D90" w14:textId="77777777" w:rsidR="0065175B" w:rsidRPr="005E46D3" w:rsidRDefault="0065175B" w:rsidP="0065175B">
      <w:pPr>
        <w:spacing w:before="120" w:after="120"/>
        <w:jc w:val="both"/>
      </w:pPr>
      <w:r w:rsidRPr="005E46D3">
        <w:t>Nonobstant ces difficultés et à titre hypothétique, le tableau</w:t>
      </w:r>
      <w:r>
        <w:t> </w:t>
      </w:r>
      <w:r w:rsidRPr="005E46D3">
        <w:t>4 pr</w:t>
      </w:r>
      <w:r w:rsidRPr="005E46D3">
        <w:t>é</w:t>
      </w:r>
      <w:r w:rsidRPr="005E46D3">
        <w:t>sente le croisement de la dimension centralis</w:t>
      </w:r>
      <w:r w:rsidRPr="005E46D3">
        <w:t>a</w:t>
      </w:r>
      <w:r w:rsidRPr="005E46D3">
        <w:t>tion-décentralisation (du financement, du curriculum et de l’évaluation des apprentissages) avec les deux types de gouvernance identifiés. Si une tendance panc</w:t>
      </w:r>
      <w:r w:rsidRPr="005E46D3">
        <w:t>a</w:t>
      </w:r>
      <w:r w:rsidRPr="005E46D3">
        <w:t>nadienne se dég</w:t>
      </w:r>
      <w:r w:rsidRPr="005E46D3">
        <w:t>a</w:t>
      </w:r>
      <w:r w:rsidRPr="005E46D3">
        <w:t>ge, elle se manifeste par un double mouvement vers le haut – la central</w:t>
      </w:r>
      <w:r w:rsidRPr="005E46D3">
        <w:t>i</w:t>
      </w:r>
      <w:r w:rsidRPr="005E46D3">
        <w:t>sation – et vers la droite – une gouvernance de type démocratie libérale – là où se retrouvent déjà les provinces les plus riches (Alberta, Ontario, Colombie-Britannique) auxquelles le Québec pourrait se joindre si les orientations du gouvernement actuel ne sont pas neutralisées par la soci</w:t>
      </w:r>
      <w:r w:rsidRPr="005E46D3">
        <w:t>é</w:t>
      </w:r>
      <w:r w:rsidRPr="005E46D3">
        <w:t>té civile, traditionnellement plus sociale-démocrate.</w:t>
      </w:r>
    </w:p>
    <w:p w14:paraId="07764F2E" w14:textId="77777777" w:rsidR="0065175B" w:rsidRDefault="0065175B" w:rsidP="0065175B">
      <w:pPr>
        <w:spacing w:before="120" w:after="120"/>
        <w:jc w:val="both"/>
      </w:pPr>
      <w:r>
        <w:br w:type="page"/>
      </w:r>
    </w:p>
    <w:p w14:paraId="60C83E3A" w14:textId="77777777" w:rsidR="0065175B" w:rsidRDefault="0065175B" w:rsidP="0065175B">
      <w:pPr>
        <w:pStyle w:val="figtitre"/>
      </w:pPr>
      <w:r>
        <w:t>Tableau 4</w:t>
      </w:r>
    </w:p>
    <w:p w14:paraId="7D080F79" w14:textId="77777777" w:rsidR="0065175B" w:rsidRPr="00AA0952" w:rsidRDefault="0065175B" w:rsidP="0065175B">
      <w:pPr>
        <w:pStyle w:val="figtitrest"/>
      </w:pPr>
      <w:r w:rsidRPr="00AA0952">
        <w:t>Types de gouvernance et centralis</w:t>
      </w:r>
      <w:r w:rsidRPr="00AA0952">
        <w:t>a</w:t>
      </w:r>
      <w:r w:rsidRPr="00AA0952">
        <w:t>tion/décentralisation</w:t>
      </w:r>
      <w:r>
        <w:br/>
      </w:r>
      <w:r w:rsidRPr="00AA0952">
        <w:t>de l’éducation au Canada</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0"/>
        <w:gridCol w:w="1301"/>
        <w:gridCol w:w="1299"/>
        <w:gridCol w:w="1251"/>
        <w:gridCol w:w="1351"/>
      </w:tblGrid>
      <w:tr w:rsidR="0065175B" w:rsidRPr="00AA0952" w14:paraId="7A9D90CD" w14:textId="77777777">
        <w:trPr>
          <w:trHeight w:val="827"/>
        </w:trPr>
        <w:tc>
          <w:tcPr>
            <w:tcW w:w="2600" w:type="dxa"/>
            <w:shd w:val="clear" w:color="auto" w:fill="E5E5E5"/>
          </w:tcPr>
          <w:p w14:paraId="394692C3" w14:textId="77777777" w:rsidR="0065175B" w:rsidRPr="00AA0952" w:rsidRDefault="0065175B" w:rsidP="0065175B">
            <w:pPr>
              <w:spacing w:before="60" w:after="60"/>
              <w:ind w:left="151" w:right="113" w:firstLine="0"/>
              <w:jc w:val="both"/>
              <w:rPr>
                <w:sz w:val="24"/>
              </w:rPr>
            </w:pPr>
          </w:p>
        </w:tc>
        <w:tc>
          <w:tcPr>
            <w:tcW w:w="2600" w:type="dxa"/>
            <w:gridSpan w:val="2"/>
            <w:shd w:val="clear" w:color="auto" w:fill="E5E5E5"/>
          </w:tcPr>
          <w:p w14:paraId="63791BC7" w14:textId="77777777" w:rsidR="0065175B" w:rsidRPr="00AA0952" w:rsidRDefault="0065175B" w:rsidP="0065175B">
            <w:pPr>
              <w:spacing w:before="60" w:after="60"/>
              <w:ind w:left="151" w:right="113" w:firstLine="0"/>
              <w:jc w:val="center"/>
              <w:rPr>
                <w:sz w:val="24"/>
              </w:rPr>
            </w:pPr>
            <w:r w:rsidRPr="00AA0952">
              <w:rPr>
                <w:sz w:val="24"/>
              </w:rPr>
              <w:t>Gouvernance et dém</w:t>
            </w:r>
            <w:r w:rsidRPr="00AA0952">
              <w:rPr>
                <w:sz w:val="24"/>
              </w:rPr>
              <w:t>o</w:t>
            </w:r>
            <w:r w:rsidRPr="00AA0952">
              <w:rPr>
                <w:sz w:val="24"/>
              </w:rPr>
              <w:t>cratie de part</w:t>
            </w:r>
            <w:r w:rsidRPr="00AA0952">
              <w:rPr>
                <w:sz w:val="24"/>
              </w:rPr>
              <w:t>i</w:t>
            </w:r>
            <w:r w:rsidRPr="00AA0952">
              <w:rPr>
                <w:sz w:val="24"/>
              </w:rPr>
              <w:t>cipation communa</w:t>
            </w:r>
            <w:r w:rsidRPr="00AA0952">
              <w:rPr>
                <w:sz w:val="24"/>
              </w:rPr>
              <w:t>u</w:t>
            </w:r>
            <w:r w:rsidRPr="00AA0952">
              <w:rPr>
                <w:sz w:val="24"/>
              </w:rPr>
              <w:t>taire</w:t>
            </w:r>
          </w:p>
        </w:tc>
        <w:tc>
          <w:tcPr>
            <w:tcW w:w="2602" w:type="dxa"/>
            <w:gridSpan w:val="2"/>
            <w:shd w:val="clear" w:color="auto" w:fill="E5E5E5"/>
          </w:tcPr>
          <w:p w14:paraId="382B926F" w14:textId="77777777" w:rsidR="0065175B" w:rsidRPr="00AA0952" w:rsidRDefault="0065175B" w:rsidP="0065175B">
            <w:pPr>
              <w:spacing w:before="60" w:after="60"/>
              <w:ind w:left="151" w:right="113" w:firstLine="0"/>
              <w:jc w:val="center"/>
              <w:rPr>
                <w:sz w:val="24"/>
              </w:rPr>
            </w:pPr>
            <w:r w:rsidRPr="00AA0952">
              <w:rPr>
                <w:sz w:val="24"/>
              </w:rPr>
              <w:t>Gouvernance et dém</w:t>
            </w:r>
            <w:r w:rsidRPr="00AA0952">
              <w:rPr>
                <w:sz w:val="24"/>
              </w:rPr>
              <w:t>o</w:t>
            </w:r>
            <w:r w:rsidRPr="00AA0952">
              <w:rPr>
                <w:sz w:val="24"/>
              </w:rPr>
              <w:t>cratie libérale (marché et libre e</w:t>
            </w:r>
            <w:r w:rsidRPr="00AA0952">
              <w:rPr>
                <w:sz w:val="24"/>
              </w:rPr>
              <w:t>n</w:t>
            </w:r>
            <w:r w:rsidRPr="00AA0952">
              <w:rPr>
                <w:sz w:val="24"/>
              </w:rPr>
              <w:t>treprise)</w:t>
            </w:r>
          </w:p>
        </w:tc>
      </w:tr>
      <w:tr w:rsidR="0065175B" w:rsidRPr="00AA0952" w14:paraId="7018AC0F" w14:textId="77777777">
        <w:trPr>
          <w:trHeight w:val="958"/>
        </w:trPr>
        <w:tc>
          <w:tcPr>
            <w:tcW w:w="2600" w:type="dxa"/>
          </w:tcPr>
          <w:p w14:paraId="09C8F892" w14:textId="77777777" w:rsidR="0065175B" w:rsidRPr="00AA0952" w:rsidRDefault="0065175B" w:rsidP="0065175B">
            <w:pPr>
              <w:spacing w:before="60" w:after="60"/>
              <w:ind w:left="151" w:right="113" w:firstLine="0"/>
              <w:rPr>
                <w:sz w:val="24"/>
              </w:rPr>
            </w:pPr>
            <w:r w:rsidRPr="00AA0952">
              <w:rPr>
                <w:sz w:val="24"/>
              </w:rPr>
              <w:t>Centralisation du fina</w:t>
            </w:r>
            <w:r w:rsidRPr="00AA0952">
              <w:rPr>
                <w:sz w:val="24"/>
              </w:rPr>
              <w:t>n</w:t>
            </w:r>
            <w:r w:rsidRPr="00AA0952">
              <w:rPr>
                <w:sz w:val="24"/>
              </w:rPr>
              <w:t>cement, du cu</w:t>
            </w:r>
            <w:r w:rsidRPr="00AA0952">
              <w:rPr>
                <w:sz w:val="24"/>
              </w:rPr>
              <w:t>r</w:t>
            </w:r>
            <w:r w:rsidRPr="00AA0952">
              <w:rPr>
                <w:sz w:val="24"/>
              </w:rPr>
              <w:t>riculum et de l’évaluation</w:t>
            </w:r>
          </w:p>
        </w:tc>
        <w:tc>
          <w:tcPr>
            <w:tcW w:w="2600" w:type="dxa"/>
            <w:gridSpan w:val="2"/>
          </w:tcPr>
          <w:p w14:paraId="7DF4A252" w14:textId="77777777" w:rsidR="0065175B" w:rsidRPr="00AA0952" w:rsidRDefault="0065175B" w:rsidP="0065175B">
            <w:pPr>
              <w:spacing w:before="60" w:after="60"/>
              <w:ind w:left="151" w:right="113" w:firstLine="0"/>
              <w:rPr>
                <w:sz w:val="24"/>
              </w:rPr>
            </w:pPr>
          </w:p>
          <w:p w14:paraId="2D042737" w14:textId="77777777" w:rsidR="0065175B" w:rsidRPr="00AA0952" w:rsidRDefault="0065175B" w:rsidP="0065175B">
            <w:pPr>
              <w:spacing w:before="60" w:after="60"/>
              <w:ind w:left="151" w:right="113" w:firstLine="0"/>
              <w:rPr>
                <w:sz w:val="24"/>
              </w:rPr>
            </w:pPr>
            <w:r w:rsidRPr="00AA0952">
              <w:rPr>
                <w:sz w:val="24"/>
              </w:rPr>
              <w:t>Québec</w:t>
            </w:r>
          </w:p>
        </w:tc>
        <w:tc>
          <w:tcPr>
            <w:tcW w:w="2602" w:type="dxa"/>
            <w:gridSpan w:val="2"/>
          </w:tcPr>
          <w:p w14:paraId="1361338A" w14:textId="77777777" w:rsidR="0065175B" w:rsidRPr="00AA0952" w:rsidRDefault="0065175B" w:rsidP="0065175B">
            <w:pPr>
              <w:spacing w:before="60" w:after="60"/>
              <w:ind w:left="151" w:right="113" w:firstLine="0"/>
              <w:rPr>
                <w:sz w:val="24"/>
              </w:rPr>
            </w:pPr>
            <w:r w:rsidRPr="00AA0952">
              <w:rPr>
                <w:sz w:val="24"/>
              </w:rPr>
              <w:t>Alberta Ontario</w:t>
            </w:r>
          </w:p>
          <w:p w14:paraId="1302DE59" w14:textId="77777777" w:rsidR="0065175B" w:rsidRPr="00AA0952" w:rsidRDefault="0065175B" w:rsidP="0065175B">
            <w:pPr>
              <w:spacing w:before="60" w:after="60"/>
              <w:ind w:left="151" w:right="113" w:firstLine="0"/>
              <w:rPr>
                <w:sz w:val="24"/>
              </w:rPr>
            </w:pPr>
            <w:r w:rsidRPr="00AA0952">
              <w:rPr>
                <w:sz w:val="24"/>
              </w:rPr>
              <w:t>Colombie-Britannique</w:t>
            </w:r>
          </w:p>
        </w:tc>
      </w:tr>
      <w:tr w:rsidR="0065175B" w:rsidRPr="00AA0952" w14:paraId="1D521436" w14:textId="77777777">
        <w:trPr>
          <w:trHeight w:val="538"/>
        </w:trPr>
        <w:tc>
          <w:tcPr>
            <w:tcW w:w="2600" w:type="dxa"/>
          </w:tcPr>
          <w:p w14:paraId="7D8DB055" w14:textId="77777777" w:rsidR="0065175B" w:rsidRPr="00AA0952" w:rsidRDefault="0065175B" w:rsidP="0065175B">
            <w:pPr>
              <w:spacing w:before="60" w:after="60"/>
              <w:ind w:left="151" w:right="113" w:firstLine="0"/>
              <w:rPr>
                <w:sz w:val="24"/>
              </w:rPr>
            </w:pPr>
          </w:p>
        </w:tc>
        <w:tc>
          <w:tcPr>
            <w:tcW w:w="1301" w:type="dxa"/>
          </w:tcPr>
          <w:p w14:paraId="3FB2BADE" w14:textId="77777777" w:rsidR="0065175B" w:rsidRPr="00AA0952" w:rsidRDefault="0065175B" w:rsidP="0065175B">
            <w:pPr>
              <w:spacing w:before="60" w:after="60"/>
              <w:ind w:left="151" w:right="113" w:firstLine="0"/>
              <w:rPr>
                <w:sz w:val="24"/>
              </w:rPr>
            </w:pPr>
          </w:p>
        </w:tc>
        <w:tc>
          <w:tcPr>
            <w:tcW w:w="2550" w:type="dxa"/>
            <w:gridSpan w:val="2"/>
          </w:tcPr>
          <w:p w14:paraId="46B7B894" w14:textId="77777777" w:rsidR="0065175B" w:rsidRPr="00AA0952" w:rsidRDefault="0065175B" w:rsidP="0065175B">
            <w:pPr>
              <w:spacing w:before="60" w:after="60"/>
              <w:ind w:left="151" w:right="113" w:firstLine="0"/>
              <w:jc w:val="center"/>
              <w:rPr>
                <w:sz w:val="24"/>
              </w:rPr>
            </w:pPr>
            <w:r w:rsidRPr="00AA0952">
              <w:rPr>
                <w:sz w:val="24"/>
              </w:rPr>
              <w:t>Nouveau Brun</w:t>
            </w:r>
            <w:r w:rsidRPr="00AA0952">
              <w:rPr>
                <w:sz w:val="24"/>
              </w:rPr>
              <w:t>s</w:t>
            </w:r>
            <w:r>
              <w:rPr>
                <w:sz w:val="24"/>
              </w:rPr>
              <w:t>wick</w:t>
            </w:r>
            <w:r>
              <w:rPr>
                <w:sz w:val="24"/>
              </w:rPr>
              <w:br/>
            </w:r>
            <w:r w:rsidRPr="00AA0952">
              <w:rPr>
                <w:sz w:val="24"/>
              </w:rPr>
              <w:t>Île du Prince Édouard</w:t>
            </w:r>
          </w:p>
        </w:tc>
        <w:tc>
          <w:tcPr>
            <w:tcW w:w="1351" w:type="dxa"/>
          </w:tcPr>
          <w:p w14:paraId="1130EF1E" w14:textId="77777777" w:rsidR="0065175B" w:rsidRPr="00AA0952" w:rsidRDefault="0065175B" w:rsidP="0065175B">
            <w:pPr>
              <w:spacing w:before="60" w:after="60"/>
              <w:ind w:left="151" w:right="113" w:firstLine="0"/>
              <w:rPr>
                <w:sz w:val="24"/>
              </w:rPr>
            </w:pPr>
          </w:p>
        </w:tc>
      </w:tr>
      <w:tr w:rsidR="0065175B" w:rsidRPr="00AA0952" w14:paraId="32DB9866" w14:textId="77777777">
        <w:trPr>
          <w:trHeight w:val="537"/>
        </w:trPr>
        <w:tc>
          <w:tcPr>
            <w:tcW w:w="2600" w:type="dxa"/>
          </w:tcPr>
          <w:p w14:paraId="70DE2BF0" w14:textId="77777777" w:rsidR="0065175B" w:rsidRPr="00AA0952" w:rsidRDefault="0065175B" w:rsidP="0065175B">
            <w:pPr>
              <w:spacing w:before="60" w:after="60"/>
              <w:ind w:left="151" w:right="113" w:firstLine="0"/>
              <w:rPr>
                <w:sz w:val="24"/>
              </w:rPr>
            </w:pPr>
          </w:p>
        </w:tc>
        <w:tc>
          <w:tcPr>
            <w:tcW w:w="1301" w:type="dxa"/>
          </w:tcPr>
          <w:p w14:paraId="16488B9A" w14:textId="77777777" w:rsidR="0065175B" w:rsidRPr="00AA0952" w:rsidRDefault="0065175B" w:rsidP="0065175B">
            <w:pPr>
              <w:spacing w:before="60" w:after="60"/>
              <w:ind w:left="151" w:right="113" w:firstLine="0"/>
              <w:rPr>
                <w:sz w:val="24"/>
              </w:rPr>
            </w:pPr>
          </w:p>
        </w:tc>
        <w:tc>
          <w:tcPr>
            <w:tcW w:w="2550" w:type="dxa"/>
            <w:gridSpan w:val="2"/>
          </w:tcPr>
          <w:p w14:paraId="78205EB2" w14:textId="77777777" w:rsidR="0065175B" w:rsidRPr="00AA0952" w:rsidRDefault="0065175B" w:rsidP="0065175B">
            <w:pPr>
              <w:spacing w:before="60" w:after="60"/>
              <w:ind w:left="151" w:right="113" w:firstLine="0"/>
              <w:jc w:val="center"/>
              <w:rPr>
                <w:sz w:val="24"/>
              </w:rPr>
            </w:pPr>
            <w:r>
              <w:rPr>
                <w:sz w:val="24"/>
              </w:rPr>
              <w:t>Nouvelle Écosse</w:t>
            </w:r>
            <w:r>
              <w:rPr>
                <w:sz w:val="24"/>
              </w:rPr>
              <w:br/>
            </w:r>
            <w:r w:rsidRPr="00AA0952">
              <w:rPr>
                <w:sz w:val="24"/>
              </w:rPr>
              <w:t>Terre Neuve</w:t>
            </w:r>
          </w:p>
        </w:tc>
        <w:tc>
          <w:tcPr>
            <w:tcW w:w="1351" w:type="dxa"/>
          </w:tcPr>
          <w:p w14:paraId="0CDDC502" w14:textId="77777777" w:rsidR="0065175B" w:rsidRPr="00AA0952" w:rsidRDefault="0065175B" w:rsidP="0065175B">
            <w:pPr>
              <w:spacing w:before="60" w:after="60"/>
              <w:ind w:left="151" w:right="113" w:firstLine="0"/>
              <w:rPr>
                <w:sz w:val="24"/>
              </w:rPr>
            </w:pPr>
          </w:p>
        </w:tc>
      </w:tr>
      <w:tr w:rsidR="0065175B" w:rsidRPr="00AA0952" w14:paraId="19D28994" w14:textId="77777777">
        <w:trPr>
          <w:trHeight w:val="1168"/>
        </w:trPr>
        <w:tc>
          <w:tcPr>
            <w:tcW w:w="2600" w:type="dxa"/>
          </w:tcPr>
          <w:p w14:paraId="2D723D26" w14:textId="77777777" w:rsidR="0065175B" w:rsidRPr="00AA0952" w:rsidRDefault="0065175B" w:rsidP="0065175B">
            <w:pPr>
              <w:spacing w:before="60" w:after="60"/>
              <w:ind w:left="151" w:right="113" w:firstLine="0"/>
              <w:rPr>
                <w:sz w:val="24"/>
              </w:rPr>
            </w:pPr>
            <w:r w:rsidRPr="00AA0952">
              <w:rPr>
                <w:sz w:val="24"/>
              </w:rPr>
              <w:t>Décentralisation du f</w:t>
            </w:r>
            <w:r w:rsidRPr="00AA0952">
              <w:rPr>
                <w:sz w:val="24"/>
              </w:rPr>
              <w:t>i</w:t>
            </w:r>
            <w:r w:rsidRPr="00AA0952">
              <w:rPr>
                <w:sz w:val="24"/>
              </w:rPr>
              <w:t>nancement, du curric</w:t>
            </w:r>
            <w:r w:rsidRPr="00AA0952">
              <w:rPr>
                <w:sz w:val="24"/>
              </w:rPr>
              <w:t>u</w:t>
            </w:r>
            <w:r w:rsidRPr="00AA0952">
              <w:rPr>
                <w:sz w:val="24"/>
              </w:rPr>
              <w:t>lum et de l’évaluation</w:t>
            </w:r>
          </w:p>
        </w:tc>
        <w:tc>
          <w:tcPr>
            <w:tcW w:w="2600" w:type="dxa"/>
            <w:gridSpan w:val="2"/>
          </w:tcPr>
          <w:p w14:paraId="12A0A835" w14:textId="77777777" w:rsidR="0065175B" w:rsidRPr="00AA0952" w:rsidRDefault="0065175B" w:rsidP="0065175B">
            <w:pPr>
              <w:spacing w:before="60" w:after="60"/>
              <w:ind w:left="151" w:right="113" w:firstLine="0"/>
              <w:rPr>
                <w:sz w:val="24"/>
              </w:rPr>
            </w:pPr>
            <w:r w:rsidRPr="00AA0952">
              <w:rPr>
                <w:sz w:val="24"/>
              </w:rPr>
              <w:t>Manitoba Saskat</w:t>
            </w:r>
            <w:r>
              <w:rPr>
                <w:sz w:val="24"/>
              </w:rPr>
              <w:t>ch</w:t>
            </w:r>
            <w:r>
              <w:rPr>
                <w:sz w:val="24"/>
              </w:rPr>
              <w:t>e</w:t>
            </w:r>
            <w:r>
              <w:rPr>
                <w:sz w:val="24"/>
              </w:rPr>
              <w:t>wan</w:t>
            </w:r>
            <w:r>
              <w:rPr>
                <w:sz w:val="24"/>
              </w:rPr>
              <w:br/>
            </w:r>
            <w:r w:rsidRPr="00AA0952">
              <w:rPr>
                <w:sz w:val="24"/>
              </w:rPr>
              <w:t>TNO</w:t>
            </w:r>
            <w:r>
              <w:rPr>
                <w:sz w:val="24"/>
              </w:rPr>
              <w:br/>
            </w:r>
            <w:r w:rsidRPr="00AA0952">
              <w:rPr>
                <w:sz w:val="24"/>
              </w:rPr>
              <w:t>Yukon Nunavut</w:t>
            </w:r>
          </w:p>
        </w:tc>
        <w:tc>
          <w:tcPr>
            <w:tcW w:w="2602" w:type="dxa"/>
            <w:gridSpan w:val="2"/>
          </w:tcPr>
          <w:p w14:paraId="3861C515" w14:textId="77777777" w:rsidR="0065175B" w:rsidRPr="00AA0952" w:rsidRDefault="0065175B" w:rsidP="0065175B">
            <w:pPr>
              <w:spacing w:before="60" w:after="60"/>
              <w:ind w:left="151" w:right="113" w:firstLine="0"/>
              <w:rPr>
                <w:sz w:val="24"/>
              </w:rPr>
            </w:pPr>
          </w:p>
        </w:tc>
      </w:tr>
    </w:tbl>
    <w:p w14:paraId="3CF4A92A" w14:textId="77777777" w:rsidR="0065175B" w:rsidRPr="005E46D3" w:rsidRDefault="0065175B" w:rsidP="0065175B">
      <w:pPr>
        <w:spacing w:before="120" w:after="120"/>
        <w:jc w:val="both"/>
      </w:pPr>
    </w:p>
    <w:p w14:paraId="110A8528" w14:textId="77777777" w:rsidR="0065175B" w:rsidRPr="005E46D3" w:rsidRDefault="0065175B" w:rsidP="0065175B">
      <w:pPr>
        <w:spacing w:before="120" w:after="120"/>
        <w:jc w:val="both"/>
      </w:pPr>
    </w:p>
    <w:p w14:paraId="5BA2FB4A" w14:textId="77777777" w:rsidR="0065175B" w:rsidRPr="005E46D3" w:rsidRDefault="0065175B" w:rsidP="0065175B">
      <w:pPr>
        <w:pStyle w:val="planche"/>
      </w:pPr>
      <w:bookmarkStart w:id="10" w:name="Gouvernance_conclusion"/>
      <w:r w:rsidRPr="005E46D3">
        <w:t>Conclusion</w:t>
      </w:r>
    </w:p>
    <w:bookmarkEnd w:id="10"/>
    <w:p w14:paraId="168F22B9" w14:textId="77777777" w:rsidR="0065175B" w:rsidRPr="005E46D3" w:rsidRDefault="0065175B" w:rsidP="0065175B">
      <w:pPr>
        <w:spacing w:before="120" w:after="120"/>
        <w:jc w:val="both"/>
      </w:pPr>
    </w:p>
    <w:p w14:paraId="0C33C8B6" w14:textId="77777777" w:rsidR="0065175B" w:rsidRPr="00384B20" w:rsidRDefault="0065175B" w:rsidP="0065175B">
      <w:pPr>
        <w:ind w:right="90" w:firstLine="0"/>
        <w:jc w:val="both"/>
        <w:rPr>
          <w:sz w:val="20"/>
        </w:rPr>
      </w:pPr>
      <w:hyperlink w:anchor="tdm" w:history="1">
        <w:r w:rsidRPr="00384B20">
          <w:rPr>
            <w:rStyle w:val="Hyperlien"/>
            <w:sz w:val="20"/>
          </w:rPr>
          <w:t>Retour à la table des matières</w:t>
        </w:r>
      </w:hyperlink>
    </w:p>
    <w:p w14:paraId="39A795C1" w14:textId="77777777" w:rsidR="0065175B" w:rsidRPr="005E46D3" w:rsidRDefault="0065175B" w:rsidP="0065175B">
      <w:pPr>
        <w:spacing w:before="120" w:after="120"/>
        <w:jc w:val="both"/>
      </w:pPr>
      <w:r>
        <w:t>A</w:t>
      </w:r>
      <w:r w:rsidRPr="005E46D3">
        <w:t>u terme de cette analyse, quelques implications méritent d’être soulignées. L’importance du gouvernement par l’imposition de sta</w:t>
      </w:r>
      <w:r w:rsidRPr="005E46D3">
        <w:t>n</w:t>
      </w:r>
      <w:r w:rsidRPr="005E46D3">
        <w:t>dards (définis au sommet de la pyramide du système éducatif en rel</w:t>
      </w:r>
      <w:r w:rsidRPr="005E46D3">
        <w:t>a</w:t>
      </w:r>
      <w:r w:rsidRPr="005E46D3">
        <w:t>tion avec des instances internationales), la centralisation du curric</w:t>
      </w:r>
      <w:r w:rsidRPr="005E46D3">
        <w:t>u</w:t>
      </w:r>
      <w:r w:rsidRPr="005E46D3">
        <w:t>lum et de l’évaluation visible dans bon nombre de provinces et de te</w:t>
      </w:r>
      <w:r w:rsidRPr="005E46D3">
        <w:t>r</w:t>
      </w:r>
      <w:r w:rsidRPr="005E46D3">
        <w:t>ritoires, la volonté d’accorder davantage de place et de pouvoir aux p</w:t>
      </w:r>
      <w:r w:rsidRPr="005E46D3">
        <w:t>a</w:t>
      </w:r>
      <w:r w:rsidRPr="005E46D3">
        <w:t>rents, en élargissant les possibilités de choix de l’école et en</w:t>
      </w:r>
      <w:r>
        <w:t xml:space="preserve"> [199] </w:t>
      </w:r>
      <w:r w:rsidRPr="005E46D3">
        <w:t>amenant les agents au sein des conseils d’établissement à contr</w:t>
      </w:r>
      <w:r w:rsidRPr="005E46D3">
        <w:t>i</w:t>
      </w:r>
      <w:r w:rsidRPr="005E46D3">
        <w:t>buer à la contractualisation des établissements autour de plans de r</w:t>
      </w:r>
      <w:r w:rsidRPr="005E46D3">
        <w:t>é</w:t>
      </w:r>
      <w:r w:rsidRPr="005E46D3">
        <w:t>ussite ou de performance, tout cela pointe vers ce que l’on pourrait nommer une “externalisation” de l’éducation. Entendons par là le pr</w:t>
      </w:r>
      <w:r w:rsidRPr="005E46D3">
        <w:t>o</w:t>
      </w:r>
      <w:r w:rsidRPr="005E46D3">
        <w:t>cessus de p</w:t>
      </w:r>
      <w:r w:rsidRPr="005E46D3">
        <w:t>é</w:t>
      </w:r>
      <w:r w:rsidRPr="005E46D3">
        <w:t>nétration et de transformation par des logiques extérieures à un champ d’activité doté d’une autonomie relative. La gouvernance fondée sur la démocratie libérale poursuit cette politique d’externalisation de l’éducation et la transforme graduell</w:t>
      </w:r>
      <w:r w:rsidRPr="005E46D3">
        <w:t>e</w:t>
      </w:r>
      <w:r w:rsidRPr="005E46D3">
        <w:t>ment en un produit marchand.</w:t>
      </w:r>
    </w:p>
    <w:p w14:paraId="6D28EA52" w14:textId="77777777" w:rsidR="0065175B" w:rsidRPr="005E46D3" w:rsidRDefault="0065175B" w:rsidP="0065175B">
      <w:pPr>
        <w:spacing w:before="120" w:after="120"/>
        <w:jc w:val="both"/>
      </w:pPr>
      <w:r w:rsidRPr="005E46D3">
        <w:t>Il est clair que ce processus dépouille les acteurs internes d’une partie de leur autonomie professionnelle et les soumet à des critères de performance externes. Tout se passe comme si les éléments de régul</w:t>
      </w:r>
      <w:r w:rsidRPr="005E46D3">
        <w:t>a</w:t>
      </w:r>
      <w:r w:rsidRPr="005E46D3">
        <w:t>tion verticale – la centralisation cu</w:t>
      </w:r>
      <w:r w:rsidRPr="005E46D3">
        <w:t>r</w:t>
      </w:r>
      <w:r w:rsidRPr="005E46D3">
        <w:t>riculaire, la standardisation de l’évaluation externe, les plans de réussite ou d’amélioration des écoles –, en se combinant avec des él</w:t>
      </w:r>
      <w:r w:rsidRPr="005E46D3">
        <w:t>é</w:t>
      </w:r>
      <w:r w:rsidRPr="005E46D3">
        <w:t>ments de régulation horizontale – la place accrue des parents au sein des conseils d’établissement, l’élargissement des possibil</w:t>
      </w:r>
      <w:r w:rsidRPr="005E46D3">
        <w:t>i</w:t>
      </w:r>
      <w:r w:rsidRPr="005E46D3">
        <w:t>tés de libre choix de l’école, les palmarès d’établissements, les partenariats et l’intégration des services –, fo</w:t>
      </w:r>
      <w:r w:rsidRPr="005E46D3">
        <w:t>r</w:t>
      </w:r>
      <w:r w:rsidRPr="005E46D3">
        <w:t>cent les acteurs du système éducatif à faire évoluer leurs pratiques dans le corridor des politiques et des pressions externes. Il est ind</w:t>
      </w:r>
      <w:r w:rsidRPr="005E46D3">
        <w:t>é</w:t>
      </w:r>
      <w:r w:rsidRPr="005E46D3">
        <w:t>niable que la décennie 1990 aura été celle d’une tentative de modific</w:t>
      </w:r>
      <w:r w:rsidRPr="005E46D3">
        <w:t>a</w:t>
      </w:r>
      <w:r w:rsidRPr="005E46D3">
        <w:t>tion des rapports de pouvoir entre les acteurs internes et les acteurs externes du système éducatif, au profit de ces derniers. Il y a là un o</w:t>
      </w:r>
      <w:r w:rsidRPr="005E46D3">
        <w:t>b</w:t>
      </w:r>
      <w:r w:rsidRPr="005E46D3">
        <w:t>jet de luttes de pouvoir sans cesse renouvelées.</w:t>
      </w:r>
    </w:p>
    <w:p w14:paraId="55B24A7E" w14:textId="77777777" w:rsidR="0065175B" w:rsidRPr="005E46D3" w:rsidRDefault="0065175B" w:rsidP="0065175B">
      <w:pPr>
        <w:spacing w:before="120" w:after="120"/>
        <w:jc w:val="both"/>
      </w:pPr>
      <w:r w:rsidRPr="005E46D3">
        <w:t>Une des forces de la gouvernance en éducation tient à l’amalgame des références idéologiques : la démocratie lib</w:t>
      </w:r>
      <w:r w:rsidRPr="005E46D3">
        <w:t>é</w:t>
      </w:r>
      <w:r w:rsidRPr="005E46D3">
        <w:t>rale et la démocratie participative communautariste. Leur combina</w:t>
      </w:r>
      <w:r w:rsidRPr="005E46D3">
        <w:t>i</w:t>
      </w:r>
      <w:r w:rsidRPr="005E46D3">
        <w:t>son donne à penser que le libre choix de l’école est un gain d</w:t>
      </w:r>
      <w:r w:rsidRPr="005E46D3">
        <w:t>é</w:t>
      </w:r>
      <w:r w:rsidRPr="005E46D3">
        <w:t>mocratique important – alors qu’il réduit le parent au statut de consommateur de produits éducatifs sur un ma</w:t>
      </w:r>
      <w:r w:rsidRPr="005E46D3">
        <w:t>r</w:t>
      </w:r>
      <w:r w:rsidRPr="005E46D3">
        <w:t>ché – ; ou, à l’inverse, que la place accrue des parents dans les conseils d’établissement constitue une avancée substa</w:t>
      </w:r>
      <w:r w:rsidRPr="005E46D3">
        <w:t>n</w:t>
      </w:r>
      <w:r w:rsidRPr="005E46D3">
        <w:t>tielle de la démocratie participative communautaire – alors qu’en plusieurs e</w:t>
      </w:r>
      <w:r w:rsidRPr="005E46D3">
        <w:t>n</w:t>
      </w:r>
      <w:r w:rsidRPr="005E46D3">
        <w:t>droits l’objectif est de rendre les parents actionnaires d’une e</w:t>
      </w:r>
      <w:r w:rsidRPr="005E46D3">
        <w:t>n</w:t>
      </w:r>
      <w:r w:rsidRPr="005E46D3">
        <w:t>treprise éducative soumise à l’obligation de résultats et au go</w:t>
      </w:r>
      <w:r w:rsidRPr="005E46D3">
        <w:t>u</w:t>
      </w:r>
      <w:r w:rsidRPr="005E46D3">
        <w:t>vernement des normes, ou d’en faire les patrons des enseignants au lieu de valoriser leur rôle de partenaires éducatifs. Les fro</w:t>
      </w:r>
      <w:r w:rsidRPr="005E46D3">
        <w:t>n</w:t>
      </w:r>
      <w:r w:rsidRPr="005E46D3">
        <w:t>tières entre ces rôles ne sont pas aisées à délimiter et, souvent, dans la cult</w:t>
      </w:r>
      <w:r w:rsidRPr="005E46D3">
        <w:t>u</w:t>
      </w:r>
      <w:r w:rsidRPr="005E46D3">
        <w:t>re pragmatique de l’Amérique du Nord, ce sont les résultats qui comptent et les distin</w:t>
      </w:r>
      <w:r w:rsidRPr="005E46D3">
        <w:t>c</w:t>
      </w:r>
      <w:r w:rsidRPr="005E46D3">
        <w:t>tions mises en avant ici apparai</w:t>
      </w:r>
      <w:r w:rsidRPr="005E46D3">
        <w:t>s</w:t>
      </w:r>
      <w:r w:rsidRPr="005E46D3">
        <w:t>sent bien théoriques. Convenons-en, mais reconnaissons que se joue ici l’articulation entre le marché, l’État garant du bien public et la communauté dépositaire d’une ide</w:t>
      </w:r>
      <w:r w:rsidRPr="005E46D3">
        <w:t>n</w:t>
      </w:r>
      <w:r w:rsidRPr="005E46D3">
        <w:t xml:space="preserve">tité </w:t>
      </w:r>
      <w:r>
        <w:t>et de valeurs culturelles et so</w:t>
      </w:r>
      <w:r w:rsidRPr="005E46D3">
        <w:t>ciales distinctes de celles du marché.</w:t>
      </w:r>
    </w:p>
    <w:p w14:paraId="33E0A39C" w14:textId="77777777" w:rsidR="0065175B" w:rsidRPr="005E46D3" w:rsidRDefault="0065175B" w:rsidP="0065175B">
      <w:pPr>
        <w:spacing w:before="120" w:after="120"/>
        <w:jc w:val="both"/>
      </w:pPr>
      <w:r w:rsidRPr="005E46D3">
        <w:t>En apparence paradoxalement, même si la gouvernance actuelle en éducation cherche à renforcer le pouvoir des acteurs externes au d</w:t>
      </w:r>
      <w:r w:rsidRPr="005E46D3">
        <w:t>é</w:t>
      </w:r>
      <w:r w:rsidRPr="005E46D3">
        <w:t>triment des internes, elle cherche aussi à responsabiliser ces derniers : le discours sur la professionn</w:t>
      </w:r>
      <w:r w:rsidRPr="005E46D3">
        <w:t>a</w:t>
      </w:r>
      <w:r w:rsidRPr="005E46D3">
        <w:t>lisation de l’enseignement, présent dans les politiques des provinces et des territoires du Canada, tente de lég</w:t>
      </w:r>
      <w:r w:rsidRPr="005E46D3">
        <w:t>i</w:t>
      </w:r>
      <w:r w:rsidRPr="005E46D3">
        <w:t>timer la responsabilité ind</w:t>
      </w:r>
      <w:r w:rsidRPr="005E46D3">
        <w:t>i</w:t>
      </w:r>
      <w:r w:rsidRPr="005E46D3">
        <w:t>viduelle et collective des</w:t>
      </w:r>
      <w:r>
        <w:t xml:space="preserve"> [200] </w:t>
      </w:r>
      <w:r w:rsidRPr="005E46D3">
        <w:t>enseignants et des chefs d’établissement. Ce n’est pas sans amb</w:t>
      </w:r>
      <w:r w:rsidRPr="005E46D3">
        <w:t>i</w:t>
      </w:r>
      <w:r w:rsidRPr="005E46D3">
        <w:t>guïtés, dans la mesure où elle est associée à une forte externalisation de l’éducation. Les syndicats ont co</w:t>
      </w:r>
      <w:r w:rsidRPr="005E46D3">
        <w:t>m</w:t>
      </w:r>
      <w:r w:rsidRPr="005E46D3">
        <w:t>pris cette évolution : leur souci de défendre l’intégrité du service public en éducation constitue une réponse idé</w:t>
      </w:r>
      <w:r w:rsidRPr="005E46D3">
        <w:t>o</w:t>
      </w:r>
      <w:r w:rsidRPr="005E46D3">
        <w:t>logique partiellement appropriée par l’acceptation relat</w:t>
      </w:r>
      <w:r w:rsidRPr="005E46D3">
        <w:t>i</w:t>
      </w:r>
      <w:r w:rsidRPr="005E46D3">
        <w:t>ve de limites à l’autonomie professionnelle des enseignants, pour autant que ces lim</w:t>
      </w:r>
      <w:r w:rsidRPr="005E46D3">
        <w:t>i</w:t>
      </w:r>
      <w:r w:rsidRPr="005E46D3">
        <w:t>tes soient fixées par le débat démocratique sur l’éducation et dans un pr</w:t>
      </w:r>
      <w:r w:rsidRPr="005E46D3">
        <w:t>o</w:t>
      </w:r>
      <w:r w:rsidRPr="005E46D3">
        <w:t>jet éducatif national sous la responsabilité de l’État. En défendant le service éducatif public, les enseignants protègent la relative aut</w:t>
      </w:r>
      <w:r w:rsidRPr="005E46D3">
        <w:t>o</w:t>
      </w:r>
      <w:r w:rsidRPr="005E46D3">
        <w:t>nomie professionnelle traditionnellement ass</w:t>
      </w:r>
      <w:r w:rsidRPr="005E46D3">
        <w:t>o</w:t>
      </w:r>
      <w:r w:rsidRPr="005E46D3">
        <w:t>ciée à ce service public et cherchent ainsi à se garder des aléas du marché éducatif et des pr</w:t>
      </w:r>
      <w:r w:rsidRPr="005E46D3">
        <w:t>é</w:t>
      </w:r>
      <w:r w:rsidRPr="005E46D3">
        <w:t>férences des consommateurs d’école.</w:t>
      </w:r>
    </w:p>
    <w:p w14:paraId="4BF1575C" w14:textId="77777777" w:rsidR="0065175B" w:rsidRPr="005E46D3" w:rsidRDefault="0065175B" w:rsidP="0065175B">
      <w:pPr>
        <w:spacing w:before="120" w:after="120"/>
        <w:jc w:val="both"/>
      </w:pPr>
      <w:r w:rsidRPr="005E46D3">
        <w:t>Il est difficile de saisir l’évolution de l’enseignement dans pareille conjoncture, mais il peut être heuristique de penser que les ense</w:t>
      </w:r>
      <w:r w:rsidRPr="005E46D3">
        <w:t>i</w:t>
      </w:r>
      <w:r w:rsidRPr="005E46D3">
        <w:t>gnants ne sont ni des conformistes dociles, ni des dinosaures résistant à toute évolution. Des études réce</w:t>
      </w:r>
      <w:r w:rsidRPr="005E46D3">
        <w:t>n</w:t>
      </w:r>
      <w:r w:rsidRPr="005E46D3">
        <w:t>tes effectuées ailleurs – Australie (Seddon 1999), Grande-Bretagne (Osborn &amp; al. 2000)– indiquent que les enseignants sont capables de “médiation créatrice”, c’est-à-dire de per</w:t>
      </w:r>
      <w:r w:rsidRPr="005E46D3">
        <w:t>s</w:t>
      </w:r>
      <w:r w:rsidRPr="005E46D3">
        <w:t>pectives, de stratégies et de pratiques leur permettant de tirer parti des contraintes et des o</w:t>
      </w:r>
      <w:r w:rsidRPr="005E46D3">
        <w:t>p</w:t>
      </w:r>
      <w:r w:rsidRPr="005E46D3">
        <w:t>portunités de la gouvernance actuelle de l’éducation pour sauvegarder et adapter des orientations et des convi</w:t>
      </w:r>
      <w:r w:rsidRPr="005E46D3">
        <w:t>c</w:t>
      </w:r>
      <w:r w:rsidRPr="005E46D3">
        <w:t>tions éducatives fondamentales. Seules des études de terrain perme</w:t>
      </w:r>
      <w:r w:rsidRPr="005E46D3">
        <w:t>t</w:t>
      </w:r>
      <w:r w:rsidRPr="005E46D3">
        <w:t>traient de documenter des comportements comparables chez les ense</w:t>
      </w:r>
      <w:r w:rsidRPr="005E46D3">
        <w:t>i</w:t>
      </w:r>
      <w:r w:rsidRPr="005E46D3">
        <w:t>gnants des dive</w:t>
      </w:r>
      <w:r w:rsidRPr="005E46D3">
        <w:t>r</w:t>
      </w:r>
      <w:r w:rsidRPr="005E46D3">
        <w:t>ses provinces et territoires du Canada.</w:t>
      </w:r>
    </w:p>
    <w:p w14:paraId="04B14D66" w14:textId="77777777" w:rsidR="0065175B" w:rsidRPr="005E46D3" w:rsidRDefault="0065175B" w:rsidP="0065175B">
      <w:pPr>
        <w:spacing w:before="120" w:after="120"/>
        <w:jc w:val="both"/>
      </w:pPr>
    </w:p>
    <w:p w14:paraId="20F307E4" w14:textId="77777777" w:rsidR="0065175B" w:rsidRPr="005E46D3" w:rsidRDefault="0065175B" w:rsidP="0065175B">
      <w:pPr>
        <w:pStyle w:val="planche"/>
      </w:pPr>
      <w:bookmarkStart w:id="11" w:name="Gouvernance_biblio"/>
      <w:r w:rsidRPr="005E46D3">
        <w:t>Références bibliographiques</w:t>
      </w:r>
    </w:p>
    <w:bookmarkEnd w:id="11"/>
    <w:p w14:paraId="26827465" w14:textId="77777777" w:rsidR="0065175B" w:rsidRPr="005E46D3" w:rsidRDefault="0065175B" w:rsidP="0065175B">
      <w:pPr>
        <w:spacing w:before="120" w:after="120"/>
        <w:jc w:val="both"/>
      </w:pPr>
    </w:p>
    <w:p w14:paraId="75B813DD" w14:textId="77777777" w:rsidR="0065175B" w:rsidRPr="00384B20" w:rsidRDefault="0065175B" w:rsidP="0065175B">
      <w:pPr>
        <w:ind w:right="90" w:firstLine="0"/>
        <w:jc w:val="both"/>
        <w:rPr>
          <w:sz w:val="20"/>
        </w:rPr>
      </w:pPr>
      <w:hyperlink w:anchor="tdm" w:history="1">
        <w:r w:rsidRPr="00384B20">
          <w:rPr>
            <w:rStyle w:val="Hyperlien"/>
            <w:sz w:val="20"/>
          </w:rPr>
          <w:t>Retour à la table des matières</w:t>
        </w:r>
      </w:hyperlink>
    </w:p>
    <w:p w14:paraId="31DF08EF" w14:textId="77777777" w:rsidR="0065175B" w:rsidRPr="005E46D3" w:rsidRDefault="0065175B" w:rsidP="0065175B">
      <w:pPr>
        <w:spacing w:before="120" w:after="120"/>
        <w:jc w:val="both"/>
      </w:pPr>
      <w:r w:rsidRPr="005E46D3">
        <w:t>GILBERT L. 2003</w:t>
      </w:r>
      <w:r>
        <w:t>,</w:t>
      </w:r>
      <w:r w:rsidRPr="005E46D3">
        <w:t xml:space="preserve"> </w:t>
      </w:r>
      <w:r w:rsidRPr="005E46D3">
        <w:rPr>
          <w:i/>
        </w:rPr>
        <w:t>La structuration de la gouvernance de l’éducation au Bénin. Analyse du point de vue des acteurs et des pr</w:t>
      </w:r>
      <w:r w:rsidRPr="005E46D3">
        <w:rPr>
          <w:i/>
        </w:rPr>
        <w:t>o</w:t>
      </w:r>
      <w:r w:rsidRPr="005E46D3">
        <w:rPr>
          <w:i/>
        </w:rPr>
        <w:t>cessus en cours</w:t>
      </w:r>
      <w:r w:rsidRPr="005E46D3">
        <w:t>. Projet de thèse de doctorat en scie</w:t>
      </w:r>
      <w:r w:rsidRPr="005E46D3">
        <w:t>n</w:t>
      </w:r>
      <w:r w:rsidRPr="005E46D3">
        <w:t>ces de l’Éducation, option Éducation comparée et fond</w:t>
      </w:r>
      <w:r w:rsidRPr="005E46D3">
        <w:t>e</w:t>
      </w:r>
      <w:r w:rsidRPr="005E46D3">
        <w:t>ments de l’Éducation, Université de Montréal</w:t>
      </w:r>
      <w:r>
        <w:t>.</w:t>
      </w:r>
    </w:p>
    <w:p w14:paraId="54669835" w14:textId="77777777" w:rsidR="0065175B" w:rsidRPr="005E46D3" w:rsidRDefault="0065175B" w:rsidP="0065175B">
      <w:pPr>
        <w:spacing w:before="120" w:after="120"/>
        <w:jc w:val="both"/>
      </w:pPr>
      <w:r w:rsidRPr="005E46D3">
        <w:t>MERRIEN F.-X. 1990</w:t>
      </w:r>
      <w:r>
        <w:t>,</w:t>
      </w:r>
      <w:r w:rsidRPr="005E46D3">
        <w:t xml:space="preserve"> “État et politiques sociales : contribution à une théorie ‘néo-institutionnaliste’”, </w:t>
      </w:r>
      <w:r w:rsidRPr="005E46D3">
        <w:rPr>
          <w:i/>
        </w:rPr>
        <w:t>Sociologie du tr</w:t>
      </w:r>
      <w:r w:rsidRPr="005E46D3">
        <w:rPr>
          <w:i/>
        </w:rPr>
        <w:t>a</w:t>
      </w:r>
      <w:r w:rsidRPr="005E46D3">
        <w:rPr>
          <w:i/>
        </w:rPr>
        <w:t>vail-3</w:t>
      </w:r>
      <w:r w:rsidRPr="005E46D3">
        <w:t>, 267-294</w:t>
      </w:r>
      <w:r>
        <w:t>.</w:t>
      </w:r>
    </w:p>
    <w:p w14:paraId="7EEA0BDB" w14:textId="77777777" w:rsidR="0065175B" w:rsidRPr="005E46D3" w:rsidRDefault="0065175B" w:rsidP="0065175B">
      <w:pPr>
        <w:spacing w:before="120" w:after="120"/>
        <w:jc w:val="both"/>
      </w:pPr>
      <w:r w:rsidRPr="005E46D3">
        <w:t xml:space="preserve">MERRIEN F.-X. 1998 “De la gouvernance et des États Providence contemporains”, </w:t>
      </w:r>
      <w:r w:rsidRPr="005E46D3">
        <w:rPr>
          <w:i/>
        </w:rPr>
        <w:t>Revue internationale des Scie</w:t>
      </w:r>
      <w:r w:rsidRPr="005E46D3">
        <w:rPr>
          <w:i/>
        </w:rPr>
        <w:t>n</w:t>
      </w:r>
      <w:r w:rsidRPr="005E46D3">
        <w:rPr>
          <w:i/>
        </w:rPr>
        <w:t>ces Sociales-155</w:t>
      </w:r>
      <w:r w:rsidRPr="005E46D3">
        <w:t>, 61-71</w:t>
      </w:r>
      <w:r>
        <w:t>.</w:t>
      </w:r>
    </w:p>
    <w:p w14:paraId="73D5D242" w14:textId="77777777" w:rsidR="0065175B" w:rsidRPr="005E46D3" w:rsidRDefault="0065175B" w:rsidP="0065175B">
      <w:pPr>
        <w:spacing w:before="120" w:after="120"/>
        <w:jc w:val="both"/>
      </w:pPr>
      <w:r w:rsidRPr="005E46D3">
        <w:t>MERRIEN F.-X. 2000</w:t>
      </w:r>
      <w:r>
        <w:t>,</w:t>
      </w:r>
      <w:r w:rsidRPr="005E46D3">
        <w:t xml:space="preserve"> “La restructuration des États Pr</w:t>
      </w:r>
      <w:r w:rsidRPr="005E46D3">
        <w:t>o</w:t>
      </w:r>
      <w:r w:rsidRPr="005E46D3">
        <w:t xml:space="preserve">vidence : ‘sentier de dépendance’, ou tournant néo-libéral ? Une interprétation néo-institutionnaliste”, </w:t>
      </w:r>
      <w:r w:rsidRPr="005E46D3">
        <w:rPr>
          <w:i/>
        </w:rPr>
        <w:t>Recherches soci</w:t>
      </w:r>
      <w:r w:rsidRPr="005E46D3">
        <w:rPr>
          <w:i/>
        </w:rPr>
        <w:t>o</w:t>
      </w:r>
      <w:r w:rsidRPr="005E46D3">
        <w:rPr>
          <w:i/>
        </w:rPr>
        <w:t>logiques-31(2)</w:t>
      </w:r>
      <w:r w:rsidRPr="005E46D3">
        <w:t>, 29-44</w:t>
      </w:r>
      <w:r>
        <w:t>.</w:t>
      </w:r>
    </w:p>
    <w:p w14:paraId="6CF017FF" w14:textId="77777777" w:rsidR="0065175B" w:rsidRPr="005E46D3" w:rsidRDefault="0065175B" w:rsidP="0065175B">
      <w:pPr>
        <w:spacing w:before="120" w:after="120"/>
        <w:jc w:val="both"/>
      </w:pPr>
      <w:r w:rsidRPr="005E46D3">
        <w:t>OSBORN M., MC NESS E. &amp; BROADFOOT P. 2000</w:t>
      </w:r>
      <w:r>
        <w:t>,</w:t>
      </w:r>
      <w:r w:rsidRPr="005E46D3">
        <w:t xml:space="preserve"> </w:t>
      </w:r>
      <w:r w:rsidRPr="005E46D3">
        <w:rPr>
          <w:i/>
        </w:rPr>
        <w:t>What Te</w:t>
      </w:r>
      <w:r w:rsidRPr="005E46D3">
        <w:rPr>
          <w:i/>
        </w:rPr>
        <w:t>a</w:t>
      </w:r>
      <w:r w:rsidRPr="005E46D3">
        <w:rPr>
          <w:i/>
        </w:rPr>
        <w:t>chers do : Changing Policy and Practice in Primary Education</w:t>
      </w:r>
      <w:r w:rsidRPr="005E46D3">
        <w:t>, Lo</w:t>
      </w:r>
      <w:r w:rsidRPr="005E46D3">
        <w:t>n</w:t>
      </w:r>
      <w:r w:rsidRPr="005E46D3">
        <w:t>don, Continuum</w:t>
      </w:r>
      <w:r>
        <w:t>.</w:t>
      </w:r>
    </w:p>
    <w:p w14:paraId="51D592BD" w14:textId="77777777" w:rsidR="0065175B" w:rsidRPr="005E46D3" w:rsidRDefault="0065175B" w:rsidP="0065175B">
      <w:pPr>
        <w:spacing w:before="120" w:after="120"/>
        <w:jc w:val="both"/>
      </w:pPr>
      <w:r w:rsidRPr="005E46D3">
        <w:t>PALIER B. &amp; BONOLI G. 1999</w:t>
      </w:r>
      <w:r>
        <w:t>,</w:t>
      </w:r>
      <w:r w:rsidRPr="005E46D3">
        <w:t xml:space="preserve"> “Phénomènes de </w:t>
      </w:r>
      <w:r w:rsidRPr="005E46D3">
        <w:rPr>
          <w:i/>
        </w:rPr>
        <w:t>Path Depe</w:t>
      </w:r>
      <w:r w:rsidRPr="005E46D3">
        <w:rPr>
          <w:i/>
        </w:rPr>
        <w:t>n</w:t>
      </w:r>
      <w:r w:rsidRPr="005E46D3">
        <w:rPr>
          <w:i/>
        </w:rPr>
        <w:t xml:space="preserve">dence </w:t>
      </w:r>
      <w:r w:rsidRPr="005E46D3">
        <w:t xml:space="preserve">et réformes des systèmes de protection sociale”, </w:t>
      </w:r>
      <w:r w:rsidRPr="005E46D3">
        <w:rPr>
          <w:i/>
        </w:rPr>
        <w:t>Revue Fra</w:t>
      </w:r>
      <w:r w:rsidRPr="005E46D3">
        <w:rPr>
          <w:i/>
        </w:rPr>
        <w:t>n</w:t>
      </w:r>
      <w:r w:rsidRPr="005E46D3">
        <w:rPr>
          <w:i/>
        </w:rPr>
        <w:t>çaise de science politique-49 (3)</w:t>
      </w:r>
      <w:r w:rsidRPr="005E46D3">
        <w:t>, 399-420</w:t>
      </w:r>
      <w:r>
        <w:t>.</w:t>
      </w:r>
    </w:p>
    <w:p w14:paraId="096B354E" w14:textId="77777777" w:rsidR="0065175B" w:rsidRPr="005E46D3" w:rsidRDefault="0065175B" w:rsidP="0065175B">
      <w:pPr>
        <w:spacing w:before="120" w:after="120"/>
        <w:jc w:val="both"/>
      </w:pPr>
      <w:r>
        <w:t>[201]</w:t>
      </w:r>
    </w:p>
    <w:p w14:paraId="70E8A03D" w14:textId="77777777" w:rsidR="0065175B" w:rsidRPr="005E46D3" w:rsidRDefault="0065175B" w:rsidP="0065175B">
      <w:pPr>
        <w:spacing w:before="120" w:after="120"/>
        <w:jc w:val="both"/>
      </w:pPr>
      <w:r w:rsidRPr="005E46D3">
        <w:t xml:space="preserve">SALDOMANDO A. 2000 </w:t>
      </w:r>
      <w:r w:rsidRPr="005E46D3">
        <w:rPr>
          <w:i/>
        </w:rPr>
        <w:t>Coopération et gouvernance, une an</w:t>
      </w:r>
      <w:r w:rsidRPr="005E46D3">
        <w:rPr>
          <w:i/>
        </w:rPr>
        <w:t>a</w:t>
      </w:r>
      <w:r w:rsidRPr="005E46D3">
        <w:rPr>
          <w:i/>
        </w:rPr>
        <w:t>lyse empirique</w:t>
      </w:r>
      <w:r w:rsidRPr="005E46D3">
        <w:t>, Actes de la journée d’études de l’Équipe CEDIM-FCAR Mondialisation, gouvernance et État de droit tenue à l’Université du Québec à Montréal</w:t>
      </w:r>
      <w:r>
        <w:t>.</w:t>
      </w:r>
    </w:p>
    <w:p w14:paraId="27583920" w14:textId="77777777" w:rsidR="0065175B" w:rsidRPr="005E46D3" w:rsidRDefault="0065175B" w:rsidP="0065175B">
      <w:pPr>
        <w:spacing w:before="120" w:after="120"/>
        <w:jc w:val="both"/>
      </w:pPr>
      <w:r w:rsidRPr="005E46D3">
        <w:t xml:space="preserve">SEDDON T. 1999 Capacity-building : Beyond State and Market, communication présentée au congrès annuel de l’AERA, Montréal, </w:t>
      </w:r>
      <w:r>
        <w:t>Canada.</w:t>
      </w:r>
    </w:p>
    <w:p w14:paraId="7E9448ED" w14:textId="77777777" w:rsidR="0065175B" w:rsidRPr="005E46D3" w:rsidRDefault="0065175B" w:rsidP="0065175B">
      <w:pPr>
        <w:spacing w:before="120" w:after="120"/>
        <w:jc w:val="both"/>
      </w:pPr>
      <w:r w:rsidRPr="005E46D3">
        <w:t>VAN HAECHT A. 2004 “La notion de gouvernance en perspect</w:t>
      </w:r>
      <w:r w:rsidRPr="005E46D3">
        <w:t>i</w:t>
      </w:r>
      <w:r w:rsidRPr="005E46D3">
        <w:t xml:space="preserve">ve critique : réflexion sur les systèmes d’éducation actuels”, </w:t>
      </w:r>
      <w:r w:rsidRPr="005E46D3">
        <w:rPr>
          <w:i/>
        </w:rPr>
        <w:t>Polit</w:t>
      </w:r>
      <w:r w:rsidRPr="005E46D3">
        <w:rPr>
          <w:i/>
        </w:rPr>
        <w:t>i</w:t>
      </w:r>
      <w:r w:rsidRPr="005E46D3">
        <w:rPr>
          <w:i/>
        </w:rPr>
        <w:t>ques d’éducation et de formation, analyses et comparaisons intern</w:t>
      </w:r>
      <w:r w:rsidRPr="005E46D3">
        <w:rPr>
          <w:i/>
        </w:rPr>
        <w:t>a</w:t>
      </w:r>
      <w:r w:rsidRPr="005E46D3">
        <w:rPr>
          <w:i/>
        </w:rPr>
        <w:t>tionales-10</w:t>
      </w:r>
      <w:r w:rsidRPr="005E46D3">
        <w:t>, 11-19</w:t>
      </w:r>
      <w:r>
        <w:t>.</w:t>
      </w:r>
    </w:p>
    <w:p w14:paraId="19BEB72B" w14:textId="77777777" w:rsidR="0065175B" w:rsidRPr="005E46D3" w:rsidRDefault="0065175B" w:rsidP="0065175B">
      <w:pPr>
        <w:spacing w:before="120" w:after="120"/>
        <w:jc w:val="both"/>
      </w:pPr>
      <w:r w:rsidRPr="005E46D3">
        <w:t xml:space="preserve">WEINER H. 2003 </w:t>
      </w:r>
      <w:r w:rsidRPr="005E46D3">
        <w:rPr>
          <w:i/>
        </w:rPr>
        <w:t>Le financement de l’éducation publ</w:t>
      </w:r>
      <w:r w:rsidRPr="005E46D3">
        <w:rPr>
          <w:i/>
        </w:rPr>
        <w:t>i</w:t>
      </w:r>
      <w:r w:rsidRPr="005E46D3">
        <w:rPr>
          <w:i/>
        </w:rPr>
        <w:t>que une privatisation furtive ?</w:t>
      </w:r>
      <w:r w:rsidRPr="005E46D3">
        <w:t>, 14</w:t>
      </w:r>
      <w:r w:rsidRPr="00AA0952">
        <w:rPr>
          <w:vertAlign w:val="superscript"/>
        </w:rPr>
        <w:t>e</w:t>
      </w:r>
      <w:r w:rsidRPr="005E46D3">
        <w:t xml:space="preserve"> conférence annuelle de la CAPSLE, Jasper, Alberta, avril 2003. FCE</w:t>
      </w:r>
      <w:r>
        <w:t>.</w:t>
      </w:r>
    </w:p>
    <w:p w14:paraId="4485A4E4" w14:textId="77777777" w:rsidR="0065175B" w:rsidRDefault="0065175B">
      <w:pPr>
        <w:jc w:val="both"/>
      </w:pPr>
    </w:p>
    <w:p w14:paraId="5613A87A" w14:textId="77777777" w:rsidR="0065175B" w:rsidRDefault="0065175B">
      <w:pPr>
        <w:jc w:val="both"/>
      </w:pPr>
    </w:p>
    <w:sectPr w:rsidR="0065175B" w:rsidSect="0065175B">
      <w:headerReference w:type="default" r:id="rId20"/>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7E6B3" w14:textId="77777777" w:rsidR="00FD2C51" w:rsidRDefault="00FD2C51">
      <w:r>
        <w:separator/>
      </w:r>
    </w:p>
  </w:endnote>
  <w:endnote w:type="continuationSeparator" w:id="0">
    <w:p w14:paraId="7C208694" w14:textId="77777777" w:rsidR="00FD2C51" w:rsidRDefault="00FD2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3C98B" w14:textId="77777777" w:rsidR="00FD2C51" w:rsidRDefault="00FD2C51">
      <w:pPr>
        <w:ind w:firstLine="0"/>
      </w:pPr>
      <w:r>
        <w:separator/>
      </w:r>
    </w:p>
  </w:footnote>
  <w:footnote w:type="continuationSeparator" w:id="0">
    <w:p w14:paraId="0306AC75" w14:textId="77777777" w:rsidR="00FD2C51" w:rsidRDefault="00FD2C51">
      <w:pPr>
        <w:ind w:firstLine="0"/>
      </w:pPr>
      <w:r>
        <w:separator/>
      </w:r>
    </w:p>
  </w:footnote>
  <w:footnote w:id="1">
    <w:p w14:paraId="67DD2386" w14:textId="77777777" w:rsidR="0065175B" w:rsidRDefault="0065175B" w:rsidP="0065175B">
      <w:pPr>
        <w:pStyle w:val="Notedebasdepage"/>
      </w:pPr>
      <w:r>
        <w:rPr>
          <w:rStyle w:val="Appelnotedebasdep"/>
        </w:rPr>
        <w:footnoteRef/>
      </w:r>
      <w:r>
        <w:t xml:space="preserve"> </w:t>
      </w:r>
      <w:r>
        <w:tab/>
      </w:r>
      <w:r w:rsidRPr="005E46D3">
        <w:t>Couvrant la période 1990-2003, cette enquête a été entr</w:t>
      </w:r>
      <w:r w:rsidRPr="005E46D3">
        <w:t>e</w:t>
      </w:r>
      <w:r w:rsidRPr="005E46D3">
        <w:t>prise à titre de sous-projet</w:t>
      </w:r>
      <w:r>
        <w:t> </w:t>
      </w:r>
      <w:r w:rsidRPr="005E46D3">
        <w:t>2 d’une recherche longitudinale des politiques et des conditions affe</w:t>
      </w:r>
      <w:r w:rsidRPr="005E46D3">
        <w:t>c</w:t>
      </w:r>
      <w:r w:rsidRPr="005E46D3">
        <w:t xml:space="preserve">tant la vie professionnelle du personnel scolaire. Intitulée </w:t>
      </w:r>
      <w:r w:rsidRPr="005E46D3">
        <w:rPr>
          <w:i/>
        </w:rPr>
        <w:t>“L’Évolution du pe</w:t>
      </w:r>
      <w:r w:rsidRPr="005E46D3">
        <w:rPr>
          <w:i/>
        </w:rPr>
        <w:t>r</w:t>
      </w:r>
      <w:r w:rsidRPr="005E46D3">
        <w:rPr>
          <w:i/>
        </w:rPr>
        <w:t>sonnel scolaire au Canada”</w:t>
      </w:r>
      <w:r w:rsidRPr="005E46D3">
        <w:t>, elle a été financée par le Conseil Canadien de recherche en sciences sociales, par le biais de son programme des Grands Travaux de Recherche co</w:t>
      </w:r>
      <w:r w:rsidRPr="005E46D3">
        <w:t>l</w:t>
      </w:r>
      <w:r w:rsidRPr="005E46D3">
        <w:t>laborative.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04B06" w14:textId="77777777" w:rsidR="0065175B" w:rsidRDefault="0065175B" w:rsidP="0065175B">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r>
    <w:r w:rsidRPr="00677729">
      <w:rPr>
        <w:rFonts w:ascii="Times New Roman" w:hAnsi="Times New Roman"/>
      </w:rPr>
      <w:t>“La “gouvernance” de l’éducation au Canada : tendances et significations.”</w:t>
    </w:r>
    <w:r w:rsidRPr="00C90835">
      <w:rPr>
        <w:rFonts w:ascii="Times New Roman" w:hAnsi="Times New Roman"/>
      </w:rPr>
      <w:t xml:space="preserve"> </w:t>
    </w:r>
    <w:r>
      <w:rPr>
        <w:rFonts w:ascii="Times New Roman" w:hAnsi="Times New Roman"/>
      </w:rPr>
      <w:t>(2006)</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FD2C51">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w:t>
    </w:r>
    <w:r>
      <w:rPr>
        <w:rStyle w:val="Numrodepage"/>
        <w:rFonts w:ascii="Times New Roman" w:hAnsi="Times New Roman"/>
      </w:rPr>
      <w:fldChar w:fldCharType="end"/>
    </w:r>
  </w:p>
  <w:p w14:paraId="27DAF4FB" w14:textId="77777777" w:rsidR="0065175B" w:rsidRDefault="0065175B">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23F503E"/>
    <w:multiLevelType w:val="hybridMultilevel"/>
    <w:tmpl w:val="4FA28246"/>
    <w:lvl w:ilvl="0" w:tplc="315E2E48">
      <w:numFmt w:val="bullet"/>
      <w:lvlText w:val="–"/>
      <w:lvlJc w:val="left"/>
      <w:pPr>
        <w:ind w:left="402" w:hanging="171"/>
      </w:pPr>
      <w:rPr>
        <w:rFonts w:ascii="Cambria" w:eastAsia="Cambria" w:hAnsi="Cambria" w:cs="Cambria" w:hint="default"/>
        <w:b w:val="0"/>
        <w:bCs w:val="0"/>
        <w:i w:val="0"/>
        <w:iCs w:val="0"/>
        <w:w w:val="99"/>
        <w:sz w:val="20"/>
        <w:szCs w:val="20"/>
      </w:rPr>
    </w:lvl>
    <w:lvl w:ilvl="1" w:tplc="FEEE8E04">
      <w:numFmt w:val="bullet"/>
      <w:lvlText w:val="•"/>
      <w:lvlJc w:val="left"/>
      <w:pPr>
        <w:ind w:left="1048" w:hanging="171"/>
      </w:pPr>
      <w:rPr>
        <w:rFonts w:hint="default"/>
      </w:rPr>
    </w:lvl>
    <w:lvl w:ilvl="2" w:tplc="D4F415B4">
      <w:numFmt w:val="bullet"/>
      <w:lvlText w:val="•"/>
      <w:lvlJc w:val="left"/>
      <w:pPr>
        <w:ind w:left="1696" w:hanging="171"/>
      </w:pPr>
      <w:rPr>
        <w:rFonts w:hint="default"/>
      </w:rPr>
    </w:lvl>
    <w:lvl w:ilvl="3" w:tplc="1A162684">
      <w:numFmt w:val="bullet"/>
      <w:lvlText w:val="•"/>
      <w:lvlJc w:val="left"/>
      <w:pPr>
        <w:ind w:left="2344" w:hanging="171"/>
      </w:pPr>
      <w:rPr>
        <w:rFonts w:hint="default"/>
      </w:rPr>
    </w:lvl>
    <w:lvl w:ilvl="4" w:tplc="E71A9110">
      <w:numFmt w:val="bullet"/>
      <w:lvlText w:val="•"/>
      <w:lvlJc w:val="left"/>
      <w:pPr>
        <w:ind w:left="2992" w:hanging="171"/>
      </w:pPr>
      <w:rPr>
        <w:rFonts w:hint="default"/>
      </w:rPr>
    </w:lvl>
    <w:lvl w:ilvl="5" w:tplc="770694F8">
      <w:numFmt w:val="bullet"/>
      <w:lvlText w:val="•"/>
      <w:lvlJc w:val="left"/>
      <w:pPr>
        <w:ind w:left="3640" w:hanging="171"/>
      </w:pPr>
      <w:rPr>
        <w:rFonts w:hint="default"/>
      </w:rPr>
    </w:lvl>
    <w:lvl w:ilvl="6" w:tplc="8FA671DC">
      <w:numFmt w:val="bullet"/>
      <w:lvlText w:val="•"/>
      <w:lvlJc w:val="left"/>
      <w:pPr>
        <w:ind w:left="4288" w:hanging="171"/>
      </w:pPr>
      <w:rPr>
        <w:rFonts w:hint="default"/>
      </w:rPr>
    </w:lvl>
    <w:lvl w:ilvl="7" w:tplc="6EB0ED52">
      <w:numFmt w:val="bullet"/>
      <w:lvlText w:val="•"/>
      <w:lvlJc w:val="left"/>
      <w:pPr>
        <w:ind w:left="4936" w:hanging="171"/>
      </w:pPr>
      <w:rPr>
        <w:rFonts w:hint="default"/>
      </w:rPr>
    </w:lvl>
    <w:lvl w:ilvl="8" w:tplc="2BFCB25C">
      <w:numFmt w:val="bullet"/>
      <w:lvlText w:val="•"/>
      <w:lvlJc w:val="left"/>
      <w:pPr>
        <w:ind w:left="5584" w:hanging="171"/>
      </w:pPr>
      <w:rPr>
        <w:rFonts w:hint="default"/>
      </w:rPr>
    </w:lvl>
  </w:abstractNum>
  <w:abstractNum w:abstractNumId="2" w15:restartNumberingAfterBreak="0">
    <w:nsid w:val="7F7A310A"/>
    <w:multiLevelType w:val="multilevel"/>
    <w:tmpl w:val="FE00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183358">
    <w:abstractNumId w:val="0"/>
  </w:num>
  <w:num w:numId="2" w16cid:durableId="808550177">
    <w:abstractNumId w:val="2"/>
  </w:num>
  <w:num w:numId="3" w16cid:durableId="1521158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35F0D"/>
    <w:rsid w:val="0065175B"/>
    <w:rsid w:val="008C5589"/>
    <w:rsid w:val="00FD2C51"/>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D2E503A"/>
  <w15:chartTrackingRefBased/>
  <w15:docId w15:val="{F91298A7-0FCA-EF45-837C-B8DEAAC8A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Colorful List Accent 1" w:uiPriority="1"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F84E1F"/>
    <w:rPr>
      <w:rFonts w:eastAsia="Times New Roman"/>
      <w:noProof/>
      <w:lang w:val="fr-CA" w:eastAsia="en-US" w:bidi="ar-SA"/>
    </w:rPr>
  </w:style>
  <w:style w:type="character" w:customStyle="1" w:styleId="Titre2Car">
    <w:name w:val="Titre 2 Car"/>
    <w:basedOn w:val="Policepardfaut"/>
    <w:link w:val="Titre2"/>
    <w:rsid w:val="00F84E1F"/>
    <w:rPr>
      <w:rFonts w:eastAsia="Times New Roman"/>
      <w:noProof/>
      <w:lang w:val="fr-CA" w:eastAsia="en-US" w:bidi="ar-SA"/>
    </w:rPr>
  </w:style>
  <w:style w:type="character" w:customStyle="1" w:styleId="Titre3Car">
    <w:name w:val="Titre 3 Car"/>
    <w:basedOn w:val="Policepardfaut"/>
    <w:link w:val="Titre3"/>
    <w:rsid w:val="00F84E1F"/>
    <w:rPr>
      <w:rFonts w:eastAsia="Times New Roman"/>
      <w:noProof/>
      <w:lang w:val="fr-CA" w:eastAsia="en-US" w:bidi="ar-SA"/>
    </w:rPr>
  </w:style>
  <w:style w:type="character" w:customStyle="1" w:styleId="Titre4Car">
    <w:name w:val="Titre 4 Car"/>
    <w:basedOn w:val="Policepardfaut"/>
    <w:link w:val="Titre4"/>
    <w:rsid w:val="00F84E1F"/>
    <w:rPr>
      <w:rFonts w:eastAsia="Times New Roman"/>
      <w:noProof/>
      <w:lang w:val="fr-CA" w:eastAsia="en-US" w:bidi="ar-SA"/>
    </w:rPr>
  </w:style>
  <w:style w:type="character" w:customStyle="1" w:styleId="Titre5Car">
    <w:name w:val="Titre 5 Car"/>
    <w:basedOn w:val="Policepardfaut"/>
    <w:link w:val="Titre5"/>
    <w:rsid w:val="00F84E1F"/>
    <w:rPr>
      <w:rFonts w:eastAsia="Times New Roman"/>
      <w:noProof/>
      <w:lang w:val="fr-CA" w:eastAsia="en-US" w:bidi="ar-SA"/>
    </w:rPr>
  </w:style>
  <w:style w:type="character" w:customStyle="1" w:styleId="Titre6Car">
    <w:name w:val="Titre 6 Car"/>
    <w:basedOn w:val="Policepardfaut"/>
    <w:link w:val="Titre6"/>
    <w:rsid w:val="00F84E1F"/>
    <w:rPr>
      <w:rFonts w:eastAsia="Times New Roman"/>
      <w:noProof/>
      <w:lang w:val="fr-CA" w:eastAsia="en-US" w:bidi="ar-SA"/>
    </w:rPr>
  </w:style>
  <w:style w:type="character" w:customStyle="1" w:styleId="Titre7Car">
    <w:name w:val="Titre 7 Car"/>
    <w:basedOn w:val="Policepardfaut"/>
    <w:link w:val="Titre7"/>
    <w:rsid w:val="00F84E1F"/>
    <w:rPr>
      <w:rFonts w:eastAsia="Times New Roman"/>
      <w:noProof/>
      <w:lang w:val="fr-CA" w:eastAsia="en-US" w:bidi="ar-SA"/>
    </w:rPr>
  </w:style>
  <w:style w:type="character" w:customStyle="1" w:styleId="Titre8Car">
    <w:name w:val="Titre 8 Car"/>
    <w:basedOn w:val="Policepardfaut"/>
    <w:link w:val="Titre8"/>
    <w:rsid w:val="00F84E1F"/>
    <w:rPr>
      <w:rFonts w:eastAsia="Times New Roman"/>
      <w:noProof/>
      <w:lang w:val="fr-CA" w:eastAsia="en-US" w:bidi="ar-SA"/>
    </w:rPr>
  </w:style>
  <w:style w:type="character" w:customStyle="1" w:styleId="Titre9Car">
    <w:name w:val="Titre 9 Car"/>
    <w:basedOn w:val="Policepardfaut"/>
    <w:link w:val="Titre9"/>
    <w:rsid w:val="00F84E1F"/>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character" w:customStyle="1" w:styleId="Grillecouleur-Accent1Car">
    <w:name w:val="Grille couleur - Accent 1 Car"/>
    <w:basedOn w:val="Policepardfaut"/>
    <w:link w:val="Grillecouleur-Accent1"/>
    <w:rsid w:val="00F84E1F"/>
    <w:rPr>
      <w:rFonts w:ascii="Times New Roman" w:eastAsia="Times New Roman" w:hAnsi="Times New Roman"/>
      <w:color w:val="000080"/>
      <w:sz w:val="24"/>
      <w:lang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F84E1F"/>
    <w:rPr>
      <w:rFonts w:ascii="Times New Roman" w:eastAsia="Times New Roman" w:hAnsi="Times New Roman"/>
      <w:sz w:val="72"/>
      <w:lang w:eastAsia="en-US"/>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F84E1F"/>
    <w:rPr>
      <w:rFonts w:ascii="GillSans" w:eastAsia="Times New Roman" w:hAnsi="GillSans"/>
      <w:lang w:eastAsia="en-US"/>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BD4A7F"/>
    <w:pPr>
      <w:ind w:left="360" w:hanging="360"/>
      <w:jc w:val="both"/>
    </w:pPr>
    <w:rPr>
      <w:color w:val="000000"/>
      <w:sz w:val="24"/>
    </w:rPr>
  </w:style>
  <w:style w:type="character" w:customStyle="1" w:styleId="NotedebasdepageCar">
    <w:name w:val="Note de bas de page Car"/>
    <w:basedOn w:val="Policepardfaut"/>
    <w:link w:val="Notedebasdepage"/>
    <w:rsid w:val="00BD4A7F"/>
    <w:rPr>
      <w:rFonts w:ascii="Times New Roman" w:eastAsia="Times New Roman" w:hAnsi="Times New Roman"/>
      <w:color w:val="000000"/>
      <w:sz w:val="24"/>
      <w:lang w:val="fr-CA" w:eastAsia="en-US"/>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F84E1F"/>
    <w:rPr>
      <w:rFonts w:ascii="GillSans" w:eastAsia="Times New Roman" w:hAnsi="GillSans"/>
      <w:lang w:eastAsia="en-US"/>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F84E1F"/>
    <w:rPr>
      <w:rFonts w:ascii="Arial" w:eastAsia="Times New Roman" w:hAnsi="Arial"/>
      <w:sz w:val="28"/>
      <w:lang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F84E1F"/>
    <w:rPr>
      <w:rFonts w:ascii="Arial" w:eastAsia="Times New Roman" w:hAnsi="Arial"/>
      <w:sz w:val="28"/>
      <w:lang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F84E1F"/>
    <w:rPr>
      <w:rFonts w:ascii="Arial" w:eastAsia="Times New Roman" w:hAnsi="Arial"/>
      <w:sz w:val="28"/>
      <w:lang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F84E1F"/>
    <w:rPr>
      <w:rFonts w:ascii="Times New Roman" w:eastAsia="Times New Roman" w:hAnsi="Times New Roman"/>
      <w:b/>
      <w:sz w:val="48"/>
      <w:lang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3780C"/>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F84E1F"/>
    <w:rPr>
      <w:rFonts w:ascii="Times New Roman" w:eastAsia="Times New Roman" w:hAnsi="Times New Roman"/>
      <w:lang w:val="fr-FR"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AE73DC"/>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Default">
    <w:name w:val="Default"/>
    <w:rsid w:val="002F63C0"/>
    <w:pPr>
      <w:widowControl w:val="0"/>
      <w:autoSpaceDE w:val="0"/>
      <w:autoSpaceDN w:val="0"/>
      <w:adjustRightInd w:val="0"/>
    </w:pPr>
    <w:rPr>
      <w:rFonts w:ascii="Times New Roman" w:hAnsi="Times New Roman"/>
      <w:color w:val="000000"/>
      <w:sz w:val="24"/>
      <w:szCs w:val="24"/>
      <w:lang w:val="fr-FR" w:eastAsia="fr-FR"/>
    </w:rPr>
  </w:style>
  <w:style w:type="paragraph" w:styleId="Corpsdetexte2">
    <w:name w:val="Body Text 2"/>
    <w:basedOn w:val="Normal"/>
    <w:link w:val="Corpsdetexte2Car"/>
    <w:rsid w:val="00F84E1F"/>
    <w:pPr>
      <w:jc w:val="both"/>
    </w:pPr>
    <w:rPr>
      <w:rFonts w:ascii="Arial" w:hAnsi="Arial"/>
    </w:rPr>
  </w:style>
  <w:style w:type="character" w:customStyle="1" w:styleId="Corpsdetexte2Car">
    <w:name w:val="Corps de texte 2 Car"/>
    <w:basedOn w:val="Policepardfaut"/>
    <w:link w:val="Corpsdetexte2"/>
    <w:rsid w:val="00F84E1F"/>
    <w:rPr>
      <w:rFonts w:ascii="Arial" w:eastAsia="Times New Roman" w:hAnsi="Arial"/>
      <w:sz w:val="28"/>
      <w:lang w:eastAsia="en-US"/>
    </w:rPr>
  </w:style>
  <w:style w:type="paragraph" w:styleId="Corpsdetexte3">
    <w:name w:val="Body Text 3"/>
    <w:basedOn w:val="Normal"/>
    <w:link w:val="Corpsdetexte3Car"/>
    <w:rsid w:val="00F84E1F"/>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F84E1F"/>
    <w:rPr>
      <w:rFonts w:ascii="Arial" w:eastAsia="Times New Roman" w:hAnsi="Arial"/>
      <w:lang w:eastAsia="en-US"/>
    </w:rPr>
  </w:style>
  <w:style w:type="paragraph" w:customStyle="1" w:styleId="b">
    <w:name w:val="b"/>
    <w:basedOn w:val="Normal"/>
    <w:autoRedefine/>
    <w:rsid w:val="00F84E1F"/>
    <w:pPr>
      <w:spacing w:before="120" w:after="120"/>
      <w:ind w:left="720" w:firstLine="0"/>
    </w:pPr>
    <w:rPr>
      <w:i/>
      <w:color w:val="0000FF"/>
      <w:lang w:eastAsia="fr-FR" w:bidi="fr-FR"/>
    </w:rPr>
  </w:style>
  <w:style w:type="paragraph" w:customStyle="1" w:styleId="figlgende">
    <w:name w:val="fig légende"/>
    <w:basedOn w:val="Normal0"/>
    <w:rsid w:val="00F84E1F"/>
    <w:rPr>
      <w:color w:val="000090"/>
      <w:sz w:val="24"/>
      <w:szCs w:val="16"/>
      <w:lang w:eastAsia="fr-FR"/>
    </w:rPr>
  </w:style>
  <w:style w:type="paragraph" w:customStyle="1" w:styleId="figst">
    <w:name w:val="fig st"/>
    <w:basedOn w:val="Normal"/>
    <w:autoRedefine/>
    <w:rsid w:val="00F84E1F"/>
    <w:pPr>
      <w:spacing w:before="120" w:after="120"/>
      <w:jc w:val="center"/>
    </w:pPr>
    <w:rPr>
      <w:rFonts w:cs="Arial"/>
      <w:color w:val="000090"/>
      <w:sz w:val="24"/>
      <w:szCs w:val="16"/>
    </w:rPr>
  </w:style>
  <w:style w:type="paragraph" w:customStyle="1" w:styleId="figtitre">
    <w:name w:val="fig titre"/>
    <w:basedOn w:val="Normal"/>
    <w:autoRedefine/>
    <w:rsid w:val="00F84E1F"/>
    <w:pPr>
      <w:spacing w:before="120" w:after="120"/>
      <w:ind w:firstLine="0"/>
      <w:jc w:val="center"/>
    </w:pPr>
    <w:rPr>
      <w:rFonts w:cs="Arial"/>
      <w:b/>
      <w:bCs/>
      <w:color w:val="000000"/>
      <w:sz w:val="24"/>
      <w:szCs w:val="12"/>
    </w:rPr>
  </w:style>
  <w:style w:type="paragraph" w:customStyle="1" w:styleId="aa">
    <w:name w:val="aa"/>
    <w:basedOn w:val="Normal"/>
    <w:autoRedefine/>
    <w:rsid w:val="00F84E1F"/>
    <w:pPr>
      <w:spacing w:before="120" w:after="120"/>
      <w:ind w:firstLine="0"/>
      <w:jc w:val="both"/>
    </w:pPr>
    <w:rPr>
      <w:b/>
      <w:i/>
      <w:color w:val="FF0000"/>
      <w:sz w:val="32"/>
      <w:lang w:bidi="fr-FR"/>
    </w:rPr>
  </w:style>
  <w:style w:type="paragraph" w:customStyle="1" w:styleId="bb">
    <w:name w:val="bb"/>
    <w:basedOn w:val="Normal"/>
    <w:rsid w:val="00F84E1F"/>
    <w:pPr>
      <w:spacing w:before="120" w:after="120"/>
      <w:ind w:left="540" w:firstLine="0"/>
    </w:pPr>
    <w:rPr>
      <w:i/>
      <w:color w:val="0000FF"/>
      <w:lang w:bidi="fr-FR"/>
    </w:rPr>
  </w:style>
  <w:style w:type="paragraph" w:customStyle="1" w:styleId="dd">
    <w:name w:val="dd"/>
    <w:basedOn w:val="Normal"/>
    <w:autoRedefine/>
    <w:rsid w:val="00F84E1F"/>
    <w:pPr>
      <w:spacing w:before="120" w:after="120"/>
      <w:ind w:left="1080" w:firstLine="0"/>
    </w:pPr>
    <w:rPr>
      <w:i/>
      <w:color w:val="008000"/>
      <w:lang w:bidi="fr-FR"/>
    </w:rPr>
  </w:style>
  <w:style w:type="character" w:customStyle="1" w:styleId="auteur">
    <w:name w:val="auteur"/>
    <w:basedOn w:val="Policepardfaut"/>
    <w:rsid w:val="00F84E1F"/>
  </w:style>
  <w:style w:type="character" w:customStyle="1" w:styleId="in-revue">
    <w:name w:val="in-revue"/>
    <w:basedOn w:val="Policepardfaut"/>
    <w:rsid w:val="00F84E1F"/>
  </w:style>
  <w:style w:type="character" w:customStyle="1" w:styleId="titre-revue">
    <w:name w:val="titre-revue"/>
    <w:basedOn w:val="Policepardfaut"/>
    <w:rsid w:val="00F84E1F"/>
  </w:style>
  <w:style w:type="character" w:customStyle="1" w:styleId="prenom">
    <w:name w:val="prenom"/>
    <w:basedOn w:val="Policepardfaut"/>
    <w:rsid w:val="00F84E1F"/>
  </w:style>
  <w:style w:type="character" w:customStyle="1" w:styleId="nomfamille">
    <w:name w:val="nomfamille"/>
    <w:basedOn w:val="Policepardfaut"/>
    <w:rsid w:val="00F84E1F"/>
  </w:style>
  <w:style w:type="character" w:customStyle="1" w:styleId="notice-author-publication">
    <w:name w:val="notice-author-publication"/>
    <w:basedOn w:val="Policepardfaut"/>
    <w:rsid w:val="00F84E1F"/>
  </w:style>
  <w:style w:type="character" w:styleId="Accentuation">
    <w:name w:val="Emphasis"/>
    <w:basedOn w:val="Policepardfaut"/>
    <w:uiPriority w:val="20"/>
    <w:qFormat/>
    <w:rsid w:val="00F84E1F"/>
    <w:rPr>
      <w:i/>
    </w:rPr>
  </w:style>
  <w:style w:type="paragraph" w:customStyle="1" w:styleId="para">
    <w:name w:val="para"/>
    <w:basedOn w:val="Normal"/>
    <w:rsid w:val="00F84E1F"/>
    <w:pPr>
      <w:spacing w:beforeLines="1" w:afterLines="1"/>
      <w:ind w:firstLine="0"/>
    </w:pPr>
    <w:rPr>
      <w:rFonts w:ascii="Times" w:hAnsi="Times"/>
      <w:sz w:val="20"/>
      <w:lang w:eastAsia="fr-FR"/>
    </w:rPr>
  </w:style>
  <w:style w:type="character" w:customStyle="1" w:styleId="lettrine">
    <w:name w:val="lettrine"/>
    <w:basedOn w:val="Policepardfaut"/>
    <w:rsid w:val="00F84E1F"/>
  </w:style>
  <w:style w:type="character" w:styleId="lev">
    <w:name w:val="Strong"/>
    <w:basedOn w:val="Policepardfaut"/>
    <w:uiPriority w:val="22"/>
    <w:qFormat/>
    <w:rsid w:val="00F84E1F"/>
    <w:rPr>
      <w:b/>
    </w:rPr>
  </w:style>
  <w:style w:type="paragraph" w:customStyle="1" w:styleId="figtitrest">
    <w:name w:val="fig titre st"/>
    <w:basedOn w:val="Normal"/>
    <w:autoRedefine/>
    <w:rsid w:val="00DE07FC"/>
    <w:pPr>
      <w:spacing w:before="120" w:after="120"/>
      <w:ind w:firstLine="0"/>
      <w:jc w:val="center"/>
    </w:pPr>
    <w:rPr>
      <w:color w:val="000090"/>
      <w:sz w:val="24"/>
    </w:rPr>
  </w:style>
  <w:style w:type="table" w:customStyle="1" w:styleId="TableNormal">
    <w:name w:val="Table Normal"/>
    <w:uiPriority w:val="2"/>
    <w:semiHidden/>
    <w:unhideWhenUsed/>
    <w:qFormat/>
    <w:rsid w:val="0067772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igst0">
    <w:name w:val="fig st 0"/>
    <w:basedOn w:val="Normal"/>
    <w:autoRedefine/>
    <w:rsid w:val="00677729"/>
    <w:pPr>
      <w:spacing w:before="120" w:after="120"/>
      <w:jc w:val="both"/>
    </w:pPr>
    <w:rPr>
      <w:color w:val="00009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mailto:claude.lessard@umontreal.c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claude.lessard@umontreal.ca" TargetMode="Externa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9272</Words>
  <Characters>50997</Characters>
  <Application>Microsoft Office Word</Application>
  <DocSecurity>0</DocSecurity>
  <Lines>424</Lines>
  <Paragraphs>120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“La “gouvernance” de l’éducation au Canada : tendances et significations.”</vt:lpstr>
      <vt:lpstr>“La “gouvernance” de l’éducation au Canada : tendances et significations.”</vt:lpstr>
    </vt:vector>
  </TitlesOfParts>
  <Manager>Jean marie Tremblay, sociologue, bénévole, 2022</Manager>
  <Company>Les Classiques des sciences sociales</Company>
  <LinksUpToDate>false</LinksUpToDate>
  <CharactersWithSpaces>60149</CharactersWithSpaces>
  <SharedDoc>false</SharedDoc>
  <HyperlinkBase/>
  <HLinks>
    <vt:vector size="162" baseType="variant">
      <vt:variant>
        <vt:i4>6553716</vt:i4>
      </vt:variant>
      <vt:variant>
        <vt:i4>78</vt:i4>
      </vt:variant>
      <vt:variant>
        <vt:i4>0</vt:i4>
      </vt:variant>
      <vt:variant>
        <vt:i4>5</vt:i4>
      </vt:variant>
      <vt:variant>
        <vt:lpwstr/>
      </vt:variant>
      <vt:variant>
        <vt:lpwstr>tdm</vt:lpwstr>
      </vt:variant>
      <vt:variant>
        <vt:i4>6553716</vt:i4>
      </vt:variant>
      <vt:variant>
        <vt:i4>75</vt:i4>
      </vt:variant>
      <vt:variant>
        <vt:i4>0</vt:i4>
      </vt:variant>
      <vt:variant>
        <vt:i4>5</vt:i4>
      </vt:variant>
      <vt:variant>
        <vt:lpwstr/>
      </vt:variant>
      <vt:variant>
        <vt:lpwstr>tdm</vt:lpwstr>
      </vt:variant>
      <vt:variant>
        <vt:i4>6553716</vt:i4>
      </vt:variant>
      <vt:variant>
        <vt:i4>72</vt:i4>
      </vt:variant>
      <vt:variant>
        <vt:i4>0</vt:i4>
      </vt:variant>
      <vt:variant>
        <vt:i4>5</vt:i4>
      </vt:variant>
      <vt:variant>
        <vt:lpwstr/>
      </vt:variant>
      <vt:variant>
        <vt:lpwstr>tdm</vt:lpwstr>
      </vt:variant>
      <vt:variant>
        <vt:i4>6553716</vt:i4>
      </vt:variant>
      <vt:variant>
        <vt:i4>69</vt:i4>
      </vt:variant>
      <vt:variant>
        <vt:i4>0</vt:i4>
      </vt:variant>
      <vt:variant>
        <vt:i4>5</vt:i4>
      </vt:variant>
      <vt:variant>
        <vt:lpwstr/>
      </vt:variant>
      <vt:variant>
        <vt:lpwstr>tdm</vt:lpwstr>
      </vt:variant>
      <vt:variant>
        <vt:i4>6553716</vt:i4>
      </vt:variant>
      <vt:variant>
        <vt:i4>66</vt:i4>
      </vt:variant>
      <vt:variant>
        <vt:i4>0</vt:i4>
      </vt:variant>
      <vt:variant>
        <vt:i4>5</vt:i4>
      </vt:variant>
      <vt:variant>
        <vt:lpwstr/>
      </vt:variant>
      <vt:variant>
        <vt:lpwstr>tdm</vt:lpwstr>
      </vt:variant>
      <vt:variant>
        <vt:i4>6553716</vt:i4>
      </vt:variant>
      <vt:variant>
        <vt:i4>63</vt:i4>
      </vt:variant>
      <vt:variant>
        <vt:i4>0</vt:i4>
      </vt:variant>
      <vt:variant>
        <vt:i4>5</vt:i4>
      </vt:variant>
      <vt:variant>
        <vt:lpwstr/>
      </vt:variant>
      <vt:variant>
        <vt:lpwstr>tdm</vt:lpwstr>
      </vt:variant>
      <vt:variant>
        <vt:i4>6553716</vt:i4>
      </vt:variant>
      <vt:variant>
        <vt:i4>60</vt:i4>
      </vt:variant>
      <vt:variant>
        <vt:i4>0</vt:i4>
      </vt:variant>
      <vt:variant>
        <vt:i4>5</vt:i4>
      </vt:variant>
      <vt:variant>
        <vt:lpwstr/>
      </vt:variant>
      <vt:variant>
        <vt:lpwstr>tdm</vt:lpwstr>
      </vt:variant>
      <vt:variant>
        <vt:i4>6553716</vt:i4>
      </vt:variant>
      <vt:variant>
        <vt:i4>57</vt:i4>
      </vt:variant>
      <vt:variant>
        <vt:i4>0</vt:i4>
      </vt:variant>
      <vt:variant>
        <vt:i4>5</vt:i4>
      </vt:variant>
      <vt:variant>
        <vt:lpwstr/>
      </vt:variant>
      <vt:variant>
        <vt:lpwstr>tdm</vt:lpwstr>
      </vt:variant>
      <vt:variant>
        <vt:i4>6553716</vt:i4>
      </vt:variant>
      <vt:variant>
        <vt:i4>54</vt:i4>
      </vt:variant>
      <vt:variant>
        <vt:i4>0</vt:i4>
      </vt:variant>
      <vt:variant>
        <vt:i4>5</vt:i4>
      </vt:variant>
      <vt:variant>
        <vt:lpwstr/>
      </vt:variant>
      <vt:variant>
        <vt:lpwstr>tdm</vt:lpwstr>
      </vt:variant>
      <vt:variant>
        <vt:i4>6029435</vt:i4>
      </vt:variant>
      <vt:variant>
        <vt:i4>51</vt:i4>
      </vt:variant>
      <vt:variant>
        <vt:i4>0</vt:i4>
      </vt:variant>
      <vt:variant>
        <vt:i4>5</vt:i4>
      </vt:variant>
      <vt:variant>
        <vt:lpwstr/>
      </vt:variant>
      <vt:variant>
        <vt:lpwstr>Gouvernance_biblio</vt:lpwstr>
      </vt:variant>
      <vt:variant>
        <vt:i4>4718703</vt:i4>
      </vt:variant>
      <vt:variant>
        <vt:i4>48</vt:i4>
      </vt:variant>
      <vt:variant>
        <vt:i4>0</vt:i4>
      </vt:variant>
      <vt:variant>
        <vt:i4>5</vt:i4>
      </vt:variant>
      <vt:variant>
        <vt:lpwstr/>
      </vt:variant>
      <vt:variant>
        <vt:lpwstr>Gouvernance_conclusion</vt:lpwstr>
      </vt:variant>
      <vt:variant>
        <vt:i4>3538962</vt:i4>
      </vt:variant>
      <vt:variant>
        <vt:i4>45</vt:i4>
      </vt:variant>
      <vt:variant>
        <vt:i4>0</vt:i4>
      </vt:variant>
      <vt:variant>
        <vt:i4>5</vt:i4>
      </vt:variant>
      <vt:variant>
        <vt:lpwstr/>
      </vt:variant>
      <vt:variant>
        <vt:lpwstr>Gouvernance_4</vt:lpwstr>
      </vt:variant>
      <vt:variant>
        <vt:i4>5505057</vt:i4>
      </vt:variant>
      <vt:variant>
        <vt:i4>42</vt:i4>
      </vt:variant>
      <vt:variant>
        <vt:i4>0</vt:i4>
      </vt:variant>
      <vt:variant>
        <vt:i4>5</vt:i4>
      </vt:variant>
      <vt:variant>
        <vt:lpwstr/>
      </vt:variant>
      <vt:variant>
        <vt:lpwstr>Gouvernance_3b</vt:lpwstr>
      </vt:variant>
      <vt:variant>
        <vt:i4>5701665</vt:i4>
      </vt:variant>
      <vt:variant>
        <vt:i4>39</vt:i4>
      </vt:variant>
      <vt:variant>
        <vt:i4>0</vt:i4>
      </vt:variant>
      <vt:variant>
        <vt:i4>5</vt:i4>
      </vt:variant>
      <vt:variant>
        <vt:lpwstr/>
      </vt:variant>
      <vt:variant>
        <vt:lpwstr>Gouvernance_3a</vt:lpwstr>
      </vt:variant>
      <vt:variant>
        <vt:i4>3538962</vt:i4>
      </vt:variant>
      <vt:variant>
        <vt:i4>36</vt:i4>
      </vt:variant>
      <vt:variant>
        <vt:i4>0</vt:i4>
      </vt:variant>
      <vt:variant>
        <vt:i4>5</vt:i4>
      </vt:variant>
      <vt:variant>
        <vt:lpwstr/>
      </vt:variant>
      <vt:variant>
        <vt:lpwstr>Gouvernance_3</vt:lpwstr>
      </vt:variant>
      <vt:variant>
        <vt:i4>5505056</vt:i4>
      </vt:variant>
      <vt:variant>
        <vt:i4>33</vt:i4>
      </vt:variant>
      <vt:variant>
        <vt:i4>0</vt:i4>
      </vt:variant>
      <vt:variant>
        <vt:i4>5</vt:i4>
      </vt:variant>
      <vt:variant>
        <vt:lpwstr/>
      </vt:variant>
      <vt:variant>
        <vt:lpwstr>Gouvernance_2b</vt:lpwstr>
      </vt:variant>
      <vt:variant>
        <vt:i4>5701664</vt:i4>
      </vt:variant>
      <vt:variant>
        <vt:i4>30</vt:i4>
      </vt:variant>
      <vt:variant>
        <vt:i4>0</vt:i4>
      </vt:variant>
      <vt:variant>
        <vt:i4>5</vt:i4>
      </vt:variant>
      <vt:variant>
        <vt:lpwstr/>
      </vt:variant>
      <vt:variant>
        <vt:lpwstr>Gouvernance_2a</vt:lpwstr>
      </vt:variant>
      <vt:variant>
        <vt:i4>3538962</vt:i4>
      </vt:variant>
      <vt:variant>
        <vt:i4>27</vt:i4>
      </vt:variant>
      <vt:variant>
        <vt:i4>0</vt:i4>
      </vt:variant>
      <vt:variant>
        <vt:i4>5</vt:i4>
      </vt:variant>
      <vt:variant>
        <vt:lpwstr/>
      </vt:variant>
      <vt:variant>
        <vt:lpwstr>Gouvernance_2</vt:lpwstr>
      </vt:variant>
      <vt:variant>
        <vt:i4>3538962</vt:i4>
      </vt:variant>
      <vt:variant>
        <vt:i4>24</vt:i4>
      </vt:variant>
      <vt:variant>
        <vt:i4>0</vt:i4>
      </vt:variant>
      <vt:variant>
        <vt:i4>5</vt:i4>
      </vt:variant>
      <vt:variant>
        <vt:lpwstr/>
      </vt:variant>
      <vt:variant>
        <vt:lpwstr>Gouvernance_1</vt:lpwstr>
      </vt:variant>
      <vt:variant>
        <vt:i4>2752527</vt:i4>
      </vt:variant>
      <vt:variant>
        <vt:i4>21</vt:i4>
      </vt:variant>
      <vt:variant>
        <vt:i4>0</vt:i4>
      </vt:variant>
      <vt:variant>
        <vt:i4>5</vt:i4>
      </vt:variant>
      <vt:variant>
        <vt:lpwstr/>
      </vt:variant>
      <vt:variant>
        <vt:lpwstr>Gouvernance_intro</vt:lpwstr>
      </vt:variant>
      <vt:variant>
        <vt:i4>5308456</vt:i4>
      </vt:variant>
      <vt:variant>
        <vt:i4>18</vt:i4>
      </vt:variant>
      <vt:variant>
        <vt:i4>0</vt:i4>
      </vt:variant>
      <vt:variant>
        <vt:i4>5</vt:i4>
      </vt:variant>
      <vt:variant>
        <vt:lpwstr>mailto:claude.lessard@umontreal.ca</vt:lpwstr>
      </vt:variant>
      <vt:variant>
        <vt:lpwstr/>
      </vt:variant>
      <vt:variant>
        <vt:i4>5308456</vt:i4>
      </vt:variant>
      <vt:variant>
        <vt:i4>15</vt:i4>
      </vt:variant>
      <vt:variant>
        <vt:i4>0</vt:i4>
      </vt:variant>
      <vt:variant>
        <vt:i4>5</vt:i4>
      </vt:variant>
      <vt:variant>
        <vt:lpwstr>mailto:claude.lessard@umontreal.ca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“gouvernance” de l’éducation au Canada : tendances et significations.”</dc:title>
  <dc:subject/>
  <dc:creator>par Claude Lessard, 2006.</dc:creator>
  <cp:keywords>classiques.sc.soc@gmail.com</cp:keywords>
  <dc:description>http://classiques.uqac.ca/</dc:description>
  <cp:lastModifiedBy>Jean-Marie Tremblay</cp:lastModifiedBy>
  <cp:revision>2</cp:revision>
  <cp:lastPrinted>2001-08-26T19:33:00Z</cp:lastPrinted>
  <dcterms:created xsi:type="dcterms:W3CDTF">2022-05-24T16:48:00Z</dcterms:created>
  <dcterms:modified xsi:type="dcterms:W3CDTF">2022-05-24T16:48:00Z</dcterms:modified>
  <cp:category>jean-marie tremblay, sociologue, fondateur, 1993.</cp:category>
</cp:coreProperties>
</file>