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A693F" w:rsidRPr="00E07116">
        <w:tblPrEx>
          <w:tblCellMar>
            <w:top w:w="0" w:type="dxa"/>
            <w:bottom w:w="0" w:type="dxa"/>
          </w:tblCellMar>
        </w:tblPrEx>
        <w:tc>
          <w:tcPr>
            <w:tcW w:w="9160" w:type="dxa"/>
            <w:shd w:val="clear" w:color="auto" w:fill="E1E0D4"/>
          </w:tcPr>
          <w:p w:rsidR="00AA693F" w:rsidRPr="00E07116" w:rsidRDefault="00AA693F" w:rsidP="00AA693F">
            <w:pPr>
              <w:pStyle w:val="En-tte"/>
              <w:tabs>
                <w:tab w:val="clear" w:pos="4320"/>
                <w:tab w:val="clear" w:pos="8640"/>
              </w:tabs>
              <w:rPr>
                <w:rFonts w:ascii="Times New Roman" w:hAnsi="Times New Roman"/>
                <w:sz w:val="28"/>
                <w:lang w:val="en-CA" w:bidi="ar-SA"/>
              </w:rPr>
            </w:pPr>
          </w:p>
          <w:p w:rsidR="00AA693F" w:rsidRPr="00E07116" w:rsidRDefault="00AA693F">
            <w:pPr>
              <w:ind w:firstLine="0"/>
              <w:jc w:val="center"/>
              <w:rPr>
                <w:b/>
                <w:lang w:bidi="ar-SA"/>
              </w:rPr>
            </w:pPr>
          </w:p>
          <w:p w:rsidR="00AA693F" w:rsidRPr="00E07116" w:rsidRDefault="00AA693F">
            <w:pPr>
              <w:ind w:firstLine="0"/>
              <w:jc w:val="center"/>
              <w:rPr>
                <w:b/>
                <w:lang w:bidi="ar-SA"/>
              </w:rPr>
            </w:pPr>
          </w:p>
          <w:p w:rsidR="00AA693F" w:rsidRDefault="00AA693F" w:rsidP="00AA693F">
            <w:pPr>
              <w:ind w:firstLine="0"/>
              <w:jc w:val="center"/>
              <w:rPr>
                <w:b/>
                <w:sz w:val="20"/>
                <w:lang w:bidi="ar-SA"/>
              </w:rPr>
            </w:pPr>
          </w:p>
          <w:p w:rsidR="00AA693F" w:rsidRDefault="00AA693F" w:rsidP="00AA693F">
            <w:pPr>
              <w:ind w:firstLine="0"/>
              <w:jc w:val="center"/>
              <w:rPr>
                <w:b/>
                <w:sz w:val="20"/>
                <w:lang w:bidi="ar-SA"/>
              </w:rPr>
            </w:pPr>
          </w:p>
          <w:p w:rsidR="00AA693F" w:rsidRDefault="00AA693F" w:rsidP="00AA693F">
            <w:pPr>
              <w:ind w:firstLine="0"/>
              <w:jc w:val="center"/>
              <w:rPr>
                <w:b/>
                <w:sz w:val="36"/>
              </w:rPr>
            </w:pPr>
            <w:r>
              <w:rPr>
                <w:sz w:val="36"/>
              </w:rPr>
              <w:t>Jacques GUILHAUMOU</w:t>
            </w:r>
          </w:p>
          <w:p w:rsidR="00AA693F" w:rsidRDefault="00AA693F" w:rsidP="00AA693F">
            <w:pPr>
              <w:spacing w:before="120"/>
              <w:ind w:firstLine="0"/>
              <w:jc w:val="center"/>
              <w:rPr>
                <w:sz w:val="20"/>
                <w:lang w:bidi="ar-SA"/>
              </w:rPr>
            </w:pPr>
            <w:r>
              <w:rPr>
                <w:sz w:val="20"/>
                <w:lang w:bidi="ar-SA"/>
              </w:rPr>
              <w:t>Historien, ÉCOLE NORMALE SUPÉRIEURE, LYON</w:t>
            </w:r>
          </w:p>
          <w:p w:rsidR="00AA693F" w:rsidRPr="00F3780C" w:rsidRDefault="00AA693F" w:rsidP="00AA693F">
            <w:pPr>
              <w:ind w:firstLine="0"/>
              <w:jc w:val="center"/>
              <w:rPr>
                <w:sz w:val="20"/>
                <w:lang w:bidi="ar-SA"/>
              </w:rPr>
            </w:pPr>
            <w:bookmarkStart w:id="0" w:name="_GoBack"/>
            <w:bookmarkEnd w:id="0"/>
          </w:p>
          <w:p w:rsidR="00AA693F" w:rsidRPr="00AA0F60" w:rsidRDefault="00AA693F" w:rsidP="00AA693F">
            <w:pPr>
              <w:pStyle w:val="Corpsdetexte"/>
              <w:widowControl w:val="0"/>
              <w:spacing w:before="0" w:after="0"/>
              <w:rPr>
                <w:sz w:val="44"/>
                <w:lang w:bidi="ar-SA"/>
              </w:rPr>
            </w:pPr>
            <w:r w:rsidRPr="00AA0F60">
              <w:rPr>
                <w:sz w:val="44"/>
                <w:lang w:bidi="ar-SA"/>
              </w:rPr>
              <w:t>(</w:t>
            </w:r>
            <w:r>
              <w:rPr>
                <w:sz w:val="44"/>
                <w:lang w:bidi="ar-SA"/>
              </w:rPr>
              <w:t>2006</w:t>
            </w:r>
            <w:r w:rsidRPr="00AA0F60">
              <w:rPr>
                <w:sz w:val="44"/>
                <w:lang w:bidi="ar-SA"/>
              </w:rPr>
              <w:t>)</w:t>
            </w:r>
          </w:p>
          <w:p w:rsidR="00AA693F" w:rsidRDefault="00AA693F" w:rsidP="00AA693F">
            <w:pPr>
              <w:pStyle w:val="Corpsdetexte"/>
              <w:widowControl w:val="0"/>
              <w:spacing w:before="0" w:after="0"/>
              <w:rPr>
                <w:color w:val="FF0000"/>
                <w:sz w:val="24"/>
                <w:lang w:bidi="ar-SA"/>
              </w:rPr>
            </w:pPr>
          </w:p>
          <w:p w:rsidR="00AA693F" w:rsidRDefault="00AA693F" w:rsidP="00AA693F">
            <w:pPr>
              <w:pStyle w:val="Corpsdetexte"/>
              <w:widowControl w:val="0"/>
              <w:spacing w:before="0" w:after="0"/>
              <w:rPr>
                <w:color w:val="FF0000"/>
                <w:sz w:val="24"/>
                <w:lang w:bidi="ar-SA"/>
              </w:rPr>
            </w:pPr>
          </w:p>
          <w:p w:rsidR="00AA693F" w:rsidRDefault="00AA693F" w:rsidP="00AA693F">
            <w:pPr>
              <w:pStyle w:val="Corpsdetexte"/>
              <w:widowControl w:val="0"/>
              <w:spacing w:before="0" w:after="0"/>
              <w:rPr>
                <w:color w:val="FF0000"/>
                <w:sz w:val="24"/>
                <w:lang w:bidi="ar-SA"/>
              </w:rPr>
            </w:pPr>
          </w:p>
          <w:p w:rsidR="00AA693F" w:rsidRPr="00F3780C" w:rsidRDefault="00AA693F" w:rsidP="00AA693F">
            <w:pPr>
              <w:pStyle w:val="Titlest"/>
            </w:pPr>
            <w:r>
              <w:t>“La modernité politique</w:t>
            </w:r>
            <w:r>
              <w:br/>
              <w:t>de la Révolution française.”</w:t>
            </w:r>
          </w:p>
          <w:p w:rsidR="00AA693F" w:rsidRDefault="00AA693F" w:rsidP="00AA693F">
            <w:pPr>
              <w:widowControl w:val="0"/>
              <w:ind w:firstLine="0"/>
              <w:jc w:val="center"/>
              <w:rPr>
                <w:lang w:bidi="ar-SA"/>
              </w:rPr>
            </w:pPr>
          </w:p>
          <w:p w:rsidR="00AA693F" w:rsidRDefault="00AA693F" w:rsidP="00AA693F">
            <w:pPr>
              <w:widowControl w:val="0"/>
              <w:ind w:firstLine="0"/>
              <w:jc w:val="center"/>
              <w:rPr>
                <w:lang w:bidi="ar-SA"/>
              </w:rPr>
            </w:pPr>
          </w:p>
          <w:p w:rsidR="00AA693F" w:rsidRDefault="00AA693F" w:rsidP="00AA693F">
            <w:pPr>
              <w:widowControl w:val="0"/>
              <w:ind w:firstLine="0"/>
              <w:jc w:val="center"/>
              <w:rPr>
                <w:lang w:bidi="ar-SA"/>
              </w:rPr>
            </w:pPr>
          </w:p>
          <w:p w:rsidR="00AA693F" w:rsidRDefault="00AA693F" w:rsidP="00AA693F">
            <w:pPr>
              <w:widowControl w:val="0"/>
              <w:ind w:firstLine="0"/>
              <w:jc w:val="center"/>
              <w:rPr>
                <w:lang w:bidi="ar-SA"/>
              </w:rPr>
            </w:pPr>
          </w:p>
          <w:p w:rsidR="00AA693F" w:rsidRDefault="00AA693F" w:rsidP="00AA693F">
            <w:pPr>
              <w:widowControl w:val="0"/>
              <w:ind w:firstLine="0"/>
              <w:jc w:val="center"/>
              <w:rPr>
                <w:sz w:val="20"/>
                <w:lang w:bidi="ar-SA"/>
              </w:rPr>
            </w:pPr>
          </w:p>
          <w:p w:rsidR="00AA693F" w:rsidRPr="00384B20" w:rsidRDefault="00AA693F">
            <w:pPr>
              <w:widowControl w:val="0"/>
              <w:ind w:firstLine="0"/>
              <w:jc w:val="center"/>
              <w:rPr>
                <w:sz w:val="20"/>
                <w:lang w:bidi="ar-SA"/>
              </w:rPr>
            </w:pPr>
          </w:p>
          <w:p w:rsidR="00AA693F" w:rsidRPr="00384B20" w:rsidRDefault="00AA693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A693F" w:rsidRPr="00E07116" w:rsidRDefault="00AA693F">
            <w:pPr>
              <w:widowControl w:val="0"/>
              <w:ind w:firstLine="0"/>
              <w:jc w:val="both"/>
              <w:rPr>
                <w:lang w:bidi="ar-SA"/>
              </w:rPr>
            </w:pPr>
          </w:p>
          <w:p w:rsidR="00AA693F" w:rsidRPr="00E07116" w:rsidRDefault="00AA693F">
            <w:pPr>
              <w:widowControl w:val="0"/>
              <w:ind w:firstLine="0"/>
              <w:jc w:val="both"/>
              <w:rPr>
                <w:lang w:bidi="ar-SA"/>
              </w:rPr>
            </w:pPr>
          </w:p>
          <w:p w:rsidR="00AA693F" w:rsidRDefault="00AA693F">
            <w:pPr>
              <w:widowControl w:val="0"/>
              <w:ind w:firstLine="0"/>
              <w:jc w:val="both"/>
              <w:rPr>
                <w:lang w:bidi="ar-SA"/>
              </w:rPr>
            </w:pPr>
          </w:p>
          <w:p w:rsidR="00AA693F" w:rsidRDefault="00AA693F">
            <w:pPr>
              <w:widowControl w:val="0"/>
              <w:ind w:firstLine="0"/>
              <w:jc w:val="both"/>
              <w:rPr>
                <w:lang w:bidi="ar-SA"/>
              </w:rPr>
            </w:pPr>
          </w:p>
          <w:p w:rsidR="00AA693F" w:rsidRDefault="00AA693F">
            <w:pPr>
              <w:widowControl w:val="0"/>
              <w:ind w:firstLine="0"/>
              <w:jc w:val="both"/>
              <w:rPr>
                <w:lang w:bidi="ar-SA"/>
              </w:rPr>
            </w:pPr>
          </w:p>
          <w:p w:rsidR="00AA693F" w:rsidRDefault="00AA693F">
            <w:pPr>
              <w:widowControl w:val="0"/>
              <w:ind w:firstLine="0"/>
              <w:jc w:val="both"/>
              <w:rPr>
                <w:lang w:bidi="ar-SA"/>
              </w:rPr>
            </w:pPr>
          </w:p>
          <w:p w:rsidR="00AA693F" w:rsidRPr="00E07116" w:rsidRDefault="00AA693F">
            <w:pPr>
              <w:widowControl w:val="0"/>
              <w:ind w:firstLine="0"/>
              <w:jc w:val="both"/>
              <w:rPr>
                <w:lang w:bidi="ar-SA"/>
              </w:rPr>
            </w:pPr>
          </w:p>
          <w:p w:rsidR="00AA693F" w:rsidRDefault="00AA693F">
            <w:pPr>
              <w:widowControl w:val="0"/>
              <w:ind w:firstLine="0"/>
              <w:jc w:val="both"/>
              <w:rPr>
                <w:lang w:bidi="ar-SA"/>
              </w:rPr>
            </w:pPr>
          </w:p>
          <w:p w:rsidR="00AA693F" w:rsidRPr="00E07116" w:rsidRDefault="00AA693F">
            <w:pPr>
              <w:widowControl w:val="0"/>
              <w:ind w:firstLine="0"/>
              <w:jc w:val="both"/>
              <w:rPr>
                <w:lang w:bidi="ar-SA"/>
              </w:rPr>
            </w:pPr>
          </w:p>
          <w:p w:rsidR="00AA693F" w:rsidRPr="00E07116" w:rsidRDefault="00AA693F">
            <w:pPr>
              <w:ind w:firstLine="0"/>
              <w:jc w:val="both"/>
              <w:rPr>
                <w:lang w:bidi="ar-SA"/>
              </w:rPr>
            </w:pPr>
          </w:p>
        </w:tc>
      </w:tr>
    </w:tbl>
    <w:p w:rsidR="00AA693F" w:rsidRDefault="00AA693F" w:rsidP="00AA693F">
      <w:pPr>
        <w:ind w:firstLine="0"/>
        <w:jc w:val="both"/>
      </w:pPr>
      <w:r w:rsidRPr="00E07116">
        <w:br w:type="page"/>
      </w:r>
    </w:p>
    <w:p w:rsidR="00AA693F" w:rsidRDefault="00AA693F" w:rsidP="00AA693F">
      <w:pPr>
        <w:ind w:firstLine="0"/>
        <w:jc w:val="both"/>
      </w:pPr>
    </w:p>
    <w:p w:rsidR="00AA693F" w:rsidRDefault="00AA693F" w:rsidP="00AA693F">
      <w:pPr>
        <w:ind w:firstLine="0"/>
        <w:jc w:val="both"/>
      </w:pPr>
    </w:p>
    <w:p w:rsidR="00AA693F" w:rsidRDefault="00AA693F" w:rsidP="00AA693F">
      <w:pPr>
        <w:ind w:firstLine="0"/>
        <w:jc w:val="both"/>
      </w:pPr>
    </w:p>
    <w:p w:rsidR="00AA693F" w:rsidRDefault="002A5CCA" w:rsidP="00AA693F">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AA693F" w:rsidRDefault="00AA693F" w:rsidP="00AA693F">
      <w:pPr>
        <w:ind w:firstLine="0"/>
        <w:jc w:val="right"/>
      </w:pPr>
      <w:hyperlink r:id="rId9" w:history="1">
        <w:r w:rsidRPr="00302466">
          <w:rPr>
            <w:rStyle w:val="Lienhypertexte"/>
          </w:rPr>
          <w:t>http://classiques.uqac.ca/</w:t>
        </w:r>
      </w:hyperlink>
      <w:r>
        <w:t xml:space="preserve"> </w:t>
      </w:r>
    </w:p>
    <w:p w:rsidR="00AA693F" w:rsidRDefault="00AA693F" w:rsidP="00AA693F">
      <w:pPr>
        <w:ind w:firstLine="0"/>
        <w:jc w:val="both"/>
      </w:pPr>
    </w:p>
    <w:p w:rsidR="00AA693F" w:rsidRDefault="00AA693F" w:rsidP="00AA693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A693F" w:rsidRDefault="00AA693F" w:rsidP="00AA693F">
      <w:pPr>
        <w:ind w:firstLine="0"/>
        <w:jc w:val="both"/>
      </w:pPr>
    </w:p>
    <w:p w:rsidR="00AA693F" w:rsidRDefault="00AA693F" w:rsidP="00AA693F">
      <w:pPr>
        <w:ind w:firstLine="0"/>
        <w:jc w:val="both"/>
      </w:pPr>
    </w:p>
    <w:p w:rsidR="00AA693F" w:rsidRDefault="002A5CCA" w:rsidP="00AA693F">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AA693F" w:rsidRDefault="00AA693F" w:rsidP="00AA693F">
      <w:pPr>
        <w:ind w:firstLine="0"/>
        <w:jc w:val="both"/>
      </w:pPr>
      <w:hyperlink r:id="rId11" w:history="1">
        <w:r w:rsidRPr="00302466">
          <w:rPr>
            <w:rStyle w:val="Lienhypertexte"/>
          </w:rPr>
          <w:t>http://bibliotheque.uqac.ca/</w:t>
        </w:r>
      </w:hyperlink>
      <w:r>
        <w:t xml:space="preserve"> </w:t>
      </w:r>
    </w:p>
    <w:p w:rsidR="00AA693F" w:rsidRDefault="00AA693F" w:rsidP="00AA693F">
      <w:pPr>
        <w:ind w:firstLine="0"/>
        <w:jc w:val="both"/>
      </w:pPr>
    </w:p>
    <w:p w:rsidR="00AA693F" w:rsidRDefault="00AA693F" w:rsidP="00AA693F">
      <w:pPr>
        <w:ind w:firstLine="0"/>
        <w:jc w:val="both"/>
      </w:pPr>
    </w:p>
    <w:p w:rsidR="00AA693F" w:rsidRDefault="00AA693F" w:rsidP="00AA693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A693F" w:rsidRPr="00E07116" w:rsidRDefault="00AA693F" w:rsidP="00AA693F">
      <w:pPr>
        <w:widowControl w:val="0"/>
        <w:autoSpaceDE w:val="0"/>
        <w:autoSpaceDN w:val="0"/>
        <w:adjustRightInd w:val="0"/>
        <w:rPr>
          <w:szCs w:val="32"/>
        </w:rPr>
      </w:pPr>
      <w:r w:rsidRPr="00E07116">
        <w:br w:type="page"/>
      </w:r>
    </w:p>
    <w:p w:rsidR="00AA693F" w:rsidRPr="005B6592" w:rsidRDefault="00AA693F">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AA693F" w:rsidRPr="00E07116" w:rsidRDefault="00AA693F">
      <w:pPr>
        <w:widowControl w:val="0"/>
        <w:autoSpaceDE w:val="0"/>
        <w:autoSpaceDN w:val="0"/>
        <w:adjustRightInd w:val="0"/>
        <w:rPr>
          <w:szCs w:val="32"/>
        </w:rPr>
      </w:pPr>
    </w:p>
    <w:p w:rsidR="00AA693F" w:rsidRPr="00E07116" w:rsidRDefault="00AA693F">
      <w:pPr>
        <w:widowControl w:val="0"/>
        <w:autoSpaceDE w:val="0"/>
        <w:autoSpaceDN w:val="0"/>
        <w:adjustRightInd w:val="0"/>
        <w:jc w:val="both"/>
        <w:rPr>
          <w:color w:val="1C1C1C"/>
          <w:szCs w:val="26"/>
        </w:rPr>
      </w:pPr>
    </w:p>
    <w:p w:rsidR="00AA693F" w:rsidRPr="00E07116" w:rsidRDefault="00AA693F">
      <w:pPr>
        <w:widowControl w:val="0"/>
        <w:autoSpaceDE w:val="0"/>
        <w:autoSpaceDN w:val="0"/>
        <w:adjustRightInd w:val="0"/>
        <w:jc w:val="both"/>
        <w:rPr>
          <w:color w:val="1C1C1C"/>
          <w:szCs w:val="26"/>
        </w:rPr>
      </w:pPr>
    </w:p>
    <w:p w:rsidR="00AA693F" w:rsidRPr="00E07116" w:rsidRDefault="00AA693F">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AA693F" w:rsidRPr="00E07116" w:rsidRDefault="00AA693F">
      <w:pPr>
        <w:widowControl w:val="0"/>
        <w:autoSpaceDE w:val="0"/>
        <w:autoSpaceDN w:val="0"/>
        <w:adjustRightInd w:val="0"/>
        <w:jc w:val="both"/>
        <w:rPr>
          <w:color w:val="1C1C1C"/>
          <w:szCs w:val="26"/>
        </w:rPr>
      </w:pPr>
    </w:p>
    <w:p w:rsidR="00AA693F" w:rsidRPr="00E07116" w:rsidRDefault="00AA693F" w:rsidP="00AA693F">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AA693F" w:rsidRPr="00E07116" w:rsidRDefault="00AA693F" w:rsidP="00AA693F">
      <w:pPr>
        <w:widowControl w:val="0"/>
        <w:autoSpaceDE w:val="0"/>
        <w:autoSpaceDN w:val="0"/>
        <w:adjustRightInd w:val="0"/>
        <w:jc w:val="both"/>
        <w:rPr>
          <w:color w:val="1C1C1C"/>
          <w:szCs w:val="26"/>
        </w:rPr>
      </w:pPr>
    </w:p>
    <w:p w:rsidR="00AA693F" w:rsidRPr="00E07116" w:rsidRDefault="00AA693F" w:rsidP="00AA693F">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AA693F" w:rsidRPr="00E07116" w:rsidRDefault="00AA693F" w:rsidP="00AA693F">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AA693F" w:rsidRPr="00E07116" w:rsidRDefault="00AA693F" w:rsidP="00AA693F">
      <w:pPr>
        <w:widowControl w:val="0"/>
        <w:autoSpaceDE w:val="0"/>
        <w:autoSpaceDN w:val="0"/>
        <w:adjustRightInd w:val="0"/>
        <w:jc w:val="both"/>
        <w:rPr>
          <w:color w:val="1C1C1C"/>
          <w:szCs w:val="26"/>
        </w:rPr>
      </w:pPr>
    </w:p>
    <w:p w:rsidR="00AA693F" w:rsidRPr="00E07116" w:rsidRDefault="00AA693F">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AA693F" w:rsidRPr="00E07116" w:rsidRDefault="00AA693F">
      <w:pPr>
        <w:widowControl w:val="0"/>
        <w:autoSpaceDE w:val="0"/>
        <w:autoSpaceDN w:val="0"/>
        <w:adjustRightInd w:val="0"/>
        <w:jc w:val="both"/>
        <w:rPr>
          <w:color w:val="1C1C1C"/>
          <w:szCs w:val="26"/>
        </w:rPr>
      </w:pPr>
    </w:p>
    <w:p w:rsidR="00AA693F" w:rsidRPr="00E07116" w:rsidRDefault="00AA693F">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AA693F" w:rsidRPr="00E07116" w:rsidRDefault="00AA693F">
      <w:pPr>
        <w:rPr>
          <w:b/>
          <w:color w:val="1C1C1C"/>
          <w:szCs w:val="26"/>
        </w:rPr>
      </w:pPr>
    </w:p>
    <w:p w:rsidR="00AA693F" w:rsidRPr="00E07116" w:rsidRDefault="00AA693F">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AA693F" w:rsidRPr="00E07116" w:rsidRDefault="00AA693F">
      <w:pPr>
        <w:rPr>
          <w:b/>
          <w:color w:val="1C1C1C"/>
          <w:szCs w:val="26"/>
        </w:rPr>
      </w:pPr>
    </w:p>
    <w:p w:rsidR="00AA693F" w:rsidRPr="00E07116" w:rsidRDefault="00AA693F">
      <w:pPr>
        <w:rPr>
          <w:color w:val="1C1C1C"/>
          <w:szCs w:val="26"/>
        </w:rPr>
      </w:pPr>
      <w:r w:rsidRPr="00E07116">
        <w:rPr>
          <w:color w:val="1C1C1C"/>
          <w:szCs w:val="26"/>
        </w:rPr>
        <w:t>Jean-Marie Tremblay, sociologue</w:t>
      </w:r>
    </w:p>
    <w:p w:rsidR="00AA693F" w:rsidRPr="00E07116" w:rsidRDefault="00AA693F">
      <w:pPr>
        <w:rPr>
          <w:color w:val="1C1C1C"/>
          <w:szCs w:val="26"/>
        </w:rPr>
      </w:pPr>
      <w:r w:rsidRPr="00E07116">
        <w:rPr>
          <w:color w:val="1C1C1C"/>
          <w:szCs w:val="26"/>
        </w:rPr>
        <w:t>Fondateur et Président-directeur général,</w:t>
      </w:r>
    </w:p>
    <w:p w:rsidR="00AA693F" w:rsidRPr="00E07116" w:rsidRDefault="00AA693F">
      <w:pPr>
        <w:rPr>
          <w:color w:val="000080"/>
        </w:rPr>
      </w:pPr>
      <w:r w:rsidRPr="00E07116">
        <w:rPr>
          <w:color w:val="000080"/>
          <w:szCs w:val="26"/>
        </w:rPr>
        <w:t>LES CLASSIQUES DES SCIENCES SOCIALES.</w:t>
      </w:r>
    </w:p>
    <w:p w:rsidR="00AA693F" w:rsidRPr="00CF4C8E" w:rsidRDefault="00AA693F" w:rsidP="00AA693F">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AA693F" w:rsidRPr="00CF4C8E" w:rsidRDefault="00AA693F" w:rsidP="00AA693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AA693F" w:rsidRPr="00CF4C8E" w:rsidRDefault="00AA693F" w:rsidP="00AA693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AA693F" w:rsidRPr="00CF4C8E" w:rsidRDefault="00AA693F" w:rsidP="00AA693F">
      <w:pPr>
        <w:ind w:left="20" w:hanging="20"/>
        <w:jc w:val="both"/>
        <w:rPr>
          <w:sz w:val="24"/>
        </w:rPr>
      </w:pPr>
      <w:r w:rsidRPr="00CF4C8E">
        <w:rPr>
          <w:sz w:val="24"/>
        </w:rPr>
        <w:t>à partir du texte de :</w:t>
      </w:r>
    </w:p>
    <w:p w:rsidR="00AA693F" w:rsidRPr="00384B20" w:rsidRDefault="00AA693F" w:rsidP="00AA693F">
      <w:pPr>
        <w:ind w:firstLine="0"/>
        <w:jc w:val="both"/>
        <w:rPr>
          <w:sz w:val="24"/>
        </w:rPr>
      </w:pPr>
    </w:p>
    <w:p w:rsidR="00AA693F" w:rsidRPr="00E07116" w:rsidRDefault="00AA693F" w:rsidP="00AA693F">
      <w:pPr>
        <w:ind w:left="20" w:hanging="20"/>
        <w:jc w:val="both"/>
      </w:pPr>
      <w:r>
        <w:t>Jacques Guilhaumou</w:t>
      </w:r>
    </w:p>
    <w:p w:rsidR="00AA693F" w:rsidRPr="00E07116" w:rsidRDefault="00AA693F" w:rsidP="00AA693F">
      <w:pPr>
        <w:ind w:left="20" w:hanging="20"/>
        <w:jc w:val="both"/>
      </w:pPr>
    </w:p>
    <w:p w:rsidR="00AA693F" w:rsidRPr="00E07116" w:rsidRDefault="00AA693F" w:rsidP="00AA693F">
      <w:pPr>
        <w:ind w:hanging="20"/>
        <w:jc w:val="both"/>
      </w:pPr>
      <w:r>
        <w:rPr>
          <w:b/>
          <w:color w:val="000080"/>
        </w:rPr>
        <w:t>“La modernité politique de la Révolution française.”</w:t>
      </w:r>
    </w:p>
    <w:p w:rsidR="00AA693F" w:rsidRPr="00E07116" w:rsidRDefault="00AA693F" w:rsidP="00AA693F">
      <w:pPr>
        <w:ind w:hanging="20"/>
        <w:jc w:val="both"/>
      </w:pPr>
    </w:p>
    <w:p w:rsidR="00AA693F" w:rsidRPr="006D240E" w:rsidRDefault="00AA693F" w:rsidP="00AA693F">
      <w:pPr>
        <w:ind w:hanging="20"/>
        <w:jc w:val="both"/>
      </w:pPr>
      <w:r w:rsidRPr="006D240E">
        <w:t xml:space="preserve">Un article publié dans la revue </w:t>
      </w:r>
      <w:r w:rsidRPr="006D240E">
        <w:rPr>
          <w:b/>
          <w:i/>
        </w:rPr>
        <w:t>Mélanges de la Casa de Valázquez</w:t>
      </w:r>
      <w:r w:rsidRPr="006D240E">
        <w:t xml:space="preserve">, vol. 36, no 1, 2006, pp. 17-34. </w:t>
      </w:r>
      <w:r w:rsidRPr="006D240E">
        <w:rPr>
          <w:lang w:eastAsia="fr-FR"/>
        </w:rPr>
        <w:t>Numéro intitulé : “Transitions polit</w:t>
      </w:r>
      <w:r w:rsidRPr="006D240E">
        <w:rPr>
          <w:lang w:eastAsia="fr-FR"/>
        </w:rPr>
        <w:t>i</w:t>
      </w:r>
      <w:r w:rsidRPr="006D240E">
        <w:rPr>
          <w:lang w:eastAsia="fr-FR"/>
        </w:rPr>
        <w:t>ques et culturelles en Europe méridionale (XIX</w:t>
      </w:r>
      <w:r w:rsidRPr="006D240E">
        <w:rPr>
          <w:vertAlign w:val="superscript"/>
          <w:lang w:eastAsia="fr-FR"/>
        </w:rPr>
        <w:t>e</w:t>
      </w:r>
      <w:r w:rsidRPr="006D240E">
        <w:rPr>
          <w:lang w:eastAsia="fr-FR"/>
        </w:rPr>
        <w:t>-XX</w:t>
      </w:r>
      <w:r w:rsidRPr="006D240E">
        <w:rPr>
          <w:vertAlign w:val="superscript"/>
          <w:lang w:eastAsia="fr-FR"/>
        </w:rPr>
        <w:t>e</w:t>
      </w:r>
      <w:r w:rsidRPr="006D240E">
        <w:rPr>
          <w:lang w:eastAsia="fr-FR"/>
        </w:rPr>
        <w:t xml:space="preserve"> siècle</w:t>
      </w:r>
      <w:r>
        <w:rPr>
          <w:lang w:eastAsia="fr-FR"/>
        </w:rPr>
        <w:t>s</w:t>
      </w:r>
      <w:r w:rsidRPr="006D240E">
        <w:rPr>
          <w:lang w:eastAsia="fr-FR"/>
        </w:rPr>
        <w:t>).” Op</w:t>
      </w:r>
      <w:r w:rsidRPr="006D240E">
        <w:rPr>
          <w:lang w:eastAsia="fr-FR"/>
        </w:rPr>
        <w:t>e</w:t>
      </w:r>
      <w:r w:rsidRPr="006D240E">
        <w:rPr>
          <w:lang w:eastAsia="fr-FR"/>
        </w:rPr>
        <w:t>nEdition Journals.</w:t>
      </w:r>
    </w:p>
    <w:p w:rsidR="00AA693F" w:rsidRPr="00384B20" w:rsidRDefault="00AA693F" w:rsidP="00AA693F">
      <w:pPr>
        <w:jc w:val="both"/>
        <w:rPr>
          <w:sz w:val="24"/>
        </w:rPr>
      </w:pPr>
    </w:p>
    <w:p w:rsidR="00AA693F" w:rsidRDefault="00AA693F" w:rsidP="00AA693F">
      <w:pPr>
        <w:ind w:firstLine="0"/>
        <w:jc w:val="both"/>
      </w:pPr>
      <w:hyperlink r:id="rId14" w:history="1">
        <w:r w:rsidRPr="00A65480">
          <w:rPr>
            <w:color w:val="0000FF"/>
            <w:u w:val="single"/>
          </w:rPr>
          <w:t>https://doi.org/10.4000/mcv.2262</w:t>
        </w:r>
      </w:hyperlink>
    </w:p>
    <w:p w:rsidR="00AA693F" w:rsidRDefault="00AA693F" w:rsidP="00AA693F">
      <w:pPr>
        <w:jc w:val="both"/>
        <w:rPr>
          <w:sz w:val="24"/>
        </w:rPr>
      </w:pPr>
    </w:p>
    <w:p w:rsidR="00AA693F" w:rsidRDefault="002A5CCA" w:rsidP="00AA693F">
      <w:pPr>
        <w:ind w:firstLine="0"/>
        <w:jc w:val="both"/>
        <w:rPr>
          <w:sz w:val="24"/>
        </w:rPr>
      </w:pPr>
      <w:r w:rsidRPr="00EB2577">
        <w:rPr>
          <w:noProof/>
          <w:sz w:val="24"/>
        </w:rPr>
        <w:drawing>
          <wp:inline distT="0" distB="0" distL="0" distR="0">
            <wp:extent cx="1117600" cy="393700"/>
            <wp:effectExtent l="0" t="0" r="0" b="0"/>
            <wp:docPr id="3" name="Image 3" descr="CC-BY-NC-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C-BY-NC-N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AA693F" w:rsidRDefault="00AA693F" w:rsidP="00AA693F">
      <w:pPr>
        <w:jc w:val="both"/>
        <w:rPr>
          <w:sz w:val="24"/>
        </w:rPr>
      </w:pPr>
    </w:p>
    <w:p w:rsidR="00AA693F" w:rsidRPr="00384B20" w:rsidRDefault="00AA693F" w:rsidP="00AA693F">
      <w:pPr>
        <w:jc w:val="both"/>
        <w:rPr>
          <w:sz w:val="24"/>
        </w:rPr>
      </w:pPr>
    </w:p>
    <w:p w:rsidR="00AA693F" w:rsidRPr="00384B20" w:rsidRDefault="002A5CCA" w:rsidP="00AA693F">
      <w:pPr>
        <w:tabs>
          <w:tab w:val="left" w:pos="3150"/>
        </w:tabs>
        <w:ind w:firstLine="0"/>
        <w:rPr>
          <w:sz w:val="24"/>
        </w:rPr>
      </w:pPr>
      <w:r w:rsidRPr="00384B20">
        <w:rPr>
          <w:noProof/>
          <w:sz w:val="24"/>
        </w:rPr>
        <w:drawing>
          <wp:inline distT="0" distB="0" distL="0" distR="0">
            <wp:extent cx="254000" cy="254000"/>
            <wp:effectExtent l="0" t="0" r="0" b="0"/>
            <wp:docPr id="4" name="Image 4"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oite_aux_lettres_clai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A693F">
        <w:rPr>
          <w:sz w:val="24"/>
        </w:rPr>
        <w:t xml:space="preserve"> Courriel</w:t>
      </w:r>
      <w:r w:rsidR="00AA693F" w:rsidRPr="00384B20">
        <w:rPr>
          <w:sz w:val="24"/>
        </w:rPr>
        <w:t xml:space="preserve"> : </w:t>
      </w:r>
      <w:r w:rsidR="00AA693F" w:rsidRPr="00EB2577">
        <w:rPr>
          <w:sz w:val="24"/>
        </w:rPr>
        <w:t>Jacques Guilhaumou</w:t>
      </w:r>
      <w:r w:rsidR="00AA693F">
        <w:rPr>
          <w:sz w:val="24"/>
        </w:rPr>
        <w:t> :</w:t>
      </w:r>
      <w:r w:rsidR="00AA693F" w:rsidRPr="00EB2577">
        <w:rPr>
          <w:sz w:val="24"/>
        </w:rPr>
        <w:t xml:space="preserve"> </w:t>
      </w:r>
      <w:hyperlink r:id="rId17" w:history="1">
        <w:r w:rsidR="00AA693F" w:rsidRPr="009408F3">
          <w:rPr>
            <w:rStyle w:val="Lienhypertexte"/>
            <w:sz w:val="24"/>
          </w:rPr>
          <w:t>j.guilhaumou@free.fr</w:t>
        </w:r>
      </w:hyperlink>
      <w:r w:rsidR="00AA693F">
        <w:rPr>
          <w:sz w:val="24"/>
        </w:rPr>
        <w:t xml:space="preserve"> </w:t>
      </w:r>
    </w:p>
    <w:p w:rsidR="00AA693F" w:rsidRDefault="00AA693F" w:rsidP="00AA693F">
      <w:pPr>
        <w:ind w:left="20"/>
        <w:jc w:val="both"/>
        <w:rPr>
          <w:sz w:val="24"/>
        </w:rPr>
      </w:pPr>
    </w:p>
    <w:p w:rsidR="00AA693F" w:rsidRPr="00384B20" w:rsidRDefault="00AA693F" w:rsidP="00AA693F">
      <w:pPr>
        <w:ind w:left="20"/>
        <w:jc w:val="both"/>
        <w:rPr>
          <w:sz w:val="24"/>
        </w:rPr>
      </w:pPr>
    </w:p>
    <w:p w:rsidR="00AA693F" w:rsidRPr="00384B20" w:rsidRDefault="00AA693F">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AA693F" w:rsidRPr="00384B20" w:rsidRDefault="00AA693F">
      <w:pPr>
        <w:ind w:right="1800" w:firstLine="0"/>
        <w:jc w:val="both"/>
        <w:rPr>
          <w:sz w:val="24"/>
        </w:rPr>
      </w:pPr>
    </w:p>
    <w:p w:rsidR="00AA693F" w:rsidRPr="00384B20" w:rsidRDefault="00AA693F" w:rsidP="00AA693F">
      <w:pPr>
        <w:ind w:left="360" w:right="360" w:firstLine="0"/>
        <w:jc w:val="both"/>
        <w:rPr>
          <w:sz w:val="24"/>
        </w:rPr>
      </w:pPr>
      <w:r w:rsidRPr="00384B20">
        <w:rPr>
          <w:sz w:val="24"/>
        </w:rPr>
        <w:t>Pour le texte: Times New Roman, 14 points.</w:t>
      </w:r>
    </w:p>
    <w:p w:rsidR="00AA693F" w:rsidRPr="00384B20" w:rsidRDefault="00AA693F" w:rsidP="00AA693F">
      <w:pPr>
        <w:ind w:left="360" w:right="360" w:firstLine="0"/>
        <w:jc w:val="both"/>
        <w:rPr>
          <w:sz w:val="24"/>
        </w:rPr>
      </w:pPr>
      <w:r w:rsidRPr="00384B20">
        <w:rPr>
          <w:sz w:val="24"/>
        </w:rPr>
        <w:t>Pour les notes de bas de page : Times New Roman, 12 points.</w:t>
      </w:r>
    </w:p>
    <w:p w:rsidR="00AA693F" w:rsidRPr="00384B20" w:rsidRDefault="00AA693F">
      <w:pPr>
        <w:ind w:left="360" w:right="1800" w:firstLine="0"/>
        <w:jc w:val="both"/>
        <w:rPr>
          <w:sz w:val="24"/>
        </w:rPr>
      </w:pPr>
    </w:p>
    <w:p w:rsidR="00AA693F" w:rsidRPr="00384B20" w:rsidRDefault="00AA693F">
      <w:pPr>
        <w:ind w:right="360" w:firstLine="0"/>
        <w:jc w:val="both"/>
        <w:rPr>
          <w:sz w:val="24"/>
        </w:rPr>
      </w:pPr>
      <w:r w:rsidRPr="00384B20">
        <w:rPr>
          <w:sz w:val="24"/>
        </w:rPr>
        <w:t>Édition électronique réalisée avec le traitement de textes Microsoft Word 2008 pour Macintosh.</w:t>
      </w:r>
    </w:p>
    <w:p w:rsidR="00AA693F" w:rsidRPr="00384B20" w:rsidRDefault="00AA693F">
      <w:pPr>
        <w:ind w:right="1800" w:firstLine="0"/>
        <w:jc w:val="both"/>
        <w:rPr>
          <w:sz w:val="24"/>
        </w:rPr>
      </w:pPr>
    </w:p>
    <w:p w:rsidR="00AA693F" w:rsidRPr="00384B20" w:rsidRDefault="00AA693F" w:rsidP="00AA693F">
      <w:pPr>
        <w:ind w:right="540" w:firstLine="0"/>
        <w:jc w:val="both"/>
        <w:rPr>
          <w:sz w:val="24"/>
        </w:rPr>
      </w:pPr>
      <w:r w:rsidRPr="00384B20">
        <w:rPr>
          <w:sz w:val="24"/>
        </w:rPr>
        <w:t>Mise en page sur papier format : LETTRE US, 8.5’’ x 11’’.</w:t>
      </w:r>
    </w:p>
    <w:p w:rsidR="00AA693F" w:rsidRPr="00384B20" w:rsidRDefault="00AA693F">
      <w:pPr>
        <w:ind w:right="1800" w:firstLine="0"/>
        <w:jc w:val="both"/>
        <w:rPr>
          <w:sz w:val="24"/>
        </w:rPr>
      </w:pPr>
    </w:p>
    <w:p w:rsidR="00AA693F" w:rsidRPr="00384B20" w:rsidRDefault="00AA693F" w:rsidP="00AA693F">
      <w:pPr>
        <w:ind w:firstLine="0"/>
        <w:jc w:val="both"/>
        <w:rPr>
          <w:sz w:val="24"/>
        </w:rPr>
      </w:pPr>
      <w:r w:rsidRPr="00384B20">
        <w:rPr>
          <w:sz w:val="24"/>
        </w:rPr>
        <w:t xml:space="preserve">Édition numérique réalisée le </w:t>
      </w:r>
      <w:r>
        <w:rPr>
          <w:sz w:val="24"/>
        </w:rPr>
        <w:t>11 juillet 2021 à Chicoutimi</w:t>
      </w:r>
      <w:r w:rsidRPr="00384B20">
        <w:rPr>
          <w:sz w:val="24"/>
        </w:rPr>
        <w:t>, Qu</w:t>
      </w:r>
      <w:r w:rsidRPr="00384B20">
        <w:rPr>
          <w:sz w:val="24"/>
        </w:rPr>
        <w:t>é</w:t>
      </w:r>
      <w:r w:rsidRPr="00384B20">
        <w:rPr>
          <w:sz w:val="24"/>
        </w:rPr>
        <w:t>bec.</w:t>
      </w:r>
    </w:p>
    <w:p w:rsidR="00AA693F" w:rsidRPr="00384B20" w:rsidRDefault="00AA693F">
      <w:pPr>
        <w:ind w:right="1800" w:firstLine="0"/>
        <w:jc w:val="both"/>
        <w:rPr>
          <w:sz w:val="24"/>
        </w:rPr>
      </w:pPr>
    </w:p>
    <w:p w:rsidR="00AA693F" w:rsidRPr="00E07116" w:rsidRDefault="002A5CCA">
      <w:pPr>
        <w:ind w:right="1800" w:firstLine="0"/>
        <w:jc w:val="both"/>
      </w:pPr>
      <w:r w:rsidRPr="00E07116">
        <w:rPr>
          <w:noProof/>
        </w:rPr>
        <w:drawing>
          <wp:inline distT="0" distB="0" distL="0" distR="0">
            <wp:extent cx="1117600" cy="393700"/>
            <wp:effectExtent l="0" t="0" r="0" b="0"/>
            <wp:docPr id="5" name="Image 5"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AA693F" w:rsidRDefault="00AA693F" w:rsidP="00AA693F">
      <w:pPr>
        <w:ind w:left="20"/>
        <w:jc w:val="both"/>
      </w:pPr>
      <w:r w:rsidRPr="00E07116">
        <w:br w:type="page"/>
      </w:r>
    </w:p>
    <w:p w:rsidR="00AA693F" w:rsidRPr="00E07116" w:rsidRDefault="00AA693F" w:rsidP="00AA693F">
      <w:pPr>
        <w:ind w:left="20"/>
        <w:jc w:val="both"/>
      </w:pPr>
    </w:p>
    <w:p w:rsidR="00AA693F" w:rsidRDefault="00AA693F" w:rsidP="00AA693F">
      <w:pPr>
        <w:ind w:firstLine="0"/>
        <w:jc w:val="center"/>
        <w:rPr>
          <w:b/>
          <w:sz w:val="36"/>
        </w:rPr>
      </w:pPr>
      <w:r>
        <w:rPr>
          <w:sz w:val="36"/>
        </w:rPr>
        <w:t>Jacques GUILHAUMOU</w:t>
      </w:r>
    </w:p>
    <w:p w:rsidR="00AA693F" w:rsidRDefault="00AA693F" w:rsidP="00AA693F">
      <w:pPr>
        <w:ind w:firstLine="0"/>
        <w:jc w:val="center"/>
        <w:rPr>
          <w:sz w:val="20"/>
          <w:lang w:bidi="ar-SA"/>
        </w:rPr>
      </w:pPr>
      <w:r>
        <w:rPr>
          <w:sz w:val="20"/>
          <w:lang w:bidi="ar-SA"/>
        </w:rPr>
        <w:t>Historien, ÉCOLE NORMALE SUPÉRIEURE, LYON</w:t>
      </w:r>
    </w:p>
    <w:p w:rsidR="00AA693F" w:rsidRPr="00E07116" w:rsidRDefault="00AA693F" w:rsidP="00AA693F">
      <w:pPr>
        <w:ind w:firstLine="0"/>
        <w:jc w:val="center"/>
      </w:pPr>
    </w:p>
    <w:p w:rsidR="00AA693F" w:rsidRPr="00F3780C" w:rsidRDefault="00AA693F" w:rsidP="00AA693F">
      <w:pPr>
        <w:ind w:firstLine="0"/>
        <w:jc w:val="center"/>
        <w:rPr>
          <w:color w:val="000080"/>
          <w:sz w:val="36"/>
        </w:rPr>
      </w:pPr>
      <w:r>
        <w:rPr>
          <w:color w:val="000080"/>
          <w:sz w:val="36"/>
        </w:rPr>
        <w:t>“La modernité politique</w:t>
      </w:r>
      <w:r>
        <w:rPr>
          <w:color w:val="000080"/>
          <w:sz w:val="36"/>
        </w:rPr>
        <w:br/>
        <w:t>de la Révolution française.”</w:t>
      </w:r>
    </w:p>
    <w:p w:rsidR="00AA693F" w:rsidRPr="00E07116" w:rsidRDefault="00AA693F" w:rsidP="00AA693F">
      <w:pPr>
        <w:ind w:firstLine="0"/>
        <w:jc w:val="center"/>
      </w:pPr>
    </w:p>
    <w:p w:rsidR="00AA693F" w:rsidRPr="00E07116" w:rsidRDefault="002A5CCA" w:rsidP="00AA693F">
      <w:pPr>
        <w:ind w:firstLine="0"/>
        <w:jc w:val="center"/>
      </w:pPr>
      <w:r>
        <w:rPr>
          <w:noProof/>
        </w:rPr>
        <w:drawing>
          <wp:inline distT="0" distB="0" distL="0" distR="0">
            <wp:extent cx="1803400" cy="2540000"/>
            <wp:effectExtent l="0" t="0" r="0" b="0"/>
            <wp:docPr id="6" name="Image 6" descr="mcv36_1_2006-small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mcv36_1_2006-small20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3400" cy="2540000"/>
                    </a:xfrm>
                    <a:prstGeom prst="rect">
                      <a:avLst/>
                    </a:prstGeom>
                    <a:noFill/>
                    <a:ln>
                      <a:noFill/>
                    </a:ln>
                  </pic:spPr>
                </pic:pic>
              </a:graphicData>
            </a:graphic>
          </wp:inline>
        </w:drawing>
      </w:r>
    </w:p>
    <w:p w:rsidR="00AA693F" w:rsidRPr="00E07116" w:rsidRDefault="00AA693F" w:rsidP="00AA693F">
      <w:pPr>
        <w:jc w:val="both"/>
      </w:pPr>
    </w:p>
    <w:p w:rsidR="00AA693F" w:rsidRPr="00384B20" w:rsidRDefault="00AA693F" w:rsidP="00AA693F">
      <w:pPr>
        <w:jc w:val="both"/>
        <w:rPr>
          <w:sz w:val="24"/>
        </w:rPr>
      </w:pPr>
      <w:r w:rsidRPr="006D240E">
        <w:t xml:space="preserve">Un article publié dans la revue </w:t>
      </w:r>
      <w:r w:rsidRPr="006D240E">
        <w:rPr>
          <w:b/>
          <w:i/>
        </w:rPr>
        <w:t>Mélanges de la Casa de Valázquez</w:t>
      </w:r>
      <w:r w:rsidRPr="006D240E">
        <w:t xml:space="preserve">, vol. 36, no 1, 2006, pp. 17-34. </w:t>
      </w:r>
      <w:r w:rsidRPr="006D240E">
        <w:rPr>
          <w:lang w:eastAsia="fr-FR"/>
        </w:rPr>
        <w:t>Numéro intitulé : “Transitions polit</w:t>
      </w:r>
      <w:r w:rsidRPr="006D240E">
        <w:rPr>
          <w:lang w:eastAsia="fr-FR"/>
        </w:rPr>
        <w:t>i</w:t>
      </w:r>
      <w:r w:rsidRPr="006D240E">
        <w:rPr>
          <w:lang w:eastAsia="fr-FR"/>
        </w:rPr>
        <w:t>ques et culturelles en Europe méridionale (XIX</w:t>
      </w:r>
      <w:r w:rsidRPr="006D240E">
        <w:rPr>
          <w:vertAlign w:val="superscript"/>
          <w:lang w:eastAsia="fr-FR"/>
        </w:rPr>
        <w:t>e</w:t>
      </w:r>
      <w:r w:rsidRPr="006D240E">
        <w:rPr>
          <w:lang w:eastAsia="fr-FR"/>
        </w:rPr>
        <w:t>-XX</w:t>
      </w:r>
      <w:r w:rsidRPr="006D240E">
        <w:rPr>
          <w:vertAlign w:val="superscript"/>
          <w:lang w:eastAsia="fr-FR"/>
        </w:rPr>
        <w:t>e</w:t>
      </w:r>
      <w:r w:rsidRPr="006D240E">
        <w:rPr>
          <w:lang w:eastAsia="fr-FR"/>
        </w:rPr>
        <w:t xml:space="preserve"> siècle</w:t>
      </w:r>
      <w:r>
        <w:rPr>
          <w:lang w:eastAsia="fr-FR"/>
        </w:rPr>
        <w:t>s</w:t>
      </w:r>
      <w:r w:rsidRPr="006D240E">
        <w:rPr>
          <w:lang w:eastAsia="fr-FR"/>
        </w:rPr>
        <w:t>).” Op</w:t>
      </w:r>
      <w:r w:rsidRPr="006D240E">
        <w:rPr>
          <w:lang w:eastAsia="fr-FR"/>
        </w:rPr>
        <w:t>e</w:t>
      </w:r>
      <w:r w:rsidRPr="006D240E">
        <w:rPr>
          <w:lang w:eastAsia="fr-FR"/>
        </w:rPr>
        <w:t>nEdition Journals.</w:t>
      </w:r>
    </w:p>
    <w:p w:rsidR="00AA693F" w:rsidRPr="00E07116" w:rsidRDefault="00AA693F" w:rsidP="00AA693F">
      <w:pPr>
        <w:jc w:val="both"/>
      </w:pPr>
      <w:r w:rsidRPr="00E07116">
        <w:br w:type="page"/>
      </w:r>
    </w:p>
    <w:p w:rsidR="00AA693F" w:rsidRPr="00E07116" w:rsidRDefault="00AA693F">
      <w:pPr>
        <w:jc w:val="both"/>
      </w:pPr>
    </w:p>
    <w:p w:rsidR="00AA693F" w:rsidRPr="00E07116" w:rsidRDefault="00AA693F">
      <w:pPr>
        <w:jc w:val="both"/>
      </w:pPr>
    </w:p>
    <w:p w:rsidR="00AA693F" w:rsidRPr="00384B20" w:rsidRDefault="00AA693F" w:rsidP="00AA693F">
      <w:pPr>
        <w:pStyle w:val="planchest"/>
      </w:pPr>
      <w:bookmarkStart w:id="1" w:name="tdm"/>
      <w:r w:rsidRPr="00384B20">
        <w:t>Table des matières</w:t>
      </w:r>
      <w:bookmarkEnd w:id="1"/>
    </w:p>
    <w:p w:rsidR="00AA693F" w:rsidRPr="00E07116" w:rsidRDefault="00AA693F">
      <w:pPr>
        <w:ind w:firstLine="0"/>
      </w:pPr>
    </w:p>
    <w:p w:rsidR="00AA693F" w:rsidRDefault="00AA693F" w:rsidP="00AA693F">
      <w:pPr>
        <w:ind w:left="540" w:hanging="540"/>
      </w:pPr>
    </w:p>
    <w:p w:rsidR="00AA693F" w:rsidRDefault="00AA693F" w:rsidP="00AA693F">
      <w:pPr>
        <w:ind w:left="540" w:hanging="540"/>
      </w:pPr>
      <w:hyperlink w:anchor="Modernite_pol_resumes" w:history="1">
        <w:r w:rsidRPr="00D17F4B">
          <w:rPr>
            <w:rStyle w:val="Lienhypertexte"/>
          </w:rPr>
          <w:t>Résumés</w:t>
        </w:r>
      </w:hyperlink>
    </w:p>
    <w:p w:rsidR="00AA693F" w:rsidRDefault="00AA693F" w:rsidP="00AA693F">
      <w:pPr>
        <w:ind w:left="1080" w:hanging="540"/>
      </w:pPr>
      <w:r>
        <w:t>Français / Espagnon / Anglais</w:t>
      </w:r>
    </w:p>
    <w:p w:rsidR="00AA693F" w:rsidRDefault="00AA693F" w:rsidP="00AA693F">
      <w:pPr>
        <w:ind w:left="540" w:hanging="540"/>
      </w:pPr>
    </w:p>
    <w:p w:rsidR="00AA693F" w:rsidRDefault="00AA693F" w:rsidP="00AA693F">
      <w:pPr>
        <w:ind w:left="540" w:hanging="540"/>
      </w:pPr>
      <w:hyperlink w:anchor="Modernite_pol_intro" w:history="1">
        <w:r w:rsidRPr="005D12B9">
          <w:rPr>
            <w:rStyle w:val="Lienhypertexte"/>
          </w:rPr>
          <w:t>Introduction</w:t>
        </w:r>
      </w:hyperlink>
    </w:p>
    <w:p w:rsidR="00AA693F" w:rsidRDefault="00AA693F" w:rsidP="00AA693F">
      <w:pPr>
        <w:ind w:left="540" w:hanging="540"/>
      </w:pPr>
    </w:p>
    <w:p w:rsidR="00AA693F" w:rsidRDefault="00AA693F" w:rsidP="00AA693F">
      <w:pPr>
        <w:spacing w:after="120"/>
        <w:ind w:left="547" w:hanging="547"/>
      </w:pPr>
      <w:hyperlink w:anchor="Modernite_pol_1" w:history="1">
        <w:r w:rsidRPr="005D12B9">
          <w:rPr>
            <w:rStyle w:val="Lienhypertexte"/>
          </w:rPr>
          <w:t>La première modernité</w:t>
        </w:r>
      </w:hyperlink>
      <w:r>
        <w:t xml:space="preserve"> : de l’humanisme civique à la civilité révol</w:t>
      </w:r>
      <w:r>
        <w:t>u</w:t>
      </w:r>
      <w:r>
        <w:t>tionnaire (XVI</w:t>
      </w:r>
      <w:r w:rsidRPr="006D240E">
        <w:rPr>
          <w:vertAlign w:val="superscript"/>
        </w:rPr>
        <w:t>e</w:t>
      </w:r>
      <w:r>
        <w:t>-XVIII</w:t>
      </w:r>
      <w:r w:rsidRPr="006D240E">
        <w:rPr>
          <w:vertAlign w:val="superscript"/>
        </w:rPr>
        <w:t>e</w:t>
      </w:r>
      <w:r>
        <w:t xml:space="preserve"> siècles)</w:t>
      </w:r>
    </w:p>
    <w:p w:rsidR="00AA693F" w:rsidRDefault="00AA693F" w:rsidP="00AA693F">
      <w:pPr>
        <w:spacing w:after="120"/>
        <w:ind w:left="547" w:hanging="547"/>
      </w:pPr>
      <w:hyperlink w:anchor="Modernite_pol_2" w:history="1">
        <w:r w:rsidRPr="005D12B9">
          <w:rPr>
            <w:rStyle w:val="Lienhypertexte"/>
          </w:rPr>
          <w:t>La seconde modernité</w:t>
        </w:r>
      </w:hyperlink>
      <w:r>
        <w:t xml:space="preserve"> : l’avènement de l’individu moderne</w:t>
      </w:r>
    </w:p>
    <w:p w:rsidR="00AA693F" w:rsidRDefault="00AA693F" w:rsidP="00AA693F">
      <w:pPr>
        <w:spacing w:after="120"/>
        <w:ind w:left="547" w:hanging="547"/>
      </w:pPr>
      <w:hyperlink w:anchor="Modernite_pol_3" w:history="1">
        <w:r w:rsidRPr="005D12B9">
          <w:rPr>
            <w:rStyle w:val="Lienhypertexte"/>
          </w:rPr>
          <w:t>Kant et la modernité esthétique de la Révolution française</w:t>
        </w:r>
      </w:hyperlink>
    </w:p>
    <w:p w:rsidR="00AA693F" w:rsidRDefault="00AA693F" w:rsidP="00AA693F">
      <w:pPr>
        <w:spacing w:after="120"/>
        <w:ind w:left="547" w:hanging="547"/>
      </w:pPr>
    </w:p>
    <w:p w:rsidR="00AA693F" w:rsidRDefault="00AA693F" w:rsidP="00AA693F">
      <w:pPr>
        <w:spacing w:after="120"/>
        <w:ind w:left="547" w:hanging="547"/>
      </w:pPr>
      <w:hyperlink w:anchor="Modernite_pol_conclusion" w:history="1">
        <w:r w:rsidRPr="005D12B9">
          <w:rPr>
            <w:rStyle w:val="Lienhypertexte"/>
          </w:rPr>
          <w:t>En guise de conclusion</w:t>
        </w:r>
      </w:hyperlink>
      <w:r>
        <w:t xml:space="preserve"> : la postérité antimoderne de la Révolution française</w:t>
      </w:r>
    </w:p>
    <w:p w:rsidR="00AA693F" w:rsidRPr="00E07116" w:rsidRDefault="00AA693F">
      <w:pPr>
        <w:ind w:firstLine="0"/>
      </w:pPr>
    </w:p>
    <w:p w:rsidR="00AA693F" w:rsidRPr="00E07116" w:rsidRDefault="00AA693F" w:rsidP="00AA693F">
      <w:pPr>
        <w:ind w:left="540" w:hanging="540"/>
      </w:pPr>
    </w:p>
    <w:p w:rsidR="00AA693F" w:rsidRDefault="00AA693F" w:rsidP="00AA693F">
      <w:pPr>
        <w:pStyle w:val="p"/>
      </w:pPr>
      <w:r w:rsidRPr="00E07116">
        <w:br w:type="page"/>
      </w:r>
    </w:p>
    <w:p w:rsidR="00AA693F" w:rsidRPr="00E07116" w:rsidRDefault="00AA693F" w:rsidP="00AA693F">
      <w:pPr>
        <w:pStyle w:val="p"/>
      </w:pPr>
    </w:p>
    <w:p w:rsidR="00AA693F" w:rsidRDefault="00AA693F" w:rsidP="00AA693F">
      <w:pPr>
        <w:ind w:firstLine="0"/>
        <w:jc w:val="center"/>
        <w:rPr>
          <w:b/>
          <w:sz w:val="36"/>
        </w:rPr>
      </w:pPr>
      <w:r>
        <w:rPr>
          <w:sz w:val="36"/>
        </w:rPr>
        <w:t>Jacques GUILHAUMOU</w:t>
      </w:r>
    </w:p>
    <w:p w:rsidR="00AA693F" w:rsidRDefault="00AA693F" w:rsidP="00AA693F">
      <w:pPr>
        <w:ind w:firstLine="0"/>
        <w:jc w:val="center"/>
        <w:rPr>
          <w:sz w:val="20"/>
          <w:lang w:bidi="ar-SA"/>
        </w:rPr>
      </w:pPr>
      <w:r>
        <w:rPr>
          <w:sz w:val="20"/>
          <w:lang w:bidi="ar-SA"/>
        </w:rPr>
        <w:t>Historien, ÉCOLE NORMALE SUPÉRIEURE, LYON</w:t>
      </w:r>
    </w:p>
    <w:p w:rsidR="00AA693F" w:rsidRPr="00E07116" w:rsidRDefault="00AA693F" w:rsidP="00AA693F">
      <w:pPr>
        <w:ind w:firstLine="0"/>
        <w:jc w:val="center"/>
      </w:pPr>
    </w:p>
    <w:p w:rsidR="00AA693F" w:rsidRPr="00F3780C" w:rsidRDefault="00AA693F" w:rsidP="00AA693F">
      <w:pPr>
        <w:ind w:firstLine="0"/>
        <w:jc w:val="center"/>
        <w:rPr>
          <w:color w:val="000080"/>
          <w:sz w:val="36"/>
        </w:rPr>
      </w:pPr>
      <w:r>
        <w:rPr>
          <w:color w:val="000080"/>
          <w:sz w:val="36"/>
        </w:rPr>
        <w:t>“La modernité politique</w:t>
      </w:r>
      <w:r>
        <w:rPr>
          <w:color w:val="000080"/>
          <w:sz w:val="36"/>
        </w:rPr>
        <w:br/>
        <w:t>de la Révolution française.”</w:t>
      </w:r>
    </w:p>
    <w:p w:rsidR="00AA693F" w:rsidRPr="00E07116" w:rsidRDefault="00AA693F" w:rsidP="00AA693F">
      <w:pPr>
        <w:jc w:val="both"/>
      </w:pPr>
    </w:p>
    <w:p w:rsidR="00AA693F" w:rsidRPr="00384B20" w:rsidRDefault="00AA693F" w:rsidP="00AA693F">
      <w:pPr>
        <w:jc w:val="both"/>
        <w:rPr>
          <w:sz w:val="24"/>
        </w:rPr>
      </w:pPr>
      <w:r w:rsidRPr="006D240E">
        <w:t xml:space="preserve">Un article publié dans la revue </w:t>
      </w:r>
      <w:r w:rsidRPr="006D240E">
        <w:rPr>
          <w:b/>
          <w:i/>
        </w:rPr>
        <w:t>Mélanges de la Casa de Valázquez</w:t>
      </w:r>
      <w:r w:rsidRPr="006D240E">
        <w:t xml:space="preserve">, vol. 36, no 1, 2006, pp. 17-34. </w:t>
      </w:r>
      <w:r w:rsidRPr="006D240E">
        <w:rPr>
          <w:lang w:eastAsia="fr-FR"/>
        </w:rPr>
        <w:t>Numéro intitulé : “Transitions polit</w:t>
      </w:r>
      <w:r w:rsidRPr="006D240E">
        <w:rPr>
          <w:lang w:eastAsia="fr-FR"/>
        </w:rPr>
        <w:t>i</w:t>
      </w:r>
      <w:r w:rsidRPr="006D240E">
        <w:rPr>
          <w:lang w:eastAsia="fr-FR"/>
        </w:rPr>
        <w:t>ques et culturelles en Europe méridionale (XIX</w:t>
      </w:r>
      <w:r w:rsidRPr="006D240E">
        <w:rPr>
          <w:vertAlign w:val="superscript"/>
          <w:lang w:eastAsia="fr-FR"/>
        </w:rPr>
        <w:t>e</w:t>
      </w:r>
      <w:r w:rsidRPr="006D240E">
        <w:rPr>
          <w:lang w:eastAsia="fr-FR"/>
        </w:rPr>
        <w:t>-XX</w:t>
      </w:r>
      <w:r w:rsidRPr="006D240E">
        <w:rPr>
          <w:vertAlign w:val="superscript"/>
          <w:lang w:eastAsia="fr-FR"/>
        </w:rPr>
        <w:t>e</w:t>
      </w:r>
      <w:r w:rsidRPr="006D240E">
        <w:rPr>
          <w:lang w:eastAsia="fr-FR"/>
        </w:rPr>
        <w:t xml:space="preserve"> siècle</w:t>
      </w:r>
      <w:r>
        <w:rPr>
          <w:lang w:eastAsia="fr-FR"/>
        </w:rPr>
        <w:t>s</w:t>
      </w:r>
      <w:r w:rsidRPr="006D240E">
        <w:rPr>
          <w:lang w:eastAsia="fr-FR"/>
        </w:rPr>
        <w:t>).” Op</w:t>
      </w:r>
      <w:r w:rsidRPr="006D240E">
        <w:rPr>
          <w:lang w:eastAsia="fr-FR"/>
        </w:rPr>
        <w:t>e</w:t>
      </w:r>
      <w:r w:rsidRPr="006D240E">
        <w:rPr>
          <w:lang w:eastAsia="fr-FR"/>
        </w:rPr>
        <w:t>n</w:t>
      </w:r>
      <w:r>
        <w:rPr>
          <w:lang w:eastAsia="fr-FR"/>
        </w:rPr>
        <w:t xml:space="preserve"> </w:t>
      </w:r>
      <w:r w:rsidRPr="006D240E">
        <w:rPr>
          <w:lang w:eastAsia="fr-FR"/>
        </w:rPr>
        <w:t>Edition Journals.</w:t>
      </w:r>
    </w:p>
    <w:p w:rsidR="00AA693F" w:rsidRDefault="00AA693F">
      <w:pPr>
        <w:jc w:val="both"/>
      </w:pPr>
    </w:p>
    <w:p w:rsidR="00AA693F" w:rsidRDefault="00AA693F">
      <w:pPr>
        <w:jc w:val="both"/>
      </w:pPr>
    </w:p>
    <w:p w:rsidR="00AA693F" w:rsidRDefault="00AA693F" w:rsidP="00AA693F">
      <w:pPr>
        <w:pStyle w:val="planche"/>
      </w:pPr>
      <w:bookmarkStart w:id="2" w:name="Modernite_pol_resumes"/>
      <w:r>
        <w:t>Résumés</w:t>
      </w:r>
    </w:p>
    <w:bookmarkEnd w:id="2"/>
    <w:p w:rsidR="00AA693F" w:rsidRDefault="00AA693F">
      <w:pPr>
        <w:jc w:val="both"/>
      </w:pPr>
    </w:p>
    <w:p w:rsidR="00AA693F" w:rsidRPr="00384B20" w:rsidRDefault="00AA693F" w:rsidP="00AA693F">
      <w:pPr>
        <w:ind w:right="90" w:firstLine="0"/>
        <w:jc w:val="both"/>
        <w:rPr>
          <w:sz w:val="20"/>
        </w:rPr>
      </w:pPr>
      <w:hyperlink w:anchor="tdm" w:history="1">
        <w:r w:rsidRPr="00384B20">
          <w:rPr>
            <w:rStyle w:val="Lienhypertexte"/>
            <w:sz w:val="20"/>
          </w:rPr>
          <w:t>Retour à la table des matières</w:t>
        </w:r>
      </w:hyperlink>
    </w:p>
    <w:p w:rsidR="00AA693F" w:rsidRDefault="00AA693F">
      <w:pPr>
        <w:jc w:val="both"/>
      </w:pPr>
    </w:p>
    <w:p w:rsidR="00AA693F" w:rsidRPr="00A65480" w:rsidRDefault="00AA693F" w:rsidP="00AA693F">
      <w:pPr>
        <w:pStyle w:val="a"/>
        <w:rPr>
          <w:lang w:eastAsia="fr-FR"/>
        </w:rPr>
      </w:pPr>
      <w:r w:rsidRPr="00A65480">
        <w:rPr>
          <w:lang w:eastAsia="fr-FR"/>
        </w:rPr>
        <w:t>Français</w:t>
      </w:r>
    </w:p>
    <w:p w:rsidR="00AA693F" w:rsidRPr="00A65480" w:rsidRDefault="00AA693F" w:rsidP="00AA693F">
      <w:pPr>
        <w:spacing w:before="120" w:after="120"/>
        <w:jc w:val="both"/>
        <w:rPr>
          <w:lang w:eastAsia="fr-FR"/>
        </w:rPr>
      </w:pPr>
      <w:r w:rsidRPr="00A65480">
        <w:rPr>
          <w:lang w:eastAsia="fr-FR"/>
        </w:rPr>
        <w:t>Notre objectif est d’aborder la manière dont la dialectique de la cont</w:t>
      </w:r>
      <w:r w:rsidRPr="00A65480">
        <w:rPr>
          <w:lang w:eastAsia="fr-FR"/>
        </w:rPr>
        <w:t>i</w:t>
      </w:r>
      <w:r w:rsidRPr="00A65480">
        <w:rPr>
          <w:lang w:eastAsia="fr-FR"/>
        </w:rPr>
        <w:t>nuité et de la rupture peut s’avérer heuristique, en particulier dans le cas d’un événement aussi radical que la Révolution française. À ce titre, nous proposons une investigation, en histoire des concepts, se situant à l’horizon des temps modernes, de l’humanisme civique de la Renaissance à la Révolution française. Il s’agit alors de prendre en compte toute une série de figures nouvelles déployées dans le temps de l’avènement de l’individu moderne : le citoyen dans la Cité face au Prince bien sûr, mais aussi le législateur-prophète face à l’individu vertueux, l’ingénieur face au philosophe pratique, l’orateur face au législateur-philosophe, etc. La Révolution française occupe dans ce mouvement figural une place centrale par l’invention ultime de la m</w:t>
      </w:r>
      <w:r w:rsidRPr="00A65480">
        <w:rPr>
          <w:lang w:eastAsia="fr-FR"/>
        </w:rPr>
        <w:t>é</w:t>
      </w:r>
      <w:r w:rsidRPr="00A65480">
        <w:rPr>
          <w:lang w:eastAsia="fr-FR"/>
        </w:rPr>
        <w:t>taphysique politique de l’individu-nation. Invention relayée par la tr</w:t>
      </w:r>
      <w:r w:rsidRPr="00A65480">
        <w:rPr>
          <w:lang w:eastAsia="fr-FR"/>
        </w:rPr>
        <w:t>a</w:t>
      </w:r>
      <w:r w:rsidRPr="00A65480">
        <w:rPr>
          <w:lang w:eastAsia="fr-FR"/>
        </w:rPr>
        <w:t>duction que donnent les philosophes allemands contemporains de l’événement révolutionnaire, essentiellement Humboldt, Kant et Fic</w:t>
      </w:r>
      <w:r w:rsidRPr="00A65480">
        <w:rPr>
          <w:lang w:eastAsia="fr-FR"/>
        </w:rPr>
        <w:t>h</w:t>
      </w:r>
      <w:r w:rsidRPr="00A65480">
        <w:rPr>
          <w:lang w:eastAsia="fr-FR"/>
        </w:rPr>
        <w:t>te. En fin de compte, il s’agit de déployer la prospective de la Révol</w:t>
      </w:r>
      <w:r w:rsidRPr="00A65480">
        <w:rPr>
          <w:lang w:eastAsia="fr-FR"/>
        </w:rPr>
        <w:t>u</w:t>
      </w:r>
      <w:r w:rsidRPr="00A65480">
        <w:rPr>
          <w:lang w:eastAsia="fr-FR"/>
        </w:rPr>
        <w:t>tion française dans une métaphysique du sujet, et sa part de reconnai</w:t>
      </w:r>
      <w:r w:rsidRPr="00A65480">
        <w:rPr>
          <w:lang w:eastAsia="fr-FR"/>
        </w:rPr>
        <w:t>s</w:t>
      </w:r>
      <w:r w:rsidRPr="00A65480">
        <w:rPr>
          <w:lang w:eastAsia="fr-FR"/>
        </w:rPr>
        <w:t>sance de la dignité du moi.</w:t>
      </w:r>
    </w:p>
    <w:p w:rsidR="00AA693F" w:rsidRPr="00A65480" w:rsidRDefault="00AA693F" w:rsidP="00AA693F">
      <w:pPr>
        <w:spacing w:before="120" w:after="120"/>
        <w:jc w:val="both"/>
        <w:rPr>
          <w:lang w:eastAsia="fr-FR"/>
        </w:rPr>
      </w:pPr>
      <w:r w:rsidRPr="00D17F4B">
        <w:rPr>
          <w:b/>
          <w:i/>
          <w:lang w:eastAsia="fr-FR"/>
        </w:rPr>
        <w:lastRenderedPageBreak/>
        <w:t>Mots clés </w:t>
      </w:r>
      <w:r w:rsidRPr="00A65480">
        <w:rPr>
          <w:lang w:eastAsia="fr-FR"/>
        </w:rPr>
        <w:t>: Discours, Individu, Kant, Modernité/Anti-modernité, Révolution fra</w:t>
      </w:r>
      <w:r w:rsidRPr="00A65480">
        <w:rPr>
          <w:lang w:eastAsia="fr-FR"/>
        </w:rPr>
        <w:t>n</w:t>
      </w:r>
      <w:r w:rsidRPr="00A65480">
        <w:rPr>
          <w:lang w:eastAsia="fr-FR"/>
        </w:rPr>
        <w:t>çaise, Sieyès</w:t>
      </w:r>
    </w:p>
    <w:p w:rsidR="00AA693F" w:rsidRPr="00A65480" w:rsidRDefault="00AA693F" w:rsidP="00AA693F">
      <w:pPr>
        <w:spacing w:before="120" w:after="120"/>
        <w:jc w:val="both"/>
        <w:rPr>
          <w:lang w:eastAsia="fr-FR"/>
        </w:rPr>
      </w:pPr>
    </w:p>
    <w:p w:rsidR="00AA693F" w:rsidRPr="00A65480" w:rsidRDefault="00AA693F" w:rsidP="00AA693F">
      <w:pPr>
        <w:pStyle w:val="a"/>
        <w:rPr>
          <w:lang w:eastAsia="fr-FR"/>
        </w:rPr>
      </w:pPr>
      <w:r w:rsidRPr="00A65480">
        <w:rPr>
          <w:lang w:eastAsia="fr-FR"/>
        </w:rPr>
        <w:t>Español</w:t>
      </w:r>
    </w:p>
    <w:p w:rsidR="00AA693F" w:rsidRPr="00A65480" w:rsidRDefault="00AA693F" w:rsidP="00AA693F">
      <w:pPr>
        <w:spacing w:before="120" w:after="120"/>
        <w:jc w:val="both"/>
        <w:rPr>
          <w:lang w:eastAsia="fr-FR"/>
        </w:rPr>
      </w:pPr>
      <w:r w:rsidRPr="00A65480">
        <w:t>Nuestro objetivo es abordar la forma en que la dialéctica de la cont</w:t>
      </w:r>
      <w:r w:rsidRPr="00A65480">
        <w:t>i</w:t>
      </w:r>
      <w:r w:rsidRPr="00A65480">
        <w:t>nuidad y de la ruptura puede revelarse heurística, particularmente en el caso de un acontecimiento tan radical como la Revolución fra</w:t>
      </w:r>
      <w:r w:rsidRPr="00A65480">
        <w:t>n</w:t>
      </w:r>
      <w:r w:rsidRPr="00A65480">
        <w:t>cesa. Con tal fin proponemos una investigación en el ámbito de la hi</w:t>
      </w:r>
      <w:r w:rsidRPr="00A65480">
        <w:t>s</w:t>
      </w:r>
      <w:r w:rsidRPr="00A65480">
        <w:t>toria de los conceptos, centrada en el horizonte de los tiempos mode</w:t>
      </w:r>
      <w:r w:rsidRPr="00A65480">
        <w:t>r</w:t>
      </w:r>
      <w:r w:rsidRPr="00A65480">
        <w:t>nos, desde el humanismo cívico del Renacimiento a la Revolución francesa. Resulta pues preciso tomar en consideración toda una serie de nuevas figuras que se despliegan con el nacimiento del individuo moderno: el ciudadano en la Ciudad frente al Príncipe, por supuesto, pero también el legislador-profeta frente al individuo virtuoso, el i</w:t>
      </w:r>
      <w:r w:rsidRPr="00A65480">
        <w:t>n</w:t>
      </w:r>
      <w:r w:rsidRPr="00A65480">
        <w:t>geniero frente al filósofo pra</w:t>
      </w:r>
      <w:r w:rsidRPr="00A65480">
        <w:t>g</w:t>
      </w:r>
      <w:r w:rsidRPr="00A65480">
        <w:t>mático, el orador frente al legislador-filósofo, etc. En este elenco de nu</w:t>
      </w:r>
      <w:r w:rsidRPr="00A65480">
        <w:t>e</w:t>
      </w:r>
      <w:r w:rsidRPr="00A65480">
        <w:t>vas figuras, la Revolución francesa ocupa un lugar capital con la invención última de la metafísica polít</w:t>
      </w:r>
      <w:r w:rsidRPr="00A65480">
        <w:t>i</w:t>
      </w:r>
      <w:r w:rsidRPr="00A65480">
        <w:t>ca del individuo-nación, invención continuada por la interpretación que hacen de ella los filósofos alemanes contemporáneos del episodio revolucionario, esencialmente Humboldt, Kant y Fichte. Se trata, f</w:t>
      </w:r>
      <w:r w:rsidRPr="00A65480">
        <w:t>i</w:t>
      </w:r>
      <w:r w:rsidRPr="00A65480">
        <w:t>nalmente, de mostrar la prospectiva de la Rev</w:t>
      </w:r>
      <w:r w:rsidRPr="00A65480">
        <w:t>o</w:t>
      </w:r>
      <w:r w:rsidRPr="00A65480">
        <w:t>lución francesa en una metafísica del sujeto, y su parte de reconocimiento de la dignidad del yo.</w:t>
      </w:r>
    </w:p>
    <w:p w:rsidR="00AA693F" w:rsidRPr="00A65480" w:rsidRDefault="00AA693F" w:rsidP="00AA693F">
      <w:pPr>
        <w:spacing w:before="120" w:after="120"/>
        <w:jc w:val="both"/>
        <w:rPr>
          <w:lang w:eastAsia="fr-FR"/>
        </w:rPr>
      </w:pPr>
      <w:r w:rsidRPr="00D17F4B">
        <w:rPr>
          <w:b/>
          <w:i/>
          <w:lang w:eastAsia="fr-FR"/>
        </w:rPr>
        <w:t>Palabras clave</w:t>
      </w:r>
      <w:r w:rsidRPr="00A65480">
        <w:rPr>
          <w:lang w:eastAsia="fr-FR"/>
        </w:rPr>
        <w:t>: Discurso, Individuo, Kant, Modern</w:t>
      </w:r>
      <w:r w:rsidRPr="00A65480">
        <w:rPr>
          <w:lang w:eastAsia="fr-FR"/>
        </w:rPr>
        <w:t>i</w:t>
      </w:r>
      <w:r w:rsidRPr="00A65480">
        <w:rPr>
          <w:lang w:eastAsia="fr-FR"/>
        </w:rPr>
        <w:t>dad/Antimodernidad, Revol</w:t>
      </w:r>
      <w:r w:rsidRPr="00A65480">
        <w:rPr>
          <w:lang w:eastAsia="fr-FR"/>
        </w:rPr>
        <w:t>u</w:t>
      </w:r>
      <w:r w:rsidRPr="00A65480">
        <w:rPr>
          <w:lang w:eastAsia="fr-FR"/>
        </w:rPr>
        <w:t>ción francesa, Sieyès</w:t>
      </w:r>
    </w:p>
    <w:p w:rsidR="00AA693F" w:rsidRPr="00A65480" w:rsidRDefault="00AA693F" w:rsidP="00AA693F">
      <w:pPr>
        <w:spacing w:before="120" w:after="120"/>
        <w:jc w:val="both"/>
        <w:rPr>
          <w:lang w:eastAsia="fr-FR"/>
        </w:rPr>
      </w:pPr>
    </w:p>
    <w:p w:rsidR="00AA693F" w:rsidRPr="00A65480" w:rsidRDefault="00AA693F" w:rsidP="00AA693F">
      <w:pPr>
        <w:pStyle w:val="a"/>
        <w:rPr>
          <w:lang w:eastAsia="fr-FR"/>
        </w:rPr>
      </w:pPr>
      <w:r w:rsidRPr="00A65480">
        <w:rPr>
          <w:lang w:eastAsia="fr-FR"/>
        </w:rPr>
        <w:t>English</w:t>
      </w:r>
    </w:p>
    <w:p w:rsidR="00AA693F" w:rsidRPr="00A65480" w:rsidRDefault="00AA693F" w:rsidP="00AA693F">
      <w:pPr>
        <w:spacing w:before="120" w:after="120"/>
        <w:jc w:val="both"/>
        <w:rPr>
          <w:lang w:eastAsia="fr-FR"/>
        </w:rPr>
      </w:pPr>
      <w:r w:rsidRPr="00A65480">
        <w:t>This article addresses the way in which the dialectic of continuity and rupture may prove to be heuristic, particularly in the case of so radical an event as the French Revolution. To that end we propose an investigation into the history of concepts at the beginning of modern times, of civic humanism from the Renaissance to the French Revol</w:t>
      </w:r>
      <w:r w:rsidRPr="00A65480">
        <w:t>u</w:t>
      </w:r>
      <w:r w:rsidRPr="00A65480">
        <w:t>tion. The idea is to take into consideration a whole series of new fig</w:t>
      </w:r>
      <w:r w:rsidRPr="00A65480">
        <w:t>u</w:t>
      </w:r>
      <w:r w:rsidRPr="00A65480">
        <w:t>res which developed at the time of the emergence of the modern ind</w:t>
      </w:r>
      <w:r w:rsidRPr="00A65480">
        <w:t>i</w:t>
      </w:r>
      <w:r w:rsidRPr="00A65480">
        <w:t>vidual: the citizen in the C</w:t>
      </w:r>
      <w:r w:rsidRPr="00A65480">
        <w:t>i</w:t>
      </w:r>
      <w:r w:rsidRPr="00A65480">
        <w:t>ty versus the Prince, of course, but also the legislator/prophet versus the virtuous individual, the engineer ver</w:t>
      </w:r>
      <w:r w:rsidRPr="00A65480">
        <w:lastRenderedPageBreak/>
        <w:t>sus the practical philosopher, the or</w:t>
      </w:r>
      <w:r w:rsidRPr="00A65480">
        <w:t>a</w:t>
      </w:r>
      <w:r w:rsidRPr="00A65480">
        <w:t>tor versus the legislator/philosopher, etc. In this succession of figures the French Revolution occupies a central place thanks to the ultimate invention of the political metaph</w:t>
      </w:r>
      <w:r w:rsidRPr="00A65480">
        <w:t>y</w:t>
      </w:r>
      <w:r w:rsidRPr="00A65480">
        <w:t>sics of the individual/nation. This invention then passed through the interpretation of the German philosophers of the time of the Revol</w:t>
      </w:r>
      <w:r w:rsidRPr="00A65480">
        <w:t>u</w:t>
      </w:r>
      <w:r w:rsidRPr="00A65480">
        <w:t>tion, essentially Humboldt, Kant and Fichte. In short, what we seek to achieve is to place the forward vision of the French R</w:t>
      </w:r>
      <w:r w:rsidRPr="00A65480">
        <w:t>e</w:t>
      </w:r>
      <w:r w:rsidRPr="00A65480">
        <w:t>volution within a metaphysics of the subject, along with that part of it that recognised the dignity of the self.</w:t>
      </w:r>
    </w:p>
    <w:p w:rsidR="00AA693F" w:rsidRPr="00A65480" w:rsidRDefault="00AA693F" w:rsidP="00AA693F">
      <w:pPr>
        <w:spacing w:before="120" w:after="120"/>
        <w:jc w:val="both"/>
        <w:rPr>
          <w:lang w:eastAsia="fr-FR"/>
        </w:rPr>
      </w:pPr>
      <w:r w:rsidRPr="00A65480">
        <w:rPr>
          <w:lang w:eastAsia="fr-FR"/>
        </w:rPr>
        <w:t>Key</w:t>
      </w:r>
      <w:r w:rsidRPr="00D17F4B">
        <w:rPr>
          <w:b/>
          <w:i/>
          <w:lang w:eastAsia="fr-FR"/>
        </w:rPr>
        <w:t>w</w:t>
      </w:r>
      <w:r w:rsidRPr="00A65480">
        <w:rPr>
          <w:lang w:eastAsia="fr-FR"/>
        </w:rPr>
        <w:t>ords: Discourse, French Revolution, Individual, Kant, M</w:t>
      </w:r>
      <w:r w:rsidRPr="00A65480">
        <w:rPr>
          <w:lang w:eastAsia="fr-FR"/>
        </w:rPr>
        <w:t>o</w:t>
      </w:r>
      <w:r w:rsidRPr="00A65480">
        <w:rPr>
          <w:lang w:eastAsia="fr-FR"/>
        </w:rPr>
        <w:t>dernity/Anti-modernity, Sieyès</w:t>
      </w:r>
    </w:p>
    <w:p w:rsidR="00AA693F" w:rsidRPr="00A65480" w:rsidRDefault="00AA693F" w:rsidP="00AA693F">
      <w:pPr>
        <w:spacing w:before="120" w:after="120"/>
        <w:jc w:val="both"/>
        <w:rPr>
          <w:lang w:eastAsia="fr-FR"/>
        </w:rPr>
      </w:pPr>
    </w:p>
    <w:p w:rsidR="00AA693F" w:rsidRPr="00A65480" w:rsidRDefault="00AA693F" w:rsidP="00AA693F">
      <w:pPr>
        <w:spacing w:before="120" w:after="120"/>
        <w:jc w:val="both"/>
        <w:rPr>
          <w:lang w:eastAsia="fr-FR"/>
        </w:rPr>
      </w:pPr>
      <w:r w:rsidRPr="00A65480">
        <w:rPr>
          <w:lang w:eastAsia="fr-FR"/>
        </w:rPr>
        <w:br w:type="page"/>
      </w:r>
    </w:p>
    <w:p w:rsidR="00AA693F" w:rsidRDefault="00AA693F" w:rsidP="00AA693F">
      <w:pPr>
        <w:pStyle w:val="planche"/>
        <w:rPr>
          <w:lang w:eastAsia="fr-FR"/>
        </w:rPr>
      </w:pPr>
      <w:bookmarkStart w:id="3" w:name="Modernite_pol_intro"/>
      <w:r>
        <w:rPr>
          <w:lang w:eastAsia="fr-FR"/>
        </w:rPr>
        <w:t>Introduction</w:t>
      </w:r>
    </w:p>
    <w:bookmarkEnd w:id="3"/>
    <w:p w:rsidR="00AA693F" w:rsidRPr="00A65480" w:rsidRDefault="00AA693F" w:rsidP="00AA693F">
      <w:pPr>
        <w:spacing w:before="120" w:after="120"/>
        <w:jc w:val="both"/>
        <w:rPr>
          <w:lang w:eastAsia="fr-FR"/>
        </w:rPr>
      </w:pPr>
    </w:p>
    <w:p w:rsidR="00AA693F" w:rsidRPr="00384B20" w:rsidRDefault="00AA693F" w:rsidP="00AA693F">
      <w:pPr>
        <w:ind w:right="90" w:firstLine="0"/>
        <w:jc w:val="both"/>
        <w:rPr>
          <w:sz w:val="20"/>
        </w:rPr>
      </w:pPr>
      <w:hyperlink w:anchor="tdm" w:history="1">
        <w:r w:rsidRPr="00384B20">
          <w:rPr>
            <w:rStyle w:val="Lienhypertexte"/>
            <w:sz w:val="20"/>
          </w:rPr>
          <w:t>Retour à la table des matières</w:t>
        </w:r>
      </w:hyperlink>
    </w:p>
    <w:p w:rsidR="00AA693F" w:rsidRPr="00A65480" w:rsidRDefault="00AA693F" w:rsidP="00AA693F">
      <w:pPr>
        <w:spacing w:before="120" w:after="120"/>
        <w:jc w:val="both"/>
        <w:rPr>
          <w:lang w:eastAsia="fr-FR"/>
        </w:rPr>
      </w:pPr>
      <w:r w:rsidRPr="00A65480">
        <w:rPr>
          <w:lang w:eastAsia="fr-FR"/>
        </w:rPr>
        <w:t>La rupture historique majeure de la modernité politique est génér</w:t>
      </w:r>
      <w:r w:rsidRPr="00A65480">
        <w:rPr>
          <w:lang w:eastAsia="fr-FR"/>
        </w:rPr>
        <w:t>a</w:t>
      </w:r>
      <w:r w:rsidRPr="00A65480">
        <w:rPr>
          <w:lang w:eastAsia="fr-FR"/>
        </w:rPr>
        <w:t>lement associée à la formation de l’État-nation en Europe avec, en son centre, son moment de radicalité : la Révolution française. Cet év</w:t>
      </w:r>
      <w:r w:rsidRPr="00A65480">
        <w:rPr>
          <w:lang w:eastAsia="fr-FR"/>
        </w:rPr>
        <w:t>é</w:t>
      </w:r>
      <w:r w:rsidRPr="00A65480">
        <w:rPr>
          <w:lang w:eastAsia="fr-FR"/>
        </w:rPr>
        <w:t>nement majeur introduit en effet, avec la reconnaissance de la d</w:t>
      </w:r>
      <w:r w:rsidRPr="00A65480">
        <w:rPr>
          <w:lang w:eastAsia="fr-FR"/>
        </w:rPr>
        <w:t>i</w:t>
      </w:r>
      <w:r w:rsidRPr="00A65480">
        <w:rPr>
          <w:lang w:eastAsia="fr-FR"/>
        </w:rPr>
        <w:t>gnité humaine au regard de la Déclaration des droits de l’homme et du c</w:t>
      </w:r>
      <w:r w:rsidRPr="00A65480">
        <w:rPr>
          <w:lang w:eastAsia="fr-FR"/>
        </w:rPr>
        <w:t>i</w:t>
      </w:r>
      <w:r w:rsidRPr="00A65480">
        <w:rPr>
          <w:lang w:eastAsia="fr-FR"/>
        </w:rPr>
        <w:t>toyen, de nouve</w:t>
      </w:r>
      <w:r w:rsidRPr="00A65480">
        <w:rPr>
          <w:lang w:eastAsia="fr-FR"/>
        </w:rPr>
        <w:t>l</w:t>
      </w:r>
      <w:r w:rsidRPr="00A65480">
        <w:rPr>
          <w:lang w:eastAsia="fr-FR"/>
        </w:rPr>
        <w:t>les expérimentations historiques à l’horizon d’une perspective forte d’émancipation.</w:t>
      </w:r>
    </w:p>
    <w:p w:rsidR="00AA693F" w:rsidRPr="00A65480" w:rsidRDefault="00AA693F" w:rsidP="00AA693F">
      <w:pPr>
        <w:spacing w:before="120" w:after="120"/>
        <w:jc w:val="both"/>
        <w:rPr>
          <w:lang w:eastAsia="fr-FR"/>
        </w:rPr>
      </w:pPr>
      <w:r w:rsidRPr="00A65480">
        <w:rPr>
          <w:lang w:eastAsia="fr-FR"/>
        </w:rPr>
        <w:t>Une des réflexions les plus abouties en ce domaine est celle d’Immanuel Wallerstein</w:t>
      </w:r>
      <w:r>
        <w:rPr>
          <w:lang w:eastAsia="fr-FR"/>
        </w:rPr>
        <w:t> </w:t>
      </w:r>
      <w:r>
        <w:rPr>
          <w:rStyle w:val="Appelnotedebasdep"/>
          <w:lang w:eastAsia="fr-FR"/>
        </w:rPr>
        <w:footnoteReference w:id="1"/>
      </w:r>
      <w:r w:rsidRPr="00A65480">
        <w:rPr>
          <w:lang w:eastAsia="fr-FR"/>
        </w:rPr>
        <w:t>. Cet auteur précise en quoi la Révolution fra</w:t>
      </w:r>
      <w:r w:rsidRPr="00A65480">
        <w:rPr>
          <w:lang w:eastAsia="fr-FR"/>
        </w:rPr>
        <w:t>n</w:t>
      </w:r>
      <w:r w:rsidRPr="00A65480">
        <w:rPr>
          <w:lang w:eastAsia="fr-FR"/>
        </w:rPr>
        <w:t>çaise met en place le dispositif de la modernité politique dans la mesure où elle normalise l’idée de changement politique. Une telle normalisation du changement est associée conjointement aux figures de l’individu et de l’État, et elle s’investit dans des programmes d’action politique permettant la construction d’un système-monde l</w:t>
      </w:r>
      <w:r w:rsidRPr="00A65480">
        <w:rPr>
          <w:lang w:eastAsia="fr-FR"/>
        </w:rPr>
        <w:t>i</w:t>
      </w:r>
      <w:r w:rsidRPr="00A65480">
        <w:rPr>
          <w:lang w:eastAsia="fr-FR"/>
        </w:rPr>
        <w:t>béral.</w:t>
      </w:r>
    </w:p>
    <w:p w:rsidR="00AA693F" w:rsidRPr="00A65480" w:rsidRDefault="00AA693F" w:rsidP="00AA693F">
      <w:pPr>
        <w:spacing w:before="120" w:after="120"/>
        <w:jc w:val="both"/>
        <w:rPr>
          <w:lang w:eastAsia="fr-FR"/>
        </w:rPr>
      </w:pPr>
      <w:r w:rsidRPr="00A65480">
        <w:rPr>
          <w:lang w:eastAsia="fr-FR"/>
        </w:rPr>
        <w:t>Ne souhaitant pas emprunter la voie d’une telle analyse systém</w:t>
      </w:r>
      <w:r w:rsidRPr="00A65480">
        <w:rPr>
          <w:lang w:eastAsia="fr-FR"/>
        </w:rPr>
        <w:t>i</w:t>
      </w:r>
      <w:r w:rsidRPr="00A65480">
        <w:rPr>
          <w:lang w:eastAsia="fr-FR"/>
        </w:rPr>
        <w:t>que, nous laisserons de côté les questions suivantes toujours en débat : le di</w:t>
      </w:r>
      <w:r w:rsidRPr="00A65480">
        <w:rPr>
          <w:lang w:eastAsia="fr-FR"/>
        </w:rPr>
        <w:t>s</w:t>
      </w:r>
      <w:r w:rsidRPr="00A65480">
        <w:rPr>
          <w:lang w:eastAsia="fr-FR"/>
        </w:rPr>
        <w:t>positif de la modernité politique issu de la Révolution française est-il épuisé ? En d’autres termes, a-t-il vraiment consumé toutes ses potential</w:t>
      </w:r>
      <w:r w:rsidRPr="00A65480">
        <w:rPr>
          <w:lang w:eastAsia="fr-FR"/>
        </w:rPr>
        <w:t>i</w:t>
      </w:r>
      <w:r w:rsidRPr="00A65480">
        <w:rPr>
          <w:lang w:eastAsia="fr-FR"/>
        </w:rPr>
        <w:t>tés ? Participe-t-il encore de « la bifurcation majeure » que prend la tent</w:t>
      </w:r>
      <w:r w:rsidRPr="00A65480">
        <w:rPr>
          <w:lang w:eastAsia="fr-FR"/>
        </w:rPr>
        <w:t>a</w:t>
      </w:r>
      <w:r w:rsidRPr="00A65480">
        <w:rPr>
          <w:lang w:eastAsia="fr-FR"/>
        </w:rPr>
        <w:t>tive actuelle de réinventer un système-monde dans la diversité des libér</w:t>
      </w:r>
      <w:r w:rsidRPr="00A65480">
        <w:rPr>
          <w:lang w:eastAsia="fr-FR"/>
        </w:rPr>
        <w:t>a</w:t>
      </w:r>
      <w:r w:rsidRPr="00A65480">
        <w:rPr>
          <w:lang w:eastAsia="fr-FR"/>
        </w:rPr>
        <w:t>lismes ?</w:t>
      </w:r>
    </w:p>
    <w:p w:rsidR="00AA693F" w:rsidRPr="00A65480" w:rsidRDefault="00AA693F" w:rsidP="00AA693F">
      <w:pPr>
        <w:spacing w:before="120" w:after="120"/>
        <w:jc w:val="both"/>
        <w:rPr>
          <w:lang w:eastAsia="fr-FR"/>
        </w:rPr>
      </w:pPr>
      <w:r w:rsidRPr="00A65480">
        <w:rPr>
          <w:lang w:eastAsia="fr-FR"/>
        </w:rPr>
        <w:t>Nous ne retiendrons de ce débat que le problème d’une modernité révolutionnaire qui fait rupture non seulement dans l’événement m</w:t>
      </w:r>
      <w:r w:rsidRPr="00A65480">
        <w:rPr>
          <w:lang w:eastAsia="fr-FR"/>
        </w:rPr>
        <w:t>ê</w:t>
      </w:r>
      <w:r w:rsidRPr="00A65480">
        <w:rPr>
          <w:lang w:eastAsia="fr-FR"/>
        </w:rPr>
        <w:t>me mais aussi, en amont, dans l’émergence progressive de nouvelles formes de citoyenneté tout au long des Temps modernes et, en aval, dans la fig</w:t>
      </w:r>
      <w:r w:rsidRPr="00A65480">
        <w:rPr>
          <w:lang w:eastAsia="fr-FR"/>
        </w:rPr>
        <w:t>u</w:t>
      </w:r>
      <w:r w:rsidRPr="00A65480">
        <w:rPr>
          <w:lang w:eastAsia="fr-FR"/>
        </w:rPr>
        <w:t>re antimoderne de l’écrivain.</w:t>
      </w:r>
    </w:p>
    <w:p w:rsidR="00AA693F" w:rsidRPr="00A65480" w:rsidRDefault="00AA693F" w:rsidP="00AA693F">
      <w:pPr>
        <w:spacing w:before="120" w:after="120"/>
        <w:jc w:val="both"/>
        <w:rPr>
          <w:lang w:eastAsia="fr-FR"/>
        </w:rPr>
      </w:pPr>
      <w:r w:rsidRPr="00A65480">
        <w:rPr>
          <w:lang w:eastAsia="fr-FR"/>
        </w:rPr>
        <w:lastRenderedPageBreak/>
        <w:t>Certes, les seuls événements de la Révolution française et leur s</w:t>
      </w:r>
      <w:r w:rsidRPr="00A65480">
        <w:rPr>
          <w:lang w:eastAsia="fr-FR"/>
        </w:rPr>
        <w:t>i</w:t>
      </w:r>
      <w:r w:rsidRPr="00A65480">
        <w:rPr>
          <w:lang w:eastAsia="fr-FR"/>
        </w:rPr>
        <w:t>gnification propre auraient pu nous occuper tout au long de cette r</w:t>
      </w:r>
      <w:r w:rsidRPr="00A65480">
        <w:rPr>
          <w:lang w:eastAsia="fr-FR"/>
        </w:rPr>
        <w:t>é</w:t>
      </w:r>
      <w:r w:rsidRPr="00A65480">
        <w:rPr>
          <w:lang w:eastAsia="fr-FR"/>
        </w:rPr>
        <w:t>flexion sur ce moment fort de l’avènement de la modernité politique. Cependant, il convient de considérer, avec les philosophes allemands contemporains de la Révolution française, principalement Kant, Fic</w:t>
      </w:r>
      <w:r w:rsidRPr="00A65480">
        <w:rPr>
          <w:lang w:eastAsia="fr-FR"/>
        </w:rPr>
        <w:t>h</w:t>
      </w:r>
      <w:r w:rsidRPr="00A65480">
        <w:rPr>
          <w:lang w:eastAsia="fr-FR"/>
        </w:rPr>
        <w:t>te et, dans la même lignée, l’historien Reinhart Koselleck, que cet événement est une rupt</w:t>
      </w:r>
      <w:r w:rsidRPr="00A65480">
        <w:rPr>
          <w:lang w:eastAsia="fr-FR"/>
        </w:rPr>
        <w:t>u</w:t>
      </w:r>
      <w:r w:rsidRPr="00A65480">
        <w:rPr>
          <w:lang w:eastAsia="fr-FR"/>
        </w:rPr>
        <w:t>re : en effet, il inscrit un nouveau champ d’expérience, avec ses ouvert</w:t>
      </w:r>
      <w:r w:rsidRPr="00A65480">
        <w:rPr>
          <w:lang w:eastAsia="fr-FR"/>
        </w:rPr>
        <w:t>u</w:t>
      </w:r>
      <w:r w:rsidRPr="00A65480">
        <w:rPr>
          <w:lang w:eastAsia="fr-FR"/>
        </w:rPr>
        <w:t xml:space="preserve">res et ses perspectives, à l’horizon d’un droit naturel inédit. Mais il n’en reste pas moins qu’une telle radicalité politique puise ses origines dans une </w:t>
      </w:r>
      <w:r w:rsidRPr="00A65480">
        <w:rPr>
          <w:i/>
          <w:lang w:eastAsia="fr-FR"/>
        </w:rPr>
        <w:t>métaphysique pratique de l’individu</w:t>
      </w:r>
      <w:r w:rsidRPr="00A65480">
        <w:rPr>
          <w:lang w:eastAsia="fr-FR"/>
        </w:rPr>
        <w:t xml:space="preserve"> formulée et mise en œuvre bien antérieurement, au moins dès la Renaissance humaniste, et qu’elle se pr</w:t>
      </w:r>
      <w:r w:rsidRPr="00A65480">
        <w:rPr>
          <w:lang w:eastAsia="fr-FR"/>
        </w:rPr>
        <w:t>o</w:t>
      </w:r>
      <w:r w:rsidRPr="00A65480">
        <w:rPr>
          <w:lang w:eastAsia="fr-FR"/>
        </w:rPr>
        <w:t xml:space="preserve">longe tout au long du </w:t>
      </w:r>
      <w:r w:rsidRPr="00A65480">
        <w:rPr>
          <w:smallCaps/>
          <w:lang w:eastAsia="fr-FR"/>
        </w:rPr>
        <w:t>xix</w:t>
      </w:r>
      <w:r w:rsidRPr="00A65480">
        <w:rPr>
          <w:vertAlign w:val="superscript"/>
          <w:lang w:eastAsia="fr-FR"/>
        </w:rPr>
        <w:t>e</w:t>
      </w:r>
      <w:r w:rsidRPr="00A65480">
        <w:rPr>
          <w:lang w:eastAsia="fr-FR"/>
        </w:rPr>
        <w:t> siècle dans une métaphysique politique, certes perçue négativ</w:t>
      </w:r>
      <w:r w:rsidRPr="00A65480">
        <w:rPr>
          <w:lang w:eastAsia="fr-FR"/>
        </w:rPr>
        <w:t>e</w:t>
      </w:r>
      <w:r w:rsidRPr="00A65480">
        <w:rPr>
          <w:lang w:eastAsia="fr-FR"/>
        </w:rPr>
        <w:t>ment.</w:t>
      </w:r>
    </w:p>
    <w:p w:rsidR="00AA693F" w:rsidRDefault="00AA693F" w:rsidP="00AA693F">
      <w:pPr>
        <w:spacing w:before="120" w:after="120"/>
        <w:jc w:val="both"/>
        <w:rPr>
          <w:lang w:eastAsia="fr-FR"/>
        </w:rPr>
      </w:pPr>
      <w:r w:rsidRPr="00A65480">
        <w:rPr>
          <w:lang w:eastAsia="fr-FR"/>
        </w:rPr>
        <w:t xml:space="preserve">D’un point de vue méthodologique, notre démarche relève de ce qu’on appelle aujourd’hui </w:t>
      </w:r>
      <w:r w:rsidRPr="00A65480">
        <w:rPr>
          <w:i/>
          <w:lang w:eastAsia="fr-FR"/>
        </w:rPr>
        <w:t>l’histoire des concepts socio-politiques</w:t>
      </w:r>
      <w:r w:rsidRPr="00A65480">
        <w:rPr>
          <w:lang w:eastAsia="fr-FR"/>
        </w:rPr>
        <w:t xml:space="preserve"> dont les auteurs les plus connus, sont essentiellement américains, a</w:t>
      </w:r>
      <w:r w:rsidRPr="00A65480">
        <w:rPr>
          <w:lang w:eastAsia="fr-FR"/>
        </w:rPr>
        <w:t>n</w:t>
      </w:r>
      <w:r w:rsidRPr="00A65480">
        <w:rPr>
          <w:lang w:eastAsia="fr-FR"/>
        </w:rPr>
        <w:t>glais, a</w:t>
      </w:r>
      <w:r w:rsidRPr="00A65480">
        <w:rPr>
          <w:lang w:eastAsia="fr-FR"/>
        </w:rPr>
        <w:t>l</w:t>
      </w:r>
      <w:r w:rsidRPr="00A65480">
        <w:rPr>
          <w:lang w:eastAsia="fr-FR"/>
        </w:rPr>
        <w:t>lemands, italiens et français : John Pocock, Quentin Skinner, Reinhart Koselleck, Antonio Negri, François Furet, Pierre Rosanva</w:t>
      </w:r>
      <w:r w:rsidRPr="00A65480">
        <w:rPr>
          <w:lang w:eastAsia="fr-FR"/>
        </w:rPr>
        <w:t>l</w:t>
      </w:r>
      <w:r w:rsidRPr="00A65480">
        <w:rPr>
          <w:lang w:eastAsia="fr-FR"/>
        </w:rPr>
        <w:t>lon et bien d’autres. Précisons enfin que la part de la sémantique hi</w:t>
      </w:r>
      <w:r w:rsidRPr="00A65480">
        <w:rPr>
          <w:lang w:eastAsia="fr-FR"/>
        </w:rPr>
        <w:t>s</w:t>
      </w:r>
      <w:r w:rsidRPr="00A65480">
        <w:rPr>
          <w:lang w:eastAsia="fr-FR"/>
        </w:rPr>
        <w:t>torique, c’est-à-dire l’analyse des conditions langagières d’émergence des concepts rév</w:t>
      </w:r>
      <w:r w:rsidRPr="00A65480">
        <w:rPr>
          <w:lang w:eastAsia="fr-FR"/>
        </w:rPr>
        <w:t>é</w:t>
      </w:r>
      <w:r w:rsidRPr="00A65480">
        <w:rPr>
          <w:lang w:eastAsia="fr-FR"/>
        </w:rPr>
        <w:t>lateurs de la modernité politique, est fort importante dans la plupart de ces travaux : elle fait partie intégrante de l’approche historique même si nous n’avons pas la possibilité de la développer dans le présent article</w:t>
      </w:r>
      <w:r>
        <w:rPr>
          <w:lang w:eastAsia="fr-FR"/>
        </w:rPr>
        <w:t> </w:t>
      </w:r>
      <w:r>
        <w:rPr>
          <w:rStyle w:val="Appelnotedebasdep"/>
          <w:lang w:eastAsia="fr-FR"/>
        </w:rPr>
        <w:footnoteReference w:id="2"/>
      </w:r>
      <w:r w:rsidRPr="00A65480">
        <w:rPr>
          <w:lang w:eastAsia="fr-FR"/>
        </w:rPr>
        <w:t>.</w:t>
      </w:r>
    </w:p>
    <w:p w:rsidR="00AA693F" w:rsidRPr="00A65480" w:rsidRDefault="00AA693F" w:rsidP="00AA693F">
      <w:pPr>
        <w:spacing w:before="120" w:after="120"/>
        <w:jc w:val="both"/>
        <w:rPr>
          <w:lang w:eastAsia="fr-FR"/>
        </w:rPr>
      </w:pPr>
      <w:r>
        <w:rPr>
          <w:lang w:eastAsia="fr-FR"/>
        </w:rPr>
        <w:br w:type="page"/>
      </w:r>
    </w:p>
    <w:p w:rsidR="00AA693F" w:rsidRPr="00A65480" w:rsidRDefault="00AA693F" w:rsidP="00AA693F">
      <w:pPr>
        <w:pStyle w:val="planche"/>
        <w:rPr>
          <w:lang w:eastAsia="fr-FR"/>
        </w:rPr>
      </w:pPr>
      <w:bookmarkStart w:id="4" w:name="Modernite_pol_1"/>
      <w:r w:rsidRPr="00A65480">
        <w:rPr>
          <w:lang w:eastAsia="fr-FR"/>
        </w:rPr>
        <w:t>La première moderni</w:t>
      </w:r>
      <w:r>
        <w:rPr>
          <w:lang w:eastAsia="fr-FR"/>
        </w:rPr>
        <w:t>té :</w:t>
      </w:r>
      <w:r>
        <w:rPr>
          <w:lang w:eastAsia="fr-FR"/>
        </w:rPr>
        <w:br/>
        <w:t>de l’humanisme civique</w:t>
      </w:r>
      <w:r>
        <w:rPr>
          <w:lang w:eastAsia="fr-FR"/>
        </w:rPr>
        <w:br/>
      </w:r>
      <w:r w:rsidRPr="00A65480">
        <w:rPr>
          <w:lang w:eastAsia="fr-FR"/>
        </w:rPr>
        <w:t>à la civilité révol</w:t>
      </w:r>
      <w:r w:rsidRPr="00A65480">
        <w:rPr>
          <w:lang w:eastAsia="fr-FR"/>
        </w:rPr>
        <w:t>u</w:t>
      </w:r>
      <w:r w:rsidRPr="00A65480">
        <w:rPr>
          <w:lang w:eastAsia="fr-FR"/>
        </w:rPr>
        <w:t>tionnaire</w:t>
      </w:r>
      <w:r>
        <w:rPr>
          <w:lang w:eastAsia="fr-FR"/>
        </w:rPr>
        <w:br/>
      </w:r>
      <w:r w:rsidRPr="00A65480">
        <w:rPr>
          <w:lang w:eastAsia="fr-FR"/>
        </w:rPr>
        <w:t>(</w:t>
      </w:r>
      <w:r w:rsidRPr="00E8464B">
        <w:rPr>
          <w:caps/>
          <w:lang w:eastAsia="fr-FR"/>
        </w:rPr>
        <w:t>xvi</w:t>
      </w:r>
      <w:r w:rsidRPr="00A65480">
        <w:rPr>
          <w:vertAlign w:val="superscript"/>
          <w:lang w:eastAsia="fr-FR"/>
        </w:rPr>
        <w:t>e</w:t>
      </w:r>
      <w:r w:rsidRPr="00A65480">
        <w:rPr>
          <w:lang w:eastAsia="fr-FR"/>
        </w:rPr>
        <w:t>-</w:t>
      </w:r>
      <w:r w:rsidRPr="00E8464B">
        <w:rPr>
          <w:caps/>
          <w:lang w:eastAsia="fr-FR"/>
        </w:rPr>
        <w:t>xviii</w:t>
      </w:r>
      <w:r w:rsidRPr="00A65480">
        <w:rPr>
          <w:vertAlign w:val="superscript"/>
          <w:lang w:eastAsia="fr-FR"/>
        </w:rPr>
        <w:t>e</w:t>
      </w:r>
      <w:r>
        <w:rPr>
          <w:lang w:eastAsia="fr-FR"/>
        </w:rPr>
        <w:t xml:space="preserve"> </w:t>
      </w:r>
      <w:r w:rsidRPr="00A65480">
        <w:rPr>
          <w:lang w:eastAsia="fr-FR"/>
        </w:rPr>
        <w:t>siècle)</w:t>
      </w:r>
    </w:p>
    <w:bookmarkEnd w:id="4"/>
    <w:p w:rsidR="00AA693F" w:rsidRDefault="00AA693F" w:rsidP="00AA693F">
      <w:pPr>
        <w:spacing w:before="120" w:after="120"/>
        <w:jc w:val="both"/>
        <w:rPr>
          <w:lang w:eastAsia="fr-FR"/>
        </w:rPr>
      </w:pPr>
    </w:p>
    <w:p w:rsidR="00AA693F" w:rsidRPr="00384B20" w:rsidRDefault="00AA693F" w:rsidP="00AA693F">
      <w:pPr>
        <w:ind w:right="90" w:firstLine="0"/>
        <w:jc w:val="both"/>
        <w:rPr>
          <w:sz w:val="20"/>
        </w:rPr>
      </w:pPr>
      <w:hyperlink w:anchor="tdm" w:history="1">
        <w:r w:rsidRPr="00384B20">
          <w:rPr>
            <w:rStyle w:val="Lienhypertexte"/>
            <w:sz w:val="20"/>
          </w:rPr>
          <w:t>Retour à la table des matières</w:t>
        </w:r>
      </w:hyperlink>
    </w:p>
    <w:p w:rsidR="00AA693F" w:rsidRPr="00A65480" w:rsidRDefault="00AA693F" w:rsidP="00AA693F">
      <w:pPr>
        <w:spacing w:before="120" w:after="120"/>
        <w:jc w:val="both"/>
        <w:rPr>
          <w:lang w:eastAsia="fr-FR"/>
        </w:rPr>
      </w:pPr>
      <w:r w:rsidRPr="00A65480">
        <w:rPr>
          <w:lang w:eastAsia="fr-FR"/>
        </w:rPr>
        <w:t>Sur le temps long, mais sans « descendre » jusqu’à la cité antique, la première rupture significative de l’avènement de la modernité pol</w:t>
      </w:r>
      <w:r w:rsidRPr="00A65480">
        <w:rPr>
          <w:lang w:eastAsia="fr-FR"/>
        </w:rPr>
        <w:t>i</w:t>
      </w:r>
      <w:r w:rsidRPr="00A65480">
        <w:rPr>
          <w:lang w:eastAsia="fr-FR"/>
        </w:rPr>
        <w:t xml:space="preserve">tique est introduite par l’apparition de l’humanisme civique dans la république florentine du début du </w:t>
      </w:r>
      <w:r w:rsidRPr="00A65480">
        <w:rPr>
          <w:smallCaps/>
          <w:lang w:eastAsia="fr-FR"/>
        </w:rPr>
        <w:t>xvi</w:t>
      </w:r>
      <w:r w:rsidRPr="00A65480">
        <w:rPr>
          <w:vertAlign w:val="superscript"/>
          <w:lang w:eastAsia="fr-FR"/>
        </w:rPr>
        <w:t>e</w:t>
      </w:r>
      <w:r w:rsidRPr="00A65480">
        <w:rPr>
          <w:lang w:eastAsia="fr-FR"/>
        </w:rPr>
        <w:t> siècle. Ainsi se met en place ce que l’historien politiste américain John Pocock appelle le « moment machiavélien », titre d’un ouvrage publié en 1975 et tardivement tr</w:t>
      </w:r>
      <w:r w:rsidRPr="00A65480">
        <w:rPr>
          <w:lang w:eastAsia="fr-FR"/>
        </w:rPr>
        <w:t>a</w:t>
      </w:r>
      <w:r w:rsidRPr="00A65480">
        <w:rPr>
          <w:lang w:eastAsia="fr-FR"/>
        </w:rPr>
        <w:t>duit en français</w:t>
      </w:r>
      <w:r>
        <w:rPr>
          <w:lang w:eastAsia="fr-FR"/>
        </w:rPr>
        <w:t> </w:t>
      </w:r>
      <w:r>
        <w:rPr>
          <w:rStyle w:val="Appelnotedebasdep"/>
          <w:lang w:eastAsia="fr-FR"/>
        </w:rPr>
        <w:footnoteReference w:id="3"/>
      </w:r>
      <w:r w:rsidRPr="00A65480">
        <w:rPr>
          <w:lang w:eastAsia="fr-FR"/>
        </w:rPr>
        <w:t>.</w:t>
      </w:r>
    </w:p>
    <w:p w:rsidR="00AA693F" w:rsidRPr="00A65480" w:rsidRDefault="00AA693F" w:rsidP="00AA693F">
      <w:pPr>
        <w:spacing w:before="120" w:after="120"/>
        <w:jc w:val="both"/>
        <w:rPr>
          <w:lang w:eastAsia="fr-FR"/>
        </w:rPr>
      </w:pPr>
      <w:r w:rsidRPr="00A65480">
        <w:rPr>
          <w:lang w:eastAsia="fr-FR"/>
        </w:rPr>
        <w:t>En effet, il apparaît dans la pensée et la pratique républicaine fl</w:t>
      </w:r>
      <w:r w:rsidRPr="00A65480">
        <w:rPr>
          <w:lang w:eastAsia="fr-FR"/>
        </w:rPr>
        <w:t>o</w:t>
      </w:r>
      <w:r w:rsidRPr="00A65480">
        <w:rPr>
          <w:lang w:eastAsia="fr-FR"/>
        </w:rPr>
        <w:t>re</w:t>
      </w:r>
      <w:r w:rsidRPr="00A65480">
        <w:rPr>
          <w:lang w:eastAsia="fr-FR"/>
        </w:rPr>
        <w:t>n</w:t>
      </w:r>
      <w:r w:rsidRPr="00A65480">
        <w:rPr>
          <w:lang w:eastAsia="fr-FR"/>
        </w:rPr>
        <w:t>tine un « être politique » fondé sur un modèle</w:t>
      </w:r>
      <w:r w:rsidRPr="00A65480">
        <w:rPr>
          <w:i/>
          <w:lang w:eastAsia="fr-FR"/>
        </w:rPr>
        <w:t xml:space="preserve"> d’idéal civique de la pe</w:t>
      </w:r>
      <w:r w:rsidRPr="00A65480">
        <w:rPr>
          <w:i/>
          <w:lang w:eastAsia="fr-FR"/>
        </w:rPr>
        <w:t>r</w:t>
      </w:r>
      <w:r w:rsidRPr="00A65480">
        <w:rPr>
          <w:i/>
          <w:lang w:eastAsia="fr-FR"/>
        </w:rPr>
        <w:t>sonnalité</w:t>
      </w:r>
      <w:r w:rsidRPr="00A65480">
        <w:rPr>
          <w:lang w:eastAsia="fr-FR"/>
        </w:rPr>
        <w:t>. Alors que la philosophie médiévale, nourrie d’Aristote, valor</w:t>
      </w:r>
      <w:r w:rsidRPr="00A65480">
        <w:rPr>
          <w:lang w:eastAsia="fr-FR"/>
        </w:rPr>
        <w:t>i</w:t>
      </w:r>
      <w:r w:rsidRPr="00A65480">
        <w:rPr>
          <w:lang w:eastAsia="fr-FR"/>
        </w:rPr>
        <w:t>se des universaux au détriment des circonstances — donc de l’appréhension du sens de l’événement singulier —, la pensée flore</w:t>
      </w:r>
      <w:r w:rsidRPr="00A65480">
        <w:rPr>
          <w:lang w:eastAsia="fr-FR"/>
        </w:rPr>
        <w:t>n</w:t>
      </w:r>
      <w:r w:rsidRPr="00A65480">
        <w:rPr>
          <w:lang w:eastAsia="fr-FR"/>
        </w:rPr>
        <w:t xml:space="preserve">tine de l’humanisme civique oppose à la </w:t>
      </w:r>
      <w:r w:rsidRPr="00A65480">
        <w:rPr>
          <w:i/>
          <w:lang w:eastAsia="fr-FR"/>
        </w:rPr>
        <w:t>fortuna</w:t>
      </w:r>
      <w:r w:rsidRPr="00A65480">
        <w:rPr>
          <w:lang w:eastAsia="fr-FR"/>
        </w:rPr>
        <w:t xml:space="preserve"> comme simple prov</w:t>
      </w:r>
      <w:r w:rsidRPr="00A65480">
        <w:rPr>
          <w:lang w:eastAsia="fr-FR"/>
        </w:rPr>
        <w:t>i</w:t>
      </w:r>
      <w:r w:rsidRPr="00A65480">
        <w:rPr>
          <w:lang w:eastAsia="fr-FR"/>
        </w:rPr>
        <w:t xml:space="preserve">dence l’action propre à la </w:t>
      </w:r>
      <w:r w:rsidRPr="00A65480">
        <w:rPr>
          <w:i/>
          <w:lang w:eastAsia="fr-FR"/>
        </w:rPr>
        <w:t>vita activa</w:t>
      </w:r>
      <w:r w:rsidRPr="00A65480">
        <w:rPr>
          <w:lang w:eastAsia="fr-FR"/>
        </w:rPr>
        <w:t xml:space="preserve"> et au </w:t>
      </w:r>
      <w:r w:rsidRPr="00A65480">
        <w:rPr>
          <w:i/>
          <w:lang w:eastAsia="fr-FR"/>
        </w:rPr>
        <w:t>vivere civile</w:t>
      </w:r>
      <w:r w:rsidRPr="00A65480">
        <w:rPr>
          <w:lang w:eastAsia="fr-FR"/>
        </w:rPr>
        <w:t>, donc l’aptitude humaine à produire de l’universel sans aller pourtant ju</w:t>
      </w:r>
      <w:r w:rsidRPr="00A65480">
        <w:rPr>
          <w:lang w:eastAsia="fr-FR"/>
        </w:rPr>
        <w:t>s</w:t>
      </w:r>
      <w:r w:rsidRPr="00A65480">
        <w:rPr>
          <w:lang w:eastAsia="fr-FR"/>
        </w:rPr>
        <w:t>qu’à l’affirmation de la dimension universelle de la singularité év</w:t>
      </w:r>
      <w:r w:rsidRPr="00A65480">
        <w:rPr>
          <w:lang w:eastAsia="fr-FR"/>
        </w:rPr>
        <w:t>é</w:t>
      </w:r>
      <w:r w:rsidRPr="00A65480">
        <w:rPr>
          <w:lang w:eastAsia="fr-FR"/>
        </w:rPr>
        <w:t>nementielle, propre à la Rév</w:t>
      </w:r>
      <w:r w:rsidRPr="00A65480">
        <w:rPr>
          <w:lang w:eastAsia="fr-FR"/>
        </w:rPr>
        <w:t>o</w:t>
      </w:r>
      <w:r w:rsidRPr="00A65480">
        <w:rPr>
          <w:lang w:eastAsia="fr-FR"/>
        </w:rPr>
        <w:t>lution française. Ainsi se mettent très tôt en place les premières figures innovantes du sujet politique :</w:t>
      </w:r>
    </w:p>
    <w:p w:rsidR="00AA693F" w:rsidRDefault="00AA693F" w:rsidP="00AA693F">
      <w:pPr>
        <w:spacing w:before="120" w:after="120"/>
        <w:jc w:val="both"/>
        <w:rPr>
          <w:lang w:eastAsia="fr-FR"/>
        </w:rPr>
      </w:pPr>
    </w:p>
    <w:p w:rsidR="00AA693F" w:rsidRPr="00A65480" w:rsidRDefault="00AA693F" w:rsidP="00AA693F">
      <w:pPr>
        <w:spacing w:before="120" w:after="120"/>
        <w:ind w:left="720" w:hanging="360"/>
        <w:jc w:val="both"/>
        <w:rPr>
          <w:lang w:eastAsia="fr-FR"/>
        </w:rPr>
      </w:pPr>
      <w:r>
        <w:rPr>
          <w:lang w:eastAsia="fr-FR"/>
        </w:rPr>
        <w:t>*</w:t>
      </w:r>
      <w:r>
        <w:rPr>
          <w:lang w:eastAsia="fr-FR"/>
        </w:rPr>
        <w:tab/>
      </w:r>
      <w:r w:rsidRPr="00A65480">
        <w:rPr>
          <w:lang w:eastAsia="fr-FR"/>
        </w:rPr>
        <w:t>le citoyen et le rhétoricien, dont la présence est attestée par leur volonté de participer à l’action entre particuliers, à des relations politiques sp</w:t>
      </w:r>
      <w:r w:rsidRPr="00A65480">
        <w:rPr>
          <w:lang w:eastAsia="fr-FR"/>
        </w:rPr>
        <w:t>é</w:t>
      </w:r>
      <w:r w:rsidRPr="00A65480">
        <w:rPr>
          <w:lang w:eastAsia="fr-FR"/>
        </w:rPr>
        <w:t>cifiques entre individus ;</w:t>
      </w:r>
    </w:p>
    <w:p w:rsidR="00AA693F" w:rsidRPr="00A65480" w:rsidRDefault="00AA693F" w:rsidP="00AA693F">
      <w:pPr>
        <w:spacing w:before="120" w:after="120"/>
        <w:ind w:left="720" w:hanging="360"/>
        <w:jc w:val="both"/>
        <w:rPr>
          <w:lang w:eastAsia="fr-FR"/>
        </w:rPr>
      </w:pPr>
      <w:r>
        <w:rPr>
          <w:lang w:eastAsia="fr-FR"/>
        </w:rPr>
        <w:t>*</w:t>
      </w:r>
      <w:r>
        <w:rPr>
          <w:lang w:eastAsia="fr-FR"/>
        </w:rPr>
        <w:tab/>
      </w:r>
      <w:r w:rsidRPr="00A65480">
        <w:rPr>
          <w:lang w:eastAsia="fr-FR"/>
        </w:rPr>
        <w:t xml:space="preserve">le Prince et le législateur-prophète, qui innovent au sein même de la relation entre </w:t>
      </w:r>
      <w:r w:rsidRPr="00A65480">
        <w:rPr>
          <w:i/>
          <w:lang w:eastAsia="fr-FR"/>
        </w:rPr>
        <w:t>virtù</w:t>
      </w:r>
      <w:r w:rsidRPr="00A65480">
        <w:rPr>
          <w:lang w:eastAsia="fr-FR"/>
        </w:rPr>
        <w:t xml:space="preserve"> et </w:t>
      </w:r>
      <w:r w:rsidRPr="00A65480">
        <w:rPr>
          <w:i/>
          <w:lang w:eastAsia="fr-FR"/>
        </w:rPr>
        <w:t>fortuna</w:t>
      </w:r>
      <w:r w:rsidRPr="00A65480">
        <w:rPr>
          <w:lang w:eastAsia="fr-FR"/>
        </w:rPr>
        <w:t> : le Prince impose ses qual</w:t>
      </w:r>
      <w:r w:rsidRPr="00A65480">
        <w:rPr>
          <w:lang w:eastAsia="fr-FR"/>
        </w:rPr>
        <w:t>i</w:t>
      </w:r>
      <w:r w:rsidRPr="00A65480">
        <w:rPr>
          <w:lang w:eastAsia="fr-FR"/>
        </w:rPr>
        <w:t>tés ve</w:t>
      </w:r>
      <w:r w:rsidRPr="00A65480">
        <w:rPr>
          <w:lang w:eastAsia="fr-FR"/>
        </w:rPr>
        <w:t>r</w:t>
      </w:r>
      <w:r w:rsidRPr="00A65480">
        <w:rPr>
          <w:lang w:eastAsia="fr-FR"/>
        </w:rPr>
        <w:t xml:space="preserve">tueuses à la matière de la </w:t>
      </w:r>
      <w:r w:rsidRPr="00A65480">
        <w:rPr>
          <w:i/>
          <w:lang w:eastAsia="fr-FR"/>
        </w:rPr>
        <w:t>fortuna</w:t>
      </w:r>
      <w:r w:rsidRPr="00A65480">
        <w:rPr>
          <w:lang w:eastAsia="fr-FR"/>
        </w:rPr>
        <w:t xml:space="preserve"> par un comportement </w:t>
      </w:r>
      <w:r w:rsidRPr="00A65480">
        <w:rPr>
          <w:lang w:eastAsia="fr-FR"/>
        </w:rPr>
        <w:lastRenderedPageBreak/>
        <w:t>stratégique adéquat aux circonstances ; « le législateur naturel » fait advenir une communauté p</w:t>
      </w:r>
      <w:r w:rsidRPr="00A65480">
        <w:rPr>
          <w:lang w:eastAsia="fr-FR"/>
        </w:rPr>
        <w:t>o</w:t>
      </w:r>
      <w:r w:rsidRPr="00A65480">
        <w:rPr>
          <w:lang w:eastAsia="fr-FR"/>
        </w:rPr>
        <w:t xml:space="preserve">litique stabilisée par la </w:t>
      </w:r>
      <w:r w:rsidRPr="00A65480">
        <w:rPr>
          <w:i/>
          <w:lang w:eastAsia="fr-FR"/>
        </w:rPr>
        <w:t>virtù</w:t>
      </w:r>
      <w:r w:rsidRPr="00A65480">
        <w:rPr>
          <w:lang w:eastAsia="fr-FR"/>
        </w:rPr>
        <w:t>.</w:t>
      </w:r>
    </w:p>
    <w:p w:rsidR="00AA693F" w:rsidRDefault="00AA693F" w:rsidP="00AA693F">
      <w:pPr>
        <w:spacing w:before="120" w:after="120"/>
        <w:jc w:val="both"/>
        <w:rPr>
          <w:lang w:eastAsia="fr-FR"/>
        </w:rPr>
      </w:pPr>
    </w:p>
    <w:p w:rsidR="00AA693F" w:rsidRPr="00A65480" w:rsidRDefault="00AA693F" w:rsidP="00AA693F">
      <w:pPr>
        <w:spacing w:before="120" w:after="120"/>
        <w:jc w:val="both"/>
        <w:rPr>
          <w:lang w:eastAsia="fr-FR"/>
        </w:rPr>
      </w:pPr>
      <w:r w:rsidRPr="00A65480">
        <w:rPr>
          <w:lang w:eastAsia="fr-FR"/>
        </w:rPr>
        <w:t>Pocock montre également que des éléments de cette pensée civ</w:t>
      </w:r>
      <w:r w:rsidRPr="00A65480">
        <w:rPr>
          <w:lang w:eastAsia="fr-FR"/>
        </w:rPr>
        <w:t>i</w:t>
      </w:r>
      <w:r w:rsidRPr="00A65480">
        <w:rPr>
          <w:lang w:eastAsia="fr-FR"/>
        </w:rPr>
        <w:t>que s’introduisent dans la pensée monarchique anglaise pour l’amener ju</w:t>
      </w:r>
      <w:r w:rsidRPr="00A65480">
        <w:rPr>
          <w:lang w:eastAsia="fr-FR"/>
        </w:rPr>
        <w:t>s</w:t>
      </w:r>
      <w:r w:rsidRPr="00A65480">
        <w:rPr>
          <w:lang w:eastAsia="fr-FR"/>
        </w:rPr>
        <w:t>qu’à une position de rupture — le contexte de la guerre civile s’y pr</w:t>
      </w:r>
      <w:r w:rsidRPr="00A65480">
        <w:rPr>
          <w:lang w:eastAsia="fr-FR"/>
        </w:rPr>
        <w:t>ê</w:t>
      </w:r>
      <w:r w:rsidRPr="00A65480">
        <w:rPr>
          <w:lang w:eastAsia="fr-FR"/>
        </w:rPr>
        <w:t>tait — avec le mouvement d’anglicisation de la république poussé à son terme. Il revient à Harrington et à sa pensée de l’individu polit</w:t>
      </w:r>
      <w:r w:rsidRPr="00A65480">
        <w:rPr>
          <w:lang w:eastAsia="fr-FR"/>
        </w:rPr>
        <w:t>i</w:t>
      </w:r>
      <w:r w:rsidRPr="00A65480">
        <w:rPr>
          <w:lang w:eastAsia="fr-FR"/>
        </w:rPr>
        <w:t>que, d</w:t>
      </w:r>
      <w:r w:rsidRPr="00A65480">
        <w:rPr>
          <w:lang w:eastAsia="fr-FR"/>
        </w:rPr>
        <w:t>é</w:t>
      </w:r>
      <w:r w:rsidRPr="00A65480">
        <w:rPr>
          <w:lang w:eastAsia="fr-FR"/>
        </w:rPr>
        <w:t>fenseur de la vertu civique, de mener à bien ce processus.</w:t>
      </w:r>
    </w:p>
    <w:p w:rsidR="00AA693F" w:rsidRPr="00A65480" w:rsidRDefault="00AA693F" w:rsidP="00AA693F">
      <w:pPr>
        <w:spacing w:before="120" w:after="120"/>
        <w:jc w:val="both"/>
        <w:rPr>
          <w:lang w:eastAsia="fr-FR"/>
        </w:rPr>
      </w:pPr>
      <w:r w:rsidRPr="00A65480">
        <w:rPr>
          <w:lang w:eastAsia="fr-FR"/>
        </w:rPr>
        <w:t>Une des conséquences majeures d’une telle ouverture de l’espace civique à la singularité réside dans la possibilité de faire a</w:t>
      </w:r>
      <w:r w:rsidRPr="00A65480">
        <w:rPr>
          <w:lang w:eastAsia="fr-FR"/>
        </w:rPr>
        <w:t>c</w:t>
      </w:r>
      <w:r w:rsidRPr="00A65480">
        <w:rPr>
          <w:lang w:eastAsia="fr-FR"/>
        </w:rPr>
        <w:t>céder, dès la Renaissance, l’art du mécanicien à la dignité d’une « science prat</w:t>
      </w:r>
      <w:r w:rsidRPr="00A65480">
        <w:rPr>
          <w:lang w:eastAsia="fr-FR"/>
        </w:rPr>
        <w:t>i</w:t>
      </w:r>
      <w:r w:rsidRPr="00A65480">
        <w:rPr>
          <w:lang w:eastAsia="fr-FR"/>
        </w:rPr>
        <w:t>que ». Il s’agit ici de développer une science de l’action délibérée, qui s’élabore et s’exerce dans l’échange entre des hommes, une « science de l’artificiel » en quelque sorte, dont le lien à la future « science pol</w:t>
      </w:r>
      <w:r w:rsidRPr="00A65480">
        <w:rPr>
          <w:lang w:eastAsia="fr-FR"/>
        </w:rPr>
        <w:t>i</w:t>
      </w:r>
      <w:r w:rsidRPr="00A65480">
        <w:rPr>
          <w:lang w:eastAsia="fr-FR"/>
        </w:rPr>
        <w:t>tique » passe par l’action des hommes dans la Cité. Il convient donc de ne pas négliger la perpétuelle « réduction en art » qui s’opère aux abords de toute opération scientifique. Nous ente</w:t>
      </w:r>
      <w:r w:rsidRPr="00A65480">
        <w:rPr>
          <w:lang w:eastAsia="fr-FR"/>
        </w:rPr>
        <w:t>n</w:t>
      </w:r>
      <w:r w:rsidRPr="00A65480">
        <w:rPr>
          <w:lang w:eastAsia="fr-FR"/>
        </w:rPr>
        <w:t>dons par là, avec Hélène Vérin</w:t>
      </w:r>
      <w:r>
        <w:rPr>
          <w:lang w:eastAsia="fr-FR"/>
        </w:rPr>
        <w:t> </w:t>
      </w:r>
      <w:r>
        <w:rPr>
          <w:rStyle w:val="Appelnotedebasdep"/>
          <w:lang w:eastAsia="fr-FR"/>
        </w:rPr>
        <w:footnoteReference w:id="4"/>
      </w:r>
      <w:r w:rsidRPr="00A65480">
        <w:rPr>
          <w:lang w:eastAsia="fr-FR"/>
        </w:rPr>
        <w:t>, l’ensemble des prescriptions et procédés qui perme</w:t>
      </w:r>
      <w:r w:rsidRPr="00A65480">
        <w:rPr>
          <w:lang w:eastAsia="fr-FR"/>
        </w:rPr>
        <w:t>t</w:t>
      </w:r>
      <w:r w:rsidRPr="00A65480">
        <w:rPr>
          <w:lang w:eastAsia="fr-FR"/>
        </w:rPr>
        <w:t>tent de résoudre les difficultés circonstancielles par la réduction de cas singuliers à du gén</w:t>
      </w:r>
      <w:r w:rsidRPr="00A65480">
        <w:rPr>
          <w:lang w:eastAsia="fr-FR"/>
        </w:rPr>
        <w:t>é</w:t>
      </w:r>
      <w:r w:rsidRPr="00A65480">
        <w:rPr>
          <w:lang w:eastAsia="fr-FR"/>
        </w:rPr>
        <w:t>ral, du commun, au moyen de combinaisons de figures réglées. L’art n’est alors qu’une augment</w:t>
      </w:r>
      <w:r w:rsidRPr="00A65480">
        <w:rPr>
          <w:lang w:eastAsia="fr-FR"/>
        </w:rPr>
        <w:t>a</w:t>
      </w:r>
      <w:r w:rsidRPr="00A65480">
        <w:rPr>
          <w:lang w:eastAsia="fr-FR"/>
        </w:rPr>
        <w:t>tion des effets par une dépense moindre des moyens, une manière de ménager ces moyens pour diversifier et multiplier les effets Les fig</w:t>
      </w:r>
      <w:r w:rsidRPr="00A65480">
        <w:rPr>
          <w:lang w:eastAsia="fr-FR"/>
        </w:rPr>
        <w:t>u</w:t>
      </w:r>
      <w:r w:rsidRPr="00A65480">
        <w:rPr>
          <w:lang w:eastAsia="fr-FR"/>
        </w:rPr>
        <w:t>res de l’ingénieur et de l’entrepreneur ne peuvent donc être dissociées de la construction progressive de « l’intelligence p</w:t>
      </w:r>
      <w:r w:rsidRPr="00A65480">
        <w:rPr>
          <w:lang w:eastAsia="fr-FR"/>
        </w:rPr>
        <w:t>o</w:t>
      </w:r>
      <w:r w:rsidRPr="00A65480">
        <w:rPr>
          <w:lang w:eastAsia="fr-FR"/>
        </w:rPr>
        <w:t>litique » sous la figure enfin advenue de l’individu. L’art de la politique saura, jusqu’à Sieyès, associer à l’exigence de vérité dans la recherche de la meille</w:t>
      </w:r>
      <w:r w:rsidRPr="00A65480">
        <w:rPr>
          <w:lang w:eastAsia="fr-FR"/>
        </w:rPr>
        <w:t>u</w:t>
      </w:r>
      <w:r w:rsidRPr="00A65480">
        <w:rPr>
          <w:lang w:eastAsia="fr-FR"/>
        </w:rPr>
        <w:t>re société possible une réflexion sur l’efficacité « mécanique » des combinaisons politiques, donc sur l’ordre pratique.</w:t>
      </w:r>
    </w:p>
    <w:p w:rsidR="00AA693F" w:rsidRPr="00A65480" w:rsidRDefault="00AA693F" w:rsidP="00AA693F">
      <w:pPr>
        <w:spacing w:before="120" w:after="120"/>
        <w:jc w:val="both"/>
        <w:rPr>
          <w:lang w:eastAsia="fr-FR"/>
        </w:rPr>
      </w:pPr>
      <w:r w:rsidRPr="00A65480">
        <w:rPr>
          <w:lang w:eastAsia="fr-FR"/>
        </w:rPr>
        <w:t>Cependant, la réflexion la plus adéquate pour notre propos rés</w:t>
      </w:r>
      <w:r w:rsidRPr="00A65480">
        <w:rPr>
          <w:lang w:eastAsia="fr-FR"/>
        </w:rPr>
        <w:t>i</w:t>
      </w:r>
      <w:r w:rsidRPr="00A65480">
        <w:rPr>
          <w:lang w:eastAsia="fr-FR"/>
        </w:rPr>
        <w:t xml:space="preserve">de dans la manière dont l’opérativité du </w:t>
      </w:r>
      <w:r w:rsidRPr="00A65480">
        <w:rPr>
          <w:i/>
          <w:lang w:eastAsia="fr-FR"/>
        </w:rPr>
        <w:t>paradigme civique</w:t>
      </w:r>
      <w:r w:rsidRPr="00A65480">
        <w:rPr>
          <w:lang w:eastAsia="fr-FR"/>
        </w:rPr>
        <w:t xml:space="preserve"> ainsi mis en valeur introduit une rupture de dimension scientifique au sein m</w:t>
      </w:r>
      <w:r w:rsidRPr="00A65480">
        <w:rPr>
          <w:lang w:eastAsia="fr-FR"/>
        </w:rPr>
        <w:t>ê</w:t>
      </w:r>
      <w:r w:rsidRPr="00A65480">
        <w:rPr>
          <w:lang w:eastAsia="fr-FR"/>
        </w:rPr>
        <w:t>me de la politique : la découverte, avec Hobbes, de la « science des ve</w:t>
      </w:r>
      <w:r w:rsidRPr="00A65480">
        <w:rPr>
          <w:lang w:eastAsia="fr-FR"/>
        </w:rPr>
        <w:t>r</w:t>
      </w:r>
      <w:r w:rsidRPr="00A65480">
        <w:rPr>
          <w:lang w:eastAsia="fr-FR"/>
        </w:rPr>
        <w:t>tus » comme « science civile ». L’avènement d’une politique ci</w:t>
      </w:r>
      <w:r w:rsidRPr="00A65480">
        <w:rPr>
          <w:lang w:eastAsia="fr-FR"/>
        </w:rPr>
        <w:lastRenderedPageBreak/>
        <w:t>toye</w:t>
      </w:r>
      <w:r w:rsidRPr="00A65480">
        <w:rPr>
          <w:lang w:eastAsia="fr-FR"/>
        </w:rPr>
        <w:t>n</w:t>
      </w:r>
      <w:r w:rsidRPr="00A65480">
        <w:rPr>
          <w:lang w:eastAsia="fr-FR"/>
        </w:rPr>
        <w:t>ne est déso</w:t>
      </w:r>
      <w:r w:rsidRPr="00A65480">
        <w:rPr>
          <w:lang w:eastAsia="fr-FR"/>
        </w:rPr>
        <w:t>r</w:t>
      </w:r>
      <w:r w:rsidRPr="00A65480">
        <w:rPr>
          <w:lang w:eastAsia="fr-FR"/>
        </w:rPr>
        <w:t>mais rapporté à la conceptualisation d’un programme d’actions au sein d’une communauté civique donnant à chaque acte particulier une signif</w:t>
      </w:r>
      <w:r w:rsidRPr="00A65480">
        <w:rPr>
          <w:lang w:eastAsia="fr-FR"/>
        </w:rPr>
        <w:t>i</w:t>
      </w:r>
      <w:r w:rsidRPr="00A65480">
        <w:rPr>
          <w:lang w:eastAsia="fr-FR"/>
        </w:rPr>
        <w:t>cation politique universelle. Désormais, l’intelligibilité du politique passe par la description d’une organisation conceptuelle qualifiée de « science » et de ses conditions langagières, donc située dans le mouv</w:t>
      </w:r>
      <w:r w:rsidRPr="00A65480">
        <w:rPr>
          <w:lang w:eastAsia="fr-FR"/>
        </w:rPr>
        <w:t>e</w:t>
      </w:r>
      <w:r w:rsidRPr="00A65480">
        <w:rPr>
          <w:lang w:eastAsia="fr-FR"/>
        </w:rPr>
        <w:t>ment même de la langue.</w:t>
      </w:r>
    </w:p>
    <w:p w:rsidR="00AA693F" w:rsidRPr="00A65480" w:rsidRDefault="00AA693F" w:rsidP="00AA693F">
      <w:pPr>
        <w:spacing w:before="120" w:after="120"/>
        <w:jc w:val="both"/>
        <w:rPr>
          <w:lang w:eastAsia="fr-FR"/>
        </w:rPr>
      </w:pPr>
      <w:r w:rsidRPr="00A65480">
        <w:rPr>
          <w:lang w:eastAsia="fr-FR"/>
        </w:rPr>
        <w:t xml:space="preserve">Ainsi, le mérite principal de Quentin Skinner dans son ouvrage </w:t>
      </w:r>
      <w:r w:rsidRPr="00A65480">
        <w:rPr>
          <w:i/>
          <w:lang w:eastAsia="fr-FR"/>
        </w:rPr>
        <w:t>Reason and Rhetoric in the Philosophy of Hobbes</w:t>
      </w:r>
      <w:r w:rsidRPr="00A65480">
        <w:rPr>
          <w:lang w:eastAsia="fr-FR"/>
        </w:rPr>
        <w:t xml:space="preserve"> est d’avoir montré en quoi la « science civile » du philosophe anglais Hobbes — acteur majeur de la formation de la philosophie politique moderne — se met en place sur la base de la culture rhétorique de la Renaissance associée à l’humanisme civique</w:t>
      </w:r>
      <w:r>
        <w:rPr>
          <w:lang w:eastAsia="fr-FR"/>
        </w:rPr>
        <w:t> </w:t>
      </w:r>
      <w:r>
        <w:rPr>
          <w:rStyle w:val="Appelnotedebasdep"/>
          <w:lang w:eastAsia="fr-FR"/>
        </w:rPr>
        <w:footnoteReference w:id="5"/>
      </w:r>
      <w:r w:rsidRPr="00A65480">
        <w:rPr>
          <w:lang w:eastAsia="fr-FR"/>
        </w:rPr>
        <w:t>. La politique de l’éloquence, avec en son centre la figure de l’individu vertueux, s’avère de première importa</w:t>
      </w:r>
      <w:r w:rsidRPr="00A65480">
        <w:rPr>
          <w:lang w:eastAsia="fr-FR"/>
        </w:rPr>
        <w:t>n</w:t>
      </w:r>
      <w:r w:rsidRPr="00A65480">
        <w:rPr>
          <w:lang w:eastAsia="fr-FR"/>
        </w:rPr>
        <w:t>ce : la ration</w:t>
      </w:r>
      <w:r w:rsidRPr="00A65480">
        <w:rPr>
          <w:lang w:eastAsia="fr-FR"/>
        </w:rPr>
        <w:t>a</w:t>
      </w:r>
      <w:r w:rsidRPr="00A65480">
        <w:rPr>
          <w:lang w:eastAsia="fr-FR"/>
        </w:rPr>
        <w:t>lité des arguments de la « science civile » comme « science des vertus » se mesure en effet dans le déploiement des de</w:t>
      </w:r>
      <w:r w:rsidRPr="00A65480">
        <w:rPr>
          <w:lang w:eastAsia="fr-FR"/>
        </w:rPr>
        <w:t>s</w:t>
      </w:r>
      <w:r w:rsidRPr="00A65480">
        <w:rPr>
          <w:lang w:eastAsia="fr-FR"/>
        </w:rPr>
        <w:t>criptions d’actions sing</w:t>
      </w:r>
      <w:r w:rsidRPr="00A65480">
        <w:rPr>
          <w:lang w:eastAsia="fr-FR"/>
        </w:rPr>
        <w:t>u</w:t>
      </w:r>
      <w:r w:rsidRPr="00A65480">
        <w:rPr>
          <w:lang w:eastAsia="fr-FR"/>
        </w:rPr>
        <w:t>lières sur une scène imagée.</w:t>
      </w:r>
    </w:p>
    <w:p w:rsidR="00AA693F" w:rsidRPr="00A65480" w:rsidRDefault="00AA693F" w:rsidP="00AA693F">
      <w:pPr>
        <w:spacing w:before="120" w:after="120"/>
        <w:jc w:val="both"/>
        <w:rPr>
          <w:lang w:eastAsia="fr-FR"/>
        </w:rPr>
      </w:pPr>
      <w:r w:rsidRPr="00A65480">
        <w:rPr>
          <w:lang w:eastAsia="fr-FR"/>
        </w:rPr>
        <w:t>Ici, la figure du philosophe est indissociable de la figure de l’orateur qui déploie l’action qu’il veut décrire à l’aide d’images comp</w:t>
      </w:r>
      <w:r w:rsidRPr="00A65480">
        <w:rPr>
          <w:lang w:eastAsia="fr-FR"/>
        </w:rPr>
        <w:t>o</w:t>
      </w:r>
      <w:r w:rsidRPr="00A65480">
        <w:rPr>
          <w:lang w:eastAsia="fr-FR"/>
        </w:rPr>
        <w:t>sites d’objets. De fait, le lecteur, citoyen en puissance, peut « voir » les nouveaux arguments-ressources de l’action mis en mouvement par l’effet rhétorique, il peut alors s’y impliquer comme spectateur, voire devenir un protagoniste de la « société civile » ainsi mise en place. Soulignons d’emblée l’importance d’une telle apparition de la figure du spectateur dans la modernité politique. Cette relecture de l’œuvre de Hobbes, part</w:t>
      </w:r>
      <w:r w:rsidRPr="00A65480">
        <w:rPr>
          <w:lang w:eastAsia="fr-FR"/>
        </w:rPr>
        <w:t>i</w:t>
      </w:r>
      <w:r w:rsidRPr="00A65480">
        <w:rPr>
          <w:lang w:eastAsia="fr-FR"/>
        </w:rPr>
        <w:t>culièrement attentive au contexte langagier, permet</w:t>
      </w:r>
      <w:r w:rsidRPr="00A65480">
        <w:rPr>
          <w:i/>
          <w:lang w:eastAsia="fr-FR"/>
        </w:rPr>
        <w:t xml:space="preserve"> in fine</w:t>
      </w:r>
      <w:r w:rsidRPr="00A65480">
        <w:rPr>
          <w:lang w:eastAsia="fr-FR"/>
        </w:rPr>
        <w:t xml:space="preserve"> de comprendre l’action politique dans le mouvement pratique des arguments et, par là même, d’en mesurer le potentiel de rupture dans une « société civile » en formation.</w:t>
      </w:r>
    </w:p>
    <w:p w:rsidR="00AA693F" w:rsidRPr="00A65480" w:rsidRDefault="00AA693F" w:rsidP="00AA693F">
      <w:pPr>
        <w:spacing w:before="120" w:after="120"/>
        <w:jc w:val="both"/>
        <w:rPr>
          <w:lang w:eastAsia="fr-FR"/>
        </w:rPr>
      </w:pPr>
      <w:r w:rsidRPr="00A65480">
        <w:rPr>
          <w:lang w:eastAsia="fr-FR"/>
        </w:rPr>
        <w:t>C’est le siècle des Lumières qui introduit une novation majeure, objet du premier grand travail de Jürgen Habermas : la formation d’une opinion publique où peuvent s’échanger des arguments ratio</w:t>
      </w:r>
      <w:r w:rsidRPr="00A65480">
        <w:rPr>
          <w:lang w:eastAsia="fr-FR"/>
        </w:rPr>
        <w:t>n</w:t>
      </w:r>
      <w:r w:rsidRPr="00A65480">
        <w:rPr>
          <w:lang w:eastAsia="fr-FR"/>
        </w:rPr>
        <w:t>nels sans limites, la fameuse « sphère publique bourgeoise</w:t>
      </w:r>
      <w:r>
        <w:rPr>
          <w:lang w:eastAsia="fr-FR"/>
        </w:rPr>
        <w:t> </w:t>
      </w:r>
      <w:r>
        <w:rPr>
          <w:rStyle w:val="Appelnotedebasdep"/>
          <w:lang w:eastAsia="fr-FR"/>
        </w:rPr>
        <w:footnoteReference w:id="6"/>
      </w:r>
      <w:r w:rsidRPr="00A65480">
        <w:rPr>
          <w:lang w:eastAsia="fr-FR"/>
        </w:rPr>
        <w:t> ». Dans la même lignée, Habermas insiste sur le fait que la dynamique cult</w:t>
      </w:r>
      <w:r w:rsidRPr="00A65480">
        <w:rPr>
          <w:lang w:eastAsia="fr-FR"/>
        </w:rPr>
        <w:t>u</w:t>
      </w:r>
      <w:r w:rsidRPr="00A65480">
        <w:rPr>
          <w:lang w:eastAsia="fr-FR"/>
        </w:rPr>
        <w:t xml:space="preserve">relle </w:t>
      </w:r>
      <w:r w:rsidRPr="00A65480">
        <w:rPr>
          <w:lang w:eastAsia="fr-FR"/>
        </w:rPr>
        <w:lastRenderedPageBreak/>
        <w:t>produite par la Révolution française n’est en rien épuisée</w:t>
      </w:r>
      <w:r>
        <w:rPr>
          <w:lang w:eastAsia="fr-FR"/>
        </w:rPr>
        <w:t> </w:t>
      </w:r>
      <w:r>
        <w:rPr>
          <w:rStyle w:val="Appelnotedebasdep"/>
          <w:lang w:eastAsia="fr-FR"/>
        </w:rPr>
        <w:footnoteReference w:id="7"/>
      </w:r>
      <w:r w:rsidRPr="00A65480">
        <w:rPr>
          <w:lang w:eastAsia="fr-FR"/>
        </w:rPr>
        <w:t xml:space="preserve"> dans la mesure où il conçoit cet événement comme un « laboratoire à arg</w:t>
      </w:r>
      <w:r w:rsidRPr="00A65480">
        <w:rPr>
          <w:lang w:eastAsia="fr-FR"/>
        </w:rPr>
        <w:t>u</w:t>
      </w:r>
      <w:r w:rsidRPr="00A65480">
        <w:rPr>
          <w:lang w:eastAsia="fr-FR"/>
        </w:rPr>
        <w:t>ments », une « chaîne d’événements bardés d’arguments »</w:t>
      </w:r>
      <w:r>
        <w:rPr>
          <w:lang w:eastAsia="fr-FR"/>
        </w:rPr>
        <w:t> </w:t>
      </w:r>
      <w:r>
        <w:rPr>
          <w:rStyle w:val="Appelnotedebasdep"/>
          <w:lang w:eastAsia="fr-FR"/>
        </w:rPr>
        <w:footnoteReference w:id="8"/>
      </w:r>
      <w:r w:rsidRPr="00A65480">
        <w:rPr>
          <w:lang w:eastAsia="fr-FR"/>
        </w:rPr>
        <w:t>. En e</w:t>
      </w:r>
      <w:r w:rsidRPr="00A65480">
        <w:rPr>
          <w:lang w:eastAsia="fr-FR"/>
        </w:rPr>
        <w:t>f</w:t>
      </w:r>
      <w:r w:rsidRPr="00A65480">
        <w:rPr>
          <w:lang w:eastAsia="fr-FR"/>
        </w:rPr>
        <w:t>fet, il montre que la concurrence entre le libéralisme économique et la démocratie radicale, puis entre le libéralisme et le socialisme, procède des potentialités de la Révolution française</w:t>
      </w:r>
      <w:r>
        <w:rPr>
          <w:lang w:eastAsia="fr-FR"/>
        </w:rPr>
        <w:t> </w:t>
      </w:r>
      <w:r>
        <w:rPr>
          <w:rStyle w:val="Appelnotedebasdep"/>
          <w:lang w:eastAsia="fr-FR"/>
        </w:rPr>
        <w:footnoteReference w:id="9"/>
      </w:r>
      <w:r w:rsidRPr="00A65480">
        <w:rPr>
          <w:lang w:eastAsia="fr-FR"/>
        </w:rPr>
        <w:t>. La procédure de form</w:t>
      </w:r>
      <w:r w:rsidRPr="00A65480">
        <w:rPr>
          <w:lang w:eastAsia="fr-FR"/>
        </w:rPr>
        <w:t>a</w:t>
      </w:r>
      <w:r w:rsidRPr="00A65480">
        <w:rPr>
          <w:lang w:eastAsia="fr-FR"/>
        </w:rPr>
        <w:t>tion de l’opinion publique et de la volonté politique passe ici par une pratique intersubjective de délibération et de décision qui se concrét</w:t>
      </w:r>
      <w:r w:rsidRPr="00A65480">
        <w:rPr>
          <w:lang w:eastAsia="fr-FR"/>
        </w:rPr>
        <w:t>i</w:t>
      </w:r>
      <w:r w:rsidRPr="00A65480">
        <w:rPr>
          <w:lang w:eastAsia="fr-FR"/>
        </w:rPr>
        <w:t>se dans un « pouvoir engendré communicativement », distinct du « pouvoir appliqué administrativement ». Un tel « pouvoir commun</w:t>
      </w:r>
      <w:r w:rsidRPr="00A65480">
        <w:rPr>
          <w:lang w:eastAsia="fr-FR"/>
        </w:rPr>
        <w:t>i</w:t>
      </w:r>
      <w:r w:rsidRPr="00A65480">
        <w:rPr>
          <w:lang w:eastAsia="fr-FR"/>
        </w:rPr>
        <w:t>cationnel » marque en profondeur la modernité politique, certes avec l’émergence de procédures démocratiques de l’État de droit suscept</w:t>
      </w:r>
      <w:r w:rsidRPr="00A65480">
        <w:rPr>
          <w:lang w:eastAsia="fr-FR"/>
        </w:rPr>
        <w:t>i</w:t>
      </w:r>
      <w:r w:rsidRPr="00A65480">
        <w:rPr>
          <w:lang w:eastAsia="fr-FR"/>
        </w:rPr>
        <w:t>bles d’institutionnaliser ces formes nouvelles de communication pol</w:t>
      </w:r>
      <w:r w:rsidRPr="00A65480">
        <w:rPr>
          <w:lang w:eastAsia="fr-FR"/>
        </w:rPr>
        <w:t>i</w:t>
      </w:r>
      <w:r w:rsidRPr="00A65480">
        <w:rPr>
          <w:lang w:eastAsia="fr-FR"/>
        </w:rPr>
        <w:t>tique, mais aussi du fait de la persistance de ces formes subjectives dans un réseau communicationnel constamment réactivé par les ass</w:t>
      </w:r>
      <w:r w:rsidRPr="00A65480">
        <w:rPr>
          <w:lang w:eastAsia="fr-FR"/>
        </w:rPr>
        <w:t>o</w:t>
      </w:r>
      <w:r w:rsidRPr="00A65480">
        <w:rPr>
          <w:lang w:eastAsia="fr-FR"/>
        </w:rPr>
        <w:t>ciations libres et les sujets émergents</w:t>
      </w:r>
      <w:r>
        <w:rPr>
          <w:lang w:eastAsia="fr-FR"/>
        </w:rPr>
        <w:t> </w:t>
      </w:r>
      <w:r>
        <w:rPr>
          <w:rStyle w:val="Appelnotedebasdep"/>
          <w:lang w:eastAsia="fr-FR"/>
        </w:rPr>
        <w:footnoteReference w:id="10"/>
      </w:r>
      <w:r w:rsidRPr="00A65480">
        <w:rPr>
          <w:lang w:eastAsia="fr-FR"/>
        </w:rPr>
        <w:t>.</w:t>
      </w:r>
    </w:p>
    <w:p w:rsidR="00AA693F" w:rsidRPr="00A65480" w:rsidRDefault="00AA693F" w:rsidP="00AA693F">
      <w:pPr>
        <w:spacing w:before="120" w:after="120"/>
        <w:jc w:val="both"/>
        <w:rPr>
          <w:lang w:eastAsia="fr-FR"/>
        </w:rPr>
      </w:pPr>
      <w:r w:rsidRPr="00A65480">
        <w:rPr>
          <w:lang w:eastAsia="fr-FR"/>
        </w:rPr>
        <w:t>Cependant, le mérite d’avoir marqué au mieux le potentiel de ru</w:t>
      </w:r>
      <w:r w:rsidRPr="00A65480">
        <w:rPr>
          <w:lang w:eastAsia="fr-FR"/>
        </w:rPr>
        <w:t>p</w:t>
      </w:r>
      <w:r w:rsidRPr="00A65480">
        <w:rPr>
          <w:lang w:eastAsia="fr-FR"/>
        </w:rPr>
        <w:t>ture d’une telle réalisation pratique de la figure de l’individu-citoyen dans la pensée des Lumières revient à l’historien Reinhart Kose</w:t>
      </w:r>
      <w:r w:rsidRPr="00A65480">
        <w:rPr>
          <w:lang w:eastAsia="fr-FR"/>
        </w:rPr>
        <w:t>l</w:t>
      </w:r>
      <w:r w:rsidRPr="00A65480">
        <w:rPr>
          <w:lang w:eastAsia="fr-FR"/>
        </w:rPr>
        <w:t>leck</w:t>
      </w:r>
      <w:r>
        <w:rPr>
          <w:lang w:eastAsia="fr-FR"/>
        </w:rPr>
        <w:t> </w:t>
      </w:r>
      <w:r>
        <w:rPr>
          <w:rStyle w:val="Appelnotedebasdep"/>
          <w:lang w:eastAsia="fr-FR"/>
        </w:rPr>
        <w:footnoteReference w:id="11"/>
      </w:r>
      <w:r w:rsidRPr="00A65480">
        <w:rPr>
          <w:lang w:eastAsia="fr-FR"/>
        </w:rPr>
        <w:t xml:space="preserve"> qui particularise ainsi une période, le </w:t>
      </w:r>
      <w:r w:rsidRPr="00A65480">
        <w:rPr>
          <w:i/>
          <w:lang w:eastAsia="fr-FR"/>
        </w:rPr>
        <w:t>Sattelzeit</w:t>
      </w:r>
      <w:r w:rsidRPr="00A65480">
        <w:rPr>
          <w:lang w:eastAsia="fr-FR"/>
        </w:rPr>
        <w:t>, temps interm</w:t>
      </w:r>
      <w:r w:rsidRPr="00A65480">
        <w:rPr>
          <w:lang w:eastAsia="fr-FR"/>
        </w:rPr>
        <w:t>é</w:t>
      </w:r>
      <w:r w:rsidRPr="00A65480">
        <w:rPr>
          <w:lang w:eastAsia="fr-FR"/>
        </w:rPr>
        <w:t>diaire des années 1750-1850 où la rupture se mesure de quatre mani</w:t>
      </w:r>
      <w:r w:rsidRPr="00A65480">
        <w:rPr>
          <w:lang w:eastAsia="fr-FR"/>
        </w:rPr>
        <w:t>è</w:t>
      </w:r>
      <w:r w:rsidRPr="00A65480">
        <w:rPr>
          <w:lang w:eastAsia="fr-FR"/>
        </w:rPr>
        <w:t>res :</w:t>
      </w:r>
    </w:p>
    <w:p w:rsidR="00AA693F" w:rsidRPr="00A65480" w:rsidRDefault="00AA693F" w:rsidP="00AA693F">
      <w:pPr>
        <w:spacing w:before="120" w:after="120"/>
        <w:jc w:val="both"/>
        <w:rPr>
          <w:lang w:eastAsia="fr-FR"/>
        </w:rPr>
      </w:pPr>
    </w:p>
    <w:p w:rsidR="00AA693F" w:rsidRPr="00A65480" w:rsidRDefault="00AA693F" w:rsidP="00AA693F">
      <w:pPr>
        <w:spacing w:before="120" w:after="120"/>
        <w:ind w:left="720" w:hanging="360"/>
        <w:jc w:val="both"/>
        <w:rPr>
          <w:lang w:eastAsia="fr-FR"/>
        </w:rPr>
      </w:pPr>
      <w:r>
        <w:rPr>
          <w:lang w:eastAsia="fr-FR"/>
        </w:rPr>
        <w:t>1.</w:t>
      </w:r>
      <w:r>
        <w:rPr>
          <w:lang w:eastAsia="fr-FR"/>
        </w:rPr>
        <w:tab/>
      </w:r>
      <w:r w:rsidRPr="00A65480">
        <w:rPr>
          <w:lang w:eastAsia="fr-FR"/>
        </w:rPr>
        <w:t>par la temporalisation avec l’émergence d’une « philosophie de l’histoire</w:t>
      </w:r>
      <w:r>
        <w:rPr>
          <w:lang w:eastAsia="fr-FR"/>
        </w:rPr>
        <w:t> </w:t>
      </w:r>
      <w:r>
        <w:rPr>
          <w:rStyle w:val="Appelnotedebasdep"/>
          <w:lang w:eastAsia="fr-FR"/>
        </w:rPr>
        <w:footnoteReference w:id="12"/>
      </w:r>
      <w:r w:rsidRPr="00A65480">
        <w:rPr>
          <w:lang w:eastAsia="fr-FR"/>
        </w:rPr>
        <w:t> », et pratiquement par de nouvelles expériment</w:t>
      </w:r>
      <w:r w:rsidRPr="00A65480">
        <w:rPr>
          <w:lang w:eastAsia="fr-FR"/>
        </w:rPr>
        <w:t>a</w:t>
      </w:r>
      <w:r w:rsidRPr="00A65480">
        <w:rPr>
          <w:lang w:eastAsia="fr-FR"/>
        </w:rPr>
        <w:t>tions historiques à l’horizon des droits de l’homme et du c</w:t>
      </w:r>
      <w:r w:rsidRPr="00A65480">
        <w:rPr>
          <w:lang w:eastAsia="fr-FR"/>
        </w:rPr>
        <w:t>i</w:t>
      </w:r>
      <w:r w:rsidRPr="00A65480">
        <w:rPr>
          <w:lang w:eastAsia="fr-FR"/>
        </w:rPr>
        <w:t>toyen proclamés par la Révolution française ;</w:t>
      </w:r>
    </w:p>
    <w:p w:rsidR="00AA693F" w:rsidRPr="00A65480" w:rsidRDefault="00AA693F" w:rsidP="00AA693F">
      <w:pPr>
        <w:spacing w:before="120" w:after="120"/>
        <w:ind w:left="720" w:hanging="360"/>
        <w:jc w:val="both"/>
        <w:rPr>
          <w:lang w:eastAsia="fr-FR"/>
        </w:rPr>
      </w:pPr>
      <w:r>
        <w:rPr>
          <w:lang w:eastAsia="fr-FR"/>
        </w:rPr>
        <w:lastRenderedPageBreak/>
        <w:t>2.</w:t>
      </w:r>
      <w:r>
        <w:rPr>
          <w:lang w:eastAsia="fr-FR"/>
        </w:rPr>
        <w:tab/>
      </w:r>
      <w:r w:rsidRPr="00A65480">
        <w:rPr>
          <w:lang w:eastAsia="fr-FR"/>
        </w:rPr>
        <w:t>par la démocratisation avec l’avènement de la « nouvelle langue pol</w:t>
      </w:r>
      <w:r w:rsidRPr="00A65480">
        <w:rPr>
          <w:lang w:eastAsia="fr-FR"/>
        </w:rPr>
        <w:t>i</w:t>
      </w:r>
      <w:r w:rsidRPr="00A65480">
        <w:rPr>
          <w:lang w:eastAsia="fr-FR"/>
        </w:rPr>
        <w:t>tique » (Sieyès) qui nous situe bien sûr au cœur de la Rév</w:t>
      </w:r>
      <w:r w:rsidRPr="00A65480">
        <w:rPr>
          <w:lang w:eastAsia="fr-FR"/>
        </w:rPr>
        <w:t>o</w:t>
      </w:r>
      <w:r w:rsidRPr="00A65480">
        <w:rPr>
          <w:lang w:eastAsia="fr-FR"/>
        </w:rPr>
        <w:t>lution frança</w:t>
      </w:r>
      <w:r w:rsidRPr="00A65480">
        <w:rPr>
          <w:lang w:eastAsia="fr-FR"/>
        </w:rPr>
        <w:t>i</w:t>
      </w:r>
      <w:r w:rsidRPr="00A65480">
        <w:rPr>
          <w:lang w:eastAsia="fr-FR"/>
        </w:rPr>
        <w:t>se ;</w:t>
      </w:r>
    </w:p>
    <w:p w:rsidR="00AA693F" w:rsidRPr="00A65480" w:rsidRDefault="00AA693F" w:rsidP="00AA693F">
      <w:pPr>
        <w:spacing w:before="120" w:after="120"/>
        <w:ind w:left="720" w:hanging="360"/>
        <w:jc w:val="both"/>
        <w:rPr>
          <w:lang w:eastAsia="fr-FR"/>
        </w:rPr>
      </w:pPr>
      <w:r>
        <w:rPr>
          <w:lang w:eastAsia="fr-FR"/>
        </w:rPr>
        <w:t>3.</w:t>
      </w:r>
      <w:r>
        <w:rPr>
          <w:lang w:eastAsia="fr-FR"/>
        </w:rPr>
        <w:tab/>
      </w:r>
      <w:r w:rsidRPr="00A65480">
        <w:rPr>
          <w:lang w:eastAsia="fr-FR"/>
        </w:rPr>
        <w:t>par l’idéologisation avec l’apparition de notions-concepts à v</w:t>
      </w:r>
      <w:r w:rsidRPr="00A65480">
        <w:rPr>
          <w:lang w:eastAsia="fr-FR"/>
        </w:rPr>
        <w:t>a</w:t>
      </w:r>
      <w:r w:rsidRPr="00A65480">
        <w:rPr>
          <w:lang w:eastAsia="fr-FR"/>
        </w:rPr>
        <w:t>leur généralisante (« l’histoire », « la liberté », « la révol</w:t>
      </w:r>
      <w:r w:rsidRPr="00A65480">
        <w:rPr>
          <w:lang w:eastAsia="fr-FR"/>
        </w:rPr>
        <w:t>u</w:t>
      </w:r>
      <w:r w:rsidRPr="00A65480">
        <w:rPr>
          <w:lang w:eastAsia="fr-FR"/>
        </w:rPr>
        <w:t>tion »…) du « nouvel ordre des choses »</w:t>
      </w:r>
      <w:r>
        <w:rPr>
          <w:lang w:eastAsia="fr-FR"/>
        </w:rPr>
        <w:t> </w:t>
      </w:r>
      <w:r>
        <w:rPr>
          <w:rStyle w:val="Appelnotedebasdep"/>
          <w:lang w:eastAsia="fr-FR"/>
        </w:rPr>
        <w:footnoteReference w:id="13"/>
      </w:r>
      <w:r w:rsidRPr="00A65480">
        <w:rPr>
          <w:lang w:eastAsia="fr-FR"/>
        </w:rPr>
        <w:t> ;</w:t>
      </w:r>
    </w:p>
    <w:p w:rsidR="00AA693F" w:rsidRPr="00A65480" w:rsidRDefault="00AA693F" w:rsidP="00AA693F">
      <w:pPr>
        <w:spacing w:before="120" w:after="120"/>
        <w:ind w:left="720" w:hanging="360"/>
        <w:jc w:val="both"/>
        <w:rPr>
          <w:lang w:eastAsia="fr-FR"/>
        </w:rPr>
      </w:pPr>
      <w:r>
        <w:rPr>
          <w:lang w:eastAsia="fr-FR"/>
        </w:rPr>
        <w:t>4.</w:t>
      </w:r>
      <w:r>
        <w:rPr>
          <w:lang w:eastAsia="fr-FR"/>
        </w:rPr>
        <w:tab/>
      </w:r>
      <w:r w:rsidRPr="00A65480">
        <w:rPr>
          <w:lang w:eastAsia="fr-FR"/>
        </w:rPr>
        <w:t>par la politisation avec la formation d’un univers de groupes politiques antagonistes, un temps pris sous la figure général</w:t>
      </w:r>
      <w:r w:rsidRPr="00A65480">
        <w:rPr>
          <w:lang w:eastAsia="fr-FR"/>
        </w:rPr>
        <w:t>i</w:t>
      </w:r>
      <w:r w:rsidRPr="00A65480">
        <w:rPr>
          <w:lang w:eastAsia="fr-FR"/>
        </w:rPr>
        <w:t>sante du jac</w:t>
      </w:r>
      <w:r w:rsidRPr="00A65480">
        <w:rPr>
          <w:lang w:eastAsia="fr-FR"/>
        </w:rPr>
        <w:t>o</w:t>
      </w:r>
      <w:r w:rsidRPr="00A65480">
        <w:rPr>
          <w:lang w:eastAsia="fr-FR"/>
        </w:rPr>
        <w:t>binisme</w:t>
      </w:r>
      <w:r>
        <w:rPr>
          <w:lang w:eastAsia="fr-FR"/>
        </w:rPr>
        <w:t> </w:t>
      </w:r>
      <w:r>
        <w:rPr>
          <w:rStyle w:val="Appelnotedebasdep"/>
          <w:lang w:eastAsia="fr-FR"/>
        </w:rPr>
        <w:footnoteReference w:id="14"/>
      </w:r>
      <w:r w:rsidRPr="00A65480">
        <w:rPr>
          <w:lang w:eastAsia="fr-FR"/>
        </w:rPr>
        <w:t>.</w:t>
      </w:r>
    </w:p>
    <w:p w:rsidR="00AA693F" w:rsidRDefault="00AA693F" w:rsidP="00AA693F">
      <w:pPr>
        <w:spacing w:before="120" w:after="120"/>
        <w:jc w:val="both"/>
        <w:rPr>
          <w:lang w:eastAsia="fr-FR"/>
        </w:rPr>
      </w:pPr>
    </w:p>
    <w:p w:rsidR="00AA693F" w:rsidRDefault="00AA693F" w:rsidP="00AA693F">
      <w:pPr>
        <w:spacing w:before="120" w:after="120"/>
        <w:jc w:val="both"/>
        <w:rPr>
          <w:lang w:eastAsia="fr-FR"/>
        </w:rPr>
      </w:pPr>
      <w:r w:rsidRPr="00A65480">
        <w:rPr>
          <w:lang w:eastAsia="fr-FR"/>
        </w:rPr>
        <w:t>Remarquons enfin que la mise en argument des concepts dans le mouvement politique ne relève plus désormais de la seule conjugaison entre rationalité et rhétorique, mais que le poids proprement dit de la la</w:t>
      </w:r>
      <w:r w:rsidRPr="00A65480">
        <w:rPr>
          <w:lang w:eastAsia="fr-FR"/>
        </w:rPr>
        <w:t>n</w:t>
      </w:r>
      <w:r w:rsidRPr="00A65480">
        <w:rPr>
          <w:lang w:eastAsia="fr-FR"/>
        </w:rPr>
        <w:t>gue s’accentue ne serait-ce qu’au niveau du travail néologique. Les li</w:t>
      </w:r>
      <w:r w:rsidRPr="00A65480">
        <w:rPr>
          <w:lang w:eastAsia="fr-FR"/>
        </w:rPr>
        <w:t>n</w:t>
      </w:r>
      <w:r w:rsidRPr="00A65480">
        <w:rPr>
          <w:lang w:eastAsia="fr-FR"/>
        </w:rPr>
        <w:t xml:space="preserve">guistes parlent alors de la prééminence, au </w:t>
      </w:r>
      <w:r w:rsidRPr="00D17F4B">
        <w:rPr>
          <w:caps/>
          <w:lang w:eastAsia="fr-FR"/>
        </w:rPr>
        <w:t>xviii</w:t>
      </w:r>
      <w:r w:rsidRPr="00A65480">
        <w:rPr>
          <w:vertAlign w:val="superscript"/>
          <w:lang w:eastAsia="fr-FR"/>
        </w:rPr>
        <w:t>e</w:t>
      </w:r>
      <w:r w:rsidRPr="00A65480">
        <w:rPr>
          <w:lang w:eastAsia="fr-FR"/>
        </w:rPr>
        <w:t> siècle, d’un « sujet pol</w:t>
      </w:r>
      <w:r w:rsidRPr="00A65480">
        <w:rPr>
          <w:lang w:eastAsia="fr-FR"/>
        </w:rPr>
        <w:t>i</w:t>
      </w:r>
      <w:r w:rsidRPr="00A65480">
        <w:rPr>
          <w:lang w:eastAsia="fr-FR"/>
        </w:rPr>
        <w:t>tique de la langue » entre normes et usages</w:t>
      </w:r>
      <w:r>
        <w:rPr>
          <w:lang w:eastAsia="fr-FR"/>
        </w:rPr>
        <w:t> </w:t>
      </w:r>
      <w:r>
        <w:rPr>
          <w:rStyle w:val="Appelnotedebasdep"/>
          <w:lang w:eastAsia="fr-FR"/>
        </w:rPr>
        <w:footnoteReference w:id="15"/>
      </w:r>
      <w:r w:rsidRPr="00A65480">
        <w:rPr>
          <w:lang w:eastAsia="fr-FR"/>
        </w:rPr>
        <w:t xml:space="preserve"> au titre du français déclaré langue commune. Ainsi se mettent en place, tout au long du siècle des Lumières, les conditions sémiotiques de la form</w:t>
      </w:r>
      <w:r w:rsidRPr="00A65480">
        <w:rPr>
          <w:lang w:eastAsia="fr-FR"/>
        </w:rPr>
        <w:t>a</w:t>
      </w:r>
      <w:r w:rsidRPr="00A65480">
        <w:rPr>
          <w:lang w:eastAsia="fr-FR"/>
        </w:rPr>
        <w:t>tion de l’individu-nation au regard du français, langue nationale</w:t>
      </w:r>
      <w:r>
        <w:rPr>
          <w:lang w:eastAsia="fr-FR"/>
        </w:rPr>
        <w:t> </w:t>
      </w:r>
      <w:r>
        <w:rPr>
          <w:rStyle w:val="Appelnotedebasdep"/>
          <w:lang w:eastAsia="fr-FR"/>
        </w:rPr>
        <w:footnoteReference w:id="16"/>
      </w:r>
      <w:r w:rsidRPr="00A65480">
        <w:rPr>
          <w:lang w:eastAsia="fr-FR"/>
        </w:rPr>
        <w:t>.</w:t>
      </w:r>
    </w:p>
    <w:p w:rsidR="00AA693F" w:rsidRPr="00A65480" w:rsidRDefault="00AA693F" w:rsidP="00AA693F">
      <w:pPr>
        <w:spacing w:before="120" w:after="120"/>
        <w:jc w:val="both"/>
        <w:rPr>
          <w:lang w:eastAsia="fr-FR"/>
        </w:rPr>
      </w:pPr>
    </w:p>
    <w:p w:rsidR="00AA693F" w:rsidRPr="00A65480" w:rsidRDefault="00AA693F" w:rsidP="00AA693F">
      <w:pPr>
        <w:pStyle w:val="planche"/>
        <w:rPr>
          <w:lang w:eastAsia="fr-FR"/>
        </w:rPr>
      </w:pPr>
      <w:bookmarkStart w:id="5" w:name="Modernite_pol_2"/>
      <w:r>
        <w:rPr>
          <w:lang w:eastAsia="fr-FR"/>
        </w:rPr>
        <w:t>La seconde modernité :</w:t>
      </w:r>
      <w:r>
        <w:rPr>
          <w:lang w:eastAsia="fr-FR"/>
        </w:rPr>
        <w:br/>
      </w:r>
      <w:r w:rsidRPr="00A65480">
        <w:rPr>
          <w:lang w:eastAsia="fr-FR"/>
        </w:rPr>
        <w:t>l’avènement de l’individu m</w:t>
      </w:r>
      <w:r w:rsidRPr="00A65480">
        <w:rPr>
          <w:lang w:eastAsia="fr-FR"/>
        </w:rPr>
        <w:t>o</w:t>
      </w:r>
      <w:r w:rsidRPr="00A65480">
        <w:rPr>
          <w:lang w:eastAsia="fr-FR"/>
        </w:rPr>
        <w:t>derne</w:t>
      </w:r>
    </w:p>
    <w:bookmarkEnd w:id="5"/>
    <w:p w:rsidR="00AA693F" w:rsidRDefault="00AA693F" w:rsidP="00AA693F">
      <w:pPr>
        <w:spacing w:before="120" w:after="120"/>
        <w:jc w:val="both"/>
        <w:rPr>
          <w:lang w:eastAsia="fr-FR"/>
        </w:rPr>
      </w:pPr>
    </w:p>
    <w:p w:rsidR="00AA693F" w:rsidRPr="00384B20" w:rsidRDefault="00AA693F" w:rsidP="00AA693F">
      <w:pPr>
        <w:ind w:right="90" w:firstLine="0"/>
        <w:jc w:val="both"/>
        <w:rPr>
          <w:sz w:val="20"/>
        </w:rPr>
      </w:pPr>
      <w:hyperlink w:anchor="tdm" w:history="1">
        <w:r w:rsidRPr="00384B20">
          <w:rPr>
            <w:rStyle w:val="Lienhypertexte"/>
            <w:sz w:val="20"/>
          </w:rPr>
          <w:t>Retour à la table des matières</w:t>
        </w:r>
      </w:hyperlink>
    </w:p>
    <w:p w:rsidR="00AA693F" w:rsidRPr="00A65480" w:rsidRDefault="00AA693F" w:rsidP="00AA693F">
      <w:pPr>
        <w:spacing w:before="120" w:after="120"/>
        <w:jc w:val="both"/>
        <w:rPr>
          <w:lang w:eastAsia="fr-FR"/>
        </w:rPr>
      </w:pPr>
      <w:r w:rsidRPr="00A65480">
        <w:rPr>
          <w:lang w:eastAsia="fr-FR"/>
        </w:rPr>
        <w:t>C’est la Révolution française au sens large (1770-1815) qui conce</w:t>
      </w:r>
      <w:r w:rsidRPr="00A65480">
        <w:rPr>
          <w:lang w:eastAsia="fr-FR"/>
        </w:rPr>
        <w:t>n</w:t>
      </w:r>
      <w:r w:rsidRPr="00A65480">
        <w:rPr>
          <w:lang w:eastAsia="fr-FR"/>
        </w:rPr>
        <w:t>tre le plus fort du potentiel de rupture au sein de la modernité politique, du moins si l’on suit les travaux de Reinhart Koselleck, François Furet, Florence Gauthier, Michel Vovelle et d’autres.</w:t>
      </w:r>
    </w:p>
    <w:p w:rsidR="00AA693F" w:rsidRPr="00A65480" w:rsidRDefault="00AA693F" w:rsidP="00AA693F">
      <w:pPr>
        <w:spacing w:before="120" w:after="120"/>
        <w:jc w:val="both"/>
        <w:rPr>
          <w:lang w:eastAsia="fr-FR"/>
        </w:rPr>
      </w:pPr>
      <w:r w:rsidRPr="00A65480">
        <w:rPr>
          <w:lang w:eastAsia="fr-FR"/>
        </w:rPr>
        <w:lastRenderedPageBreak/>
        <w:t>De fait, une partie de l’œuvre de l’historien français François F</w:t>
      </w:r>
      <w:r w:rsidRPr="00A65480">
        <w:rPr>
          <w:lang w:eastAsia="fr-FR"/>
        </w:rPr>
        <w:t>u</w:t>
      </w:r>
      <w:r w:rsidRPr="00A65480">
        <w:rPr>
          <w:lang w:eastAsia="fr-FR"/>
        </w:rPr>
        <w:t>ret</w:t>
      </w:r>
      <w:r>
        <w:rPr>
          <w:lang w:eastAsia="fr-FR"/>
        </w:rPr>
        <w:t> </w:t>
      </w:r>
      <w:r>
        <w:rPr>
          <w:rStyle w:val="Appelnotedebasdep"/>
          <w:lang w:eastAsia="fr-FR"/>
        </w:rPr>
        <w:footnoteReference w:id="17"/>
      </w:r>
      <w:r w:rsidRPr="00A65480">
        <w:rPr>
          <w:lang w:eastAsia="fr-FR"/>
        </w:rPr>
        <w:t xml:space="preserve"> est centrée sur le problème de la radicalité de 1789, le jacob</w:t>
      </w:r>
      <w:r w:rsidRPr="00A65480">
        <w:rPr>
          <w:lang w:eastAsia="fr-FR"/>
        </w:rPr>
        <w:t>i</w:t>
      </w:r>
      <w:r w:rsidRPr="00A65480">
        <w:rPr>
          <w:lang w:eastAsia="fr-FR"/>
        </w:rPr>
        <w:t>nisme n’introduisant, selon lui, qu’une rupture seconde, voire une d</w:t>
      </w:r>
      <w:r w:rsidRPr="00A65480">
        <w:rPr>
          <w:lang w:eastAsia="fr-FR"/>
        </w:rPr>
        <w:t>é</w:t>
      </w:r>
      <w:r w:rsidRPr="00A65480">
        <w:rPr>
          <w:lang w:eastAsia="fr-FR"/>
        </w:rPr>
        <w:t>rive par rapport à l’extrême nouveauté de la « langue politique » de 1789. Anal</w:t>
      </w:r>
      <w:r w:rsidRPr="00A65480">
        <w:rPr>
          <w:lang w:eastAsia="fr-FR"/>
        </w:rPr>
        <w:t>y</w:t>
      </w:r>
      <w:r w:rsidRPr="00A65480">
        <w:rPr>
          <w:lang w:eastAsia="fr-FR"/>
        </w:rPr>
        <w:t>sant avec une grande finesse le travail des députés des états généraux, leur invention de l’Assemblée nationale — l’expression et son concept —, Furet montre comment l’individu s’impose au centre du nouvel ordre social, donc en quoi se manifeste « l’avènement de l’individu moderne, autonome, égal à n’importe quel autre individu</w:t>
      </w:r>
      <w:r>
        <w:rPr>
          <w:lang w:eastAsia="fr-FR"/>
        </w:rPr>
        <w:t> </w:t>
      </w:r>
      <w:r>
        <w:rPr>
          <w:rStyle w:val="Appelnotedebasdep"/>
          <w:lang w:eastAsia="fr-FR"/>
        </w:rPr>
        <w:footnoteReference w:id="18"/>
      </w:r>
      <w:r w:rsidRPr="00A65480">
        <w:rPr>
          <w:lang w:eastAsia="fr-FR"/>
        </w:rPr>
        <w:t> ».</w:t>
      </w:r>
    </w:p>
    <w:p w:rsidR="00AA693F" w:rsidRPr="00A65480" w:rsidRDefault="00AA693F" w:rsidP="00AA693F">
      <w:pPr>
        <w:spacing w:before="120" w:after="120"/>
        <w:jc w:val="both"/>
        <w:rPr>
          <w:lang w:eastAsia="fr-FR"/>
        </w:rPr>
      </w:pPr>
      <w:r w:rsidRPr="00A65480">
        <w:rPr>
          <w:lang w:eastAsia="fr-FR"/>
        </w:rPr>
        <w:t>La figure de l’individu-citoyen, mise en place par les Républ</w:t>
      </w:r>
      <w:r w:rsidRPr="00A65480">
        <w:rPr>
          <w:lang w:eastAsia="fr-FR"/>
        </w:rPr>
        <w:t>i</w:t>
      </w:r>
      <w:r w:rsidRPr="00A65480">
        <w:rPr>
          <w:lang w:eastAsia="fr-FR"/>
        </w:rPr>
        <w:t>cains florentins, toucherait alors à son achèvement : sa singularité même est preuve d’universalité. L’unité de la nation procède d’une mise en co</w:t>
      </w:r>
      <w:r w:rsidRPr="00A65480">
        <w:rPr>
          <w:lang w:eastAsia="fr-FR"/>
        </w:rPr>
        <w:t>m</w:t>
      </w:r>
      <w:r w:rsidRPr="00A65480">
        <w:rPr>
          <w:lang w:eastAsia="fr-FR"/>
        </w:rPr>
        <w:t>mun des droits réciproques des individus ; mais chacun conserve sa libe</w:t>
      </w:r>
      <w:r w:rsidRPr="00A65480">
        <w:rPr>
          <w:lang w:eastAsia="fr-FR"/>
        </w:rPr>
        <w:t>r</w:t>
      </w:r>
      <w:r w:rsidRPr="00A65480">
        <w:rPr>
          <w:lang w:eastAsia="fr-FR"/>
        </w:rPr>
        <w:t>té, n’en concède que les éléments communs avec d’autres pour amplifier ses moyens d’accès au bonheur social.</w:t>
      </w:r>
    </w:p>
    <w:p w:rsidR="00AA693F" w:rsidRPr="00A65480" w:rsidRDefault="00AA693F" w:rsidP="00AA693F">
      <w:pPr>
        <w:spacing w:before="120" w:after="120"/>
        <w:jc w:val="both"/>
        <w:rPr>
          <w:lang w:eastAsia="fr-FR"/>
        </w:rPr>
      </w:pPr>
      <w:r w:rsidRPr="00A65480">
        <w:rPr>
          <w:lang w:eastAsia="fr-FR"/>
        </w:rPr>
        <w:t>Le principal théoricien de la « nouvelle science politique », équiv</w:t>
      </w:r>
      <w:r w:rsidRPr="00A65480">
        <w:rPr>
          <w:lang w:eastAsia="fr-FR"/>
        </w:rPr>
        <w:t>a</w:t>
      </w:r>
      <w:r w:rsidRPr="00A65480">
        <w:rPr>
          <w:lang w:eastAsia="fr-FR"/>
        </w:rPr>
        <w:t>lente à une « langue politique » inédite, n’est autre que le lég</w:t>
      </w:r>
      <w:r w:rsidRPr="00A65480">
        <w:rPr>
          <w:lang w:eastAsia="fr-FR"/>
        </w:rPr>
        <w:t>i</w:t>
      </w:r>
      <w:r w:rsidRPr="00A65480">
        <w:rPr>
          <w:lang w:eastAsia="fr-FR"/>
        </w:rPr>
        <w:t>slateur Sieyès. Les travaux en cours sur ses écrits récemment publiés</w:t>
      </w:r>
      <w:r>
        <w:rPr>
          <w:lang w:eastAsia="fr-FR"/>
        </w:rPr>
        <w:t> </w:t>
      </w:r>
      <w:r>
        <w:rPr>
          <w:rStyle w:val="Appelnotedebasdep"/>
          <w:lang w:eastAsia="fr-FR"/>
        </w:rPr>
        <w:footnoteReference w:id="19"/>
      </w:r>
      <w:r w:rsidRPr="00A65480">
        <w:rPr>
          <w:lang w:eastAsia="fr-FR"/>
        </w:rPr>
        <w:t xml:space="preserve"> ont so</w:t>
      </w:r>
      <w:r w:rsidRPr="00A65480">
        <w:rPr>
          <w:lang w:eastAsia="fr-FR"/>
        </w:rPr>
        <w:t>u</w:t>
      </w:r>
      <w:r w:rsidRPr="00A65480">
        <w:rPr>
          <w:lang w:eastAsia="fr-FR"/>
        </w:rPr>
        <w:t>ligné la complexité de sa conception de la modernité politique</w:t>
      </w:r>
      <w:r>
        <w:rPr>
          <w:lang w:eastAsia="fr-FR"/>
        </w:rPr>
        <w:t> </w:t>
      </w:r>
      <w:r>
        <w:rPr>
          <w:rStyle w:val="Appelnotedebasdep"/>
          <w:lang w:eastAsia="fr-FR"/>
        </w:rPr>
        <w:footnoteReference w:id="20"/>
      </w:r>
      <w:r w:rsidRPr="00A65480">
        <w:rPr>
          <w:lang w:eastAsia="fr-FR"/>
        </w:rPr>
        <w:t>. Certes, il s’agit de faire rupture avec le passé au nom du refus de l’histoire et au titre d’un devoir-être ouvert vers le futur. Mais la no</w:t>
      </w:r>
      <w:r w:rsidRPr="00A65480">
        <w:rPr>
          <w:lang w:eastAsia="fr-FR"/>
        </w:rPr>
        <w:t>u</w:t>
      </w:r>
      <w:r w:rsidRPr="00A65480">
        <w:rPr>
          <w:lang w:eastAsia="fr-FR"/>
        </w:rPr>
        <w:t>velle « science pol</w:t>
      </w:r>
      <w:r w:rsidRPr="00A65480">
        <w:rPr>
          <w:lang w:eastAsia="fr-FR"/>
        </w:rPr>
        <w:t>i</w:t>
      </w:r>
      <w:r w:rsidRPr="00A65480">
        <w:rPr>
          <w:lang w:eastAsia="fr-FR"/>
        </w:rPr>
        <w:t>tique », que Sieyès pense un temps définir dans sa dimension pratique par le mot de « socialisme »</w:t>
      </w:r>
      <w:r>
        <w:rPr>
          <w:lang w:eastAsia="fr-FR"/>
        </w:rPr>
        <w:t> </w:t>
      </w:r>
      <w:r>
        <w:rPr>
          <w:rStyle w:val="Appelnotedebasdep"/>
          <w:lang w:eastAsia="fr-FR"/>
        </w:rPr>
        <w:footnoteReference w:id="21"/>
      </w:r>
      <w:r w:rsidRPr="00A65480">
        <w:rPr>
          <w:lang w:eastAsia="fr-FR"/>
        </w:rPr>
        <w:t xml:space="preserve"> (il en est donc l’inventeur en français » !), avant de choisir l’expression d’« art s</w:t>
      </w:r>
      <w:r w:rsidRPr="00A65480">
        <w:rPr>
          <w:lang w:eastAsia="fr-FR"/>
        </w:rPr>
        <w:t>o</w:t>
      </w:r>
      <w:r w:rsidRPr="00A65480">
        <w:rPr>
          <w:lang w:eastAsia="fr-FR"/>
        </w:rPr>
        <w:t>cial », relève aussi d’une « métaphysique politique », d’une métaph</w:t>
      </w:r>
      <w:r w:rsidRPr="00A65480">
        <w:rPr>
          <w:lang w:eastAsia="fr-FR"/>
        </w:rPr>
        <w:t>y</w:t>
      </w:r>
      <w:r w:rsidRPr="00A65480">
        <w:rPr>
          <w:lang w:eastAsia="fr-FR"/>
        </w:rPr>
        <w:t>sique du moi et de son activ</w:t>
      </w:r>
      <w:r w:rsidRPr="00A65480">
        <w:rPr>
          <w:lang w:eastAsia="fr-FR"/>
        </w:rPr>
        <w:t>i</w:t>
      </w:r>
      <w:r w:rsidRPr="00A65480">
        <w:rPr>
          <w:lang w:eastAsia="fr-FR"/>
        </w:rPr>
        <w:t>té.</w:t>
      </w:r>
    </w:p>
    <w:p w:rsidR="00AA693F" w:rsidRPr="00A65480" w:rsidRDefault="00AA693F" w:rsidP="00AA693F">
      <w:pPr>
        <w:spacing w:before="120" w:after="120"/>
        <w:jc w:val="both"/>
        <w:rPr>
          <w:lang w:eastAsia="fr-FR"/>
        </w:rPr>
      </w:pPr>
      <w:r w:rsidRPr="00A65480">
        <w:rPr>
          <w:lang w:eastAsia="fr-FR"/>
        </w:rPr>
        <w:lastRenderedPageBreak/>
        <w:t>Le nouvel ordre social s’ancre donc dans la métaphysique m</w:t>
      </w:r>
      <w:r w:rsidRPr="00A65480">
        <w:rPr>
          <w:lang w:eastAsia="fr-FR"/>
        </w:rPr>
        <w:t>o</w:t>
      </w:r>
      <w:r w:rsidRPr="00A65480">
        <w:rPr>
          <w:lang w:eastAsia="fr-FR"/>
        </w:rPr>
        <w:t>derne du sujet à tel point que Sieyès rejette jusqu’en l’an III la notion de souv</w:t>
      </w:r>
      <w:r w:rsidRPr="00A65480">
        <w:rPr>
          <w:lang w:eastAsia="fr-FR"/>
        </w:rPr>
        <w:t>e</w:t>
      </w:r>
      <w:r w:rsidRPr="00A65480">
        <w:rPr>
          <w:lang w:eastAsia="fr-FR"/>
        </w:rPr>
        <w:t>raineté, jugée trop proche de la théorie de l’absolutisme, donc inapte à rendre compte de la genèse de l’individu moderne. L’ordre de la loi, de « la centralité législative » selon l’expression des mont</w:t>
      </w:r>
      <w:r w:rsidRPr="00A65480">
        <w:rPr>
          <w:lang w:eastAsia="fr-FR"/>
        </w:rPr>
        <w:t>a</w:t>
      </w:r>
      <w:r w:rsidRPr="00A65480">
        <w:rPr>
          <w:lang w:eastAsia="fr-FR"/>
        </w:rPr>
        <w:t>gnards, procède ici d’un dispositif socio-historique ancré dans un o</w:t>
      </w:r>
      <w:r w:rsidRPr="00A65480">
        <w:rPr>
          <w:lang w:eastAsia="fr-FR"/>
        </w:rPr>
        <w:t>r</w:t>
      </w:r>
      <w:r w:rsidRPr="00A65480">
        <w:rPr>
          <w:lang w:eastAsia="fr-FR"/>
        </w:rPr>
        <w:t>dre métaphysique. Paradoxe apparent donc d’une modernité politique qui se pense comme rupture dans une approche de la subjectivité du sujet en tant qu’instance fondatrice des passions, des actions et des connaissances, donc de l’agir et du savoir.</w:t>
      </w:r>
    </w:p>
    <w:p w:rsidR="00AA693F" w:rsidRPr="00A65480" w:rsidRDefault="00AA693F" w:rsidP="00AA693F">
      <w:pPr>
        <w:spacing w:before="120" w:after="120"/>
        <w:jc w:val="both"/>
        <w:rPr>
          <w:lang w:eastAsia="fr-FR"/>
        </w:rPr>
      </w:pPr>
      <w:r w:rsidRPr="00A65480">
        <w:rPr>
          <w:lang w:eastAsia="fr-FR"/>
        </w:rPr>
        <w:t>La biographie intellectuelle de Sieyès sur plus de quarante ans, c’est-à-dire de 1773 à 1816, permet alors de décrire toute une série de figures du sujet annonciatrices, puis constitutives, de la modernité p</w:t>
      </w:r>
      <w:r w:rsidRPr="00A65480">
        <w:rPr>
          <w:lang w:eastAsia="fr-FR"/>
        </w:rPr>
        <w:t>o</w:t>
      </w:r>
      <w:r w:rsidRPr="00A65480">
        <w:rPr>
          <w:lang w:eastAsia="fr-FR"/>
        </w:rPr>
        <w:t>lit</w:t>
      </w:r>
      <w:r w:rsidRPr="00A65480">
        <w:rPr>
          <w:lang w:eastAsia="fr-FR"/>
        </w:rPr>
        <w:t>i</w:t>
      </w:r>
      <w:r w:rsidRPr="00A65480">
        <w:rPr>
          <w:lang w:eastAsia="fr-FR"/>
        </w:rPr>
        <w:t>que :</w:t>
      </w:r>
    </w:p>
    <w:p w:rsidR="00AA693F" w:rsidRDefault="00AA693F" w:rsidP="00AA693F">
      <w:pPr>
        <w:spacing w:before="120" w:after="120"/>
        <w:jc w:val="both"/>
        <w:rPr>
          <w:lang w:eastAsia="fr-FR"/>
        </w:rPr>
      </w:pPr>
    </w:p>
    <w:p w:rsidR="00AA693F" w:rsidRPr="00A65480" w:rsidRDefault="00AA693F" w:rsidP="00AA693F">
      <w:pPr>
        <w:spacing w:before="120" w:after="120"/>
        <w:ind w:left="720" w:hanging="360"/>
        <w:jc w:val="both"/>
        <w:rPr>
          <w:lang w:eastAsia="fr-FR"/>
        </w:rPr>
      </w:pPr>
      <w:r>
        <w:rPr>
          <w:lang w:eastAsia="fr-FR"/>
        </w:rPr>
        <w:t>*</w:t>
      </w:r>
      <w:r>
        <w:rPr>
          <w:lang w:eastAsia="fr-FR"/>
        </w:rPr>
        <w:tab/>
      </w:r>
      <w:r w:rsidRPr="00A65480">
        <w:rPr>
          <w:lang w:eastAsia="fr-FR"/>
        </w:rPr>
        <w:t>Il s’agit d’abord, dans les textes de jeunesse, du spectateur ph</w:t>
      </w:r>
      <w:r w:rsidRPr="00A65480">
        <w:rPr>
          <w:lang w:eastAsia="fr-FR"/>
        </w:rPr>
        <w:t>i</w:t>
      </w:r>
      <w:r w:rsidRPr="00A65480">
        <w:rPr>
          <w:lang w:eastAsia="fr-FR"/>
        </w:rPr>
        <w:t>losophe qui perçoit le développement du moi — à la différence du moi limité dans sa conscience — jusqu’à son organisation ultime, qui peut donc rendre compte du potentiel de rupture du mouvement de réalis</w:t>
      </w:r>
      <w:r w:rsidRPr="00A65480">
        <w:rPr>
          <w:lang w:eastAsia="fr-FR"/>
        </w:rPr>
        <w:t>a</w:t>
      </w:r>
      <w:r w:rsidRPr="00A65480">
        <w:rPr>
          <w:lang w:eastAsia="fr-FR"/>
        </w:rPr>
        <w:t>tion de la liberté individuelle.</w:t>
      </w:r>
    </w:p>
    <w:p w:rsidR="00AA693F" w:rsidRPr="00A65480" w:rsidRDefault="00AA693F" w:rsidP="00AA693F">
      <w:pPr>
        <w:spacing w:before="120" w:after="120"/>
        <w:ind w:left="720" w:hanging="360"/>
        <w:jc w:val="both"/>
        <w:rPr>
          <w:lang w:eastAsia="fr-FR"/>
        </w:rPr>
      </w:pPr>
      <w:r>
        <w:rPr>
          <w:lang w:eastAsia="fr-FR"/>
        </w:rPr>
        <w:t>*</w:t>
      </w:r>
      <w:r>
        <w:rPr>
          <w:lang w:eastAsia="fr-FR"/>
        </w:rPr>
        <w:tab/>
      </w:r>
      <w:r w:rsidRPr="00A65480">
        <w:rPr>
          <w:lang w:eastAsia="fr-FR"/>
        </w:rPr>
        <w:t>Puis apparaît la figure de l’écrivain patriote qui fait passer, par l’usage de métaphores, les notions métaphysiques de la « science pol</w:t>
      </w:r>
      <w:r w:rsidRPr="00A65480">
        <w:rPr>
          <w:lang w:eastAsia="fr-FR"/>
        </w:rPr>
        <w:t>i</w:t>
      </w:r>
      <w:r w:rsidRPr="00A65480">
        <w:rPr>
          <w:lang w:eastAsia="fr-FR"/>
        </w:rPr>
        <w:t xml:space="preserve">tique » dans le sens commun ; ces notions qui nous sont aujourd’hui si familières de </w:t>
      </w:r>
      <w:r w:rsidRPr="00A65480">
        <w:rPr>
          <w:i/>
          <w:lang w:eastAsia="fr-FR"/>
        </w:rPr>
        <w:t>nation, constitution, a</w:t>
      </w:r>
      <w:r w:rsidRPr="00A65480">
        <w:rPr>
          <w:i/>
          <w:lang w:eastAsia="fr-FR"/>
        </w:rPr>
        <w:t>s</w:t>
      </w:r>
      <w:r w:rsidRPr="00A65480">
        <w:rPr>
          <w:i/>
          <w:lang w:eastAsia="fr-FR"/>
        </w:rPr>
        <w:t>semblée nationale, pouvoir lég</w:t>
      </w:r>
      <w:r w:rsidRPr="00A65480">
        <w:rPr>
          <w:i/>
          <w:lang w:eastAsia="fr-FR"/>
        </w:rPr>
        <w:t>i</w:t>
      </w:r>
      <w:r w:rsidRPr="00A65480">
        <w:rPr>
          <w:i/>
          <w:lang w:eastAsia="fr-FR"/>
        </w:rPr>
        <w:t>slatif,</w:t>
      </w:r>
      <w:r w:rsidRPr="00A65480">
        <w:rPr>
          <w:lang w:eastAsia="fr-FR"/>
        </w:rPr>
        <w:t xml:space="preserve"> etc.</w:t>
      </w:r>
    </w:p>
    <w:p w:rsidR="00AA693F" w:rsidRPr="00A65480" w:rsidRDefault="00AA693F" w:rsidP="00AA693F">
      <w:pPr>
        <w:spacing w:before="120" w:after="120"/>
        <w:ind w:left="720" w:hanging="360"/>
        <w:jc w:val="both"/>
        <w:rPr>
          <w:lang w:eastAsia="fr-FR"/>
        </w:rPr>
      </w:pPr>
      <w:r>
        <w:rPr>
          <w:lang w:eastAsia="fr-FR"/>
        </w:rPr>
        <w:t>*</w:t>
      </w:r>
      <w:r>
        <w:rPr>
          <w:lang w:eastAsia="fr-FR"/>
        </w:rPr>
        <w:tab/>
      </w:r>
      <w:r w:rsidRPr="00A65480">
        <w:rPr>
          <w:lang w:eastAsia="fr-FR"/>
        </w:rPr>
        <w:t>Enfin, le cours même des événements révolutionnaires impose la fig</w:t>
      </w:r>
      <w:r w:rsidRPr="00A65480">
        <w:rPr>
          <w:lang w:eastAsia="fr-FR"/>
        </w:rPr>
        <w:t>u</w:t>
      </w:r>
      <w:r w:rsidRPr="00A65480">
        <w:rPr>
          <w:lang w:eastAsia="fr-FR"/>
        </w:rPr>
        <w:t>re du législateur-philosophe.</w:t>
      </w:r>
    </w:p>
    <w:p w:rsidR="00AA693F" w:rsidRDefault="00AA693F" w:rsidP="00AA693F">
      <w:pPr>
        <w:spacing w:before="120" w:after="120"/>
        <w:jc w:val="both"/>
        <w:rPr>
          <w:lang w:eastAsia="fr-FR"/>
        </w:rPr>
      </w:pPr>
    </w:p>
    <w:p w:rsidR="00AA693F" w:rsidRPr="00A65480" w:rsidRDefault="00AA693F" w:rsidP="00AA693F">
      <w:pPr>
        <w:spacing w:before="120" w:after="120"/>
        <w:jc w:val="both"/>
        <w:rPr>
          <w:lang w:eastAsia="fr-FR"/>
        </w:rPr>
      </w:pPr>
      <w:r w:rsidRPr="00A65480">
        <w:rPr>
          <w:lang w:eastAsia="fr-FR"/>
        </w:rPr>
        <w:t>Reste un dernier personnage qui fait son apparition au moment où, en l’an III, Sieyès pense l’achèvement de son système constit</w:t>
      </w:r>
      <w:r w:rsidRPr="00A65480">
        <w:rPr>
          <w:lang w:eastAsia="fr-FR"/>
        </w:rPr>
        <w:t>u</w:t>
      </w:r>
      <w:r w:rsidRPr="00A65480">
        <w:rPr>
          <w:lang w:eastAsia="fr-FR"/>
        </w:rPr>
        <w:t>tionnel, celle du philosophe analyste qui concentre, dans la méthode analyt</w:t>
      </w:r>
      <w:r w:rsidRPr="00A65480">
        <w:rPr>
          <w:lang w:eastAsia="fr-FR"/>
        </w:rPr>
        <w:t>i</w:t>
      </w:r>
      <w:r w:rsidRPr="00A65480">
        <w:rPr>
          <w:lang w:eastAsia="fr-FR"/>
        </w:rPr>
        <w:t>que de Condillac, et ses fondements génétiques (avec l’invention c</w:t>
      </w:r>
      <w:r w:rsidRPr="00A65480">
        <w:rPr>
          <w:lang w:eastAsia="fr-FR"/>
        </w:rPr>
        <w:t>o</w:t>
      </w:r>
      <w:r w:rsidRPr="00A65480">
        <w:rPr>
          <w:lang w:eastAsia="fr-FR"/>
        </w:rPr>
        <w:t xml:space="preserve">gnitive de la statue dans le </w:t>
      </w:r>
      <w:r w:rsidRPr="00A65480">
        <w:rPr>
          <w:i/>
          <w:lang w:eastAsia="fr-FR"/>
        </w:rPr>
        <w:t>Traité des sensations</w:t>
      </w:r>
      <w:r w:rsidRPr="00A65480">
        <w:rPr>
          <w:lang w:eastAsia="fr-FR"/>
        </w:rPr>
        <w:t xml:space="preserve"> de 1754), l’ensemble des perspectives de rupture de la nouvelle pensée politique. Cette f</w:t>
      </w:r>
      <w:r w:rsidRPr="00A65480">
        <w:rPr>
          <w:lang w:eastAsia="fr-FR"/>
        </w:rPr>
        <w:t>i</w:t>
      </w:r>
      <w:r w:rsidRPr="00A65480">
        <w:rPr>
          <w:lang w:eastAsia="fr-FR"/>
        </w:rPr>
        <w:t>gure persiste dans les derniers manuscrits philos</w:t>
      </w:r>
      <w:r w:rsidRPr="00A65480">
        <w:rPr>
          <w:lang w:eastAsia="fr-FR"/>
        </w:rPr>
        <w:t>o</w:t>
      </w:r>
      <w:r w:rsidRPr="00A65480">
        <w:rPr>
          <w:lang w:eastAsia="fr-FR"/>
        </w:rPr>
        <w:lastRenderedPageBreak/>
        <w:t>phiques de Sieyès, écrits dans les années 1810 et de nature essentie</w:t>
      </w:r>
      <w:r w:rsidRPr="00A65480">
        <w:rPr>
          <w:lang w:eastAsia="fr-FR"/>
        </w:rPr>
        <w:t>l</w:t>
      </w:r>
      <w:r w:rsidRPr="00A65480">
        <w:rPr>
          <w:lang w:eastAsia="fr-FR"/>
        </w:rPr>
        <w:t>lement métaphysique.</w:t>
      </w:r>
    </w:p>
    <w:p w:rsidR="00AA693F" w:rsidRPr="00A65480" w:rsidRDefault="00AA693F" w:rsidP="00AA693F">
      <w:pPr>
        <w:spacing w:before="120" w:after="120"/>
        <w:jc w:val="both"/>
        <w:rPr>
          <w:lang w:eastAsia="fr-FR"/>
        </w:rPr>
      </w:pPr>
      <w:r w:rsidRPr="00A65480">
        <w:rPr>
          <w:lang w:eastAsia="fr-FR"/>
        </w:rPr>
        <w:t>De fait, dans ses discussions avec les philosophes allemands en 1798, Sieyès oppose au « système à la manière allemande » le « véritable système de métaphysique des Français », dont il conçoit la supériorité sur deux points essentiels :</w:t>
      </w:r>
    </w:p>
    <w:p w:rsidR="00AA693F" w:rsidRDefault="00AA693F" w:rsidP="00AA693F">
      <w:pPr>
        <w:spacing w:before="120" w:after="120"/>
        <w:jc w:val="both"/>
        <w:rPr>
          <w:lang w:eastAsia="fr-FR"/>
        </w:rPr>
      </w:pPr>
    </w:p>
    <w:p w:rsidR="00AA693F" w:rsidRPr="00A65480" w:rsidRDefault="00AA693F" w:rsidP="00AA693F">
      <w:pPr>
        <w:spacing w:before="120" w:after="120"/>
        <w:ind w:left="720" w:hanging="360"/>
        <w:jc w:val="both"/>
        <w:rPr>
          <w:lang w:eastAsia="fr-FR"/>
        </w:rPr>
      </w:pPr>
      <w:r>
        <w:rPr>
          <w:lang w:eastAsia="fr-FR"/>
        </w:rPr>
        <w:t>*</w:t>
      </w:r>
      <w:r>
        <w:rPr>
          <w:lang w:eastAsia="fr-FR"/>
        </w:rPr>
        <w:tab/>
      </w:r>
      <w:r w:rsidRPr="00A65480">
        <w:rPr>
          <w:lang w:eastAsia="fr-FR"/>
        </w:rPr>
        <w:t>l’articulation systémique de « l’ordre du moi », ou « ordre des connaissances », sous la forme d’un « Traité des lois de la connai</w:t>
      </w:r>
      <w:r w:rsidRPr="00A65480">
        <w:rPr>
          <w:lang w:eastAsia="fr-FR"/>
        </w:rPr>
        <w:t>s</w:t>
      </w:r>
      <w:r w:rsidRPr="00A65480">
        <w:rPr>
          <w:lang w:eastAsia="fr-FR"/>
        </w:rPr>
        <w:t>sance », avec « l’ordre pratique », ou « ordre social », au titre d’un « Traité des lois d’une société » ;</w:t>
      </w:r>
    </w:p>
    <w:p w:rsidR="00AA693F" w:rsidRPr="00A65480" w:rsidRDefault="00AA693F" w:rsidP="00AA693F">
      <w:pPr>
        <w:spacing w:before="120" w:after="120"/>
        <w:ind w:left="720" w:hanging="360"/>
        <w:jc w:val="both"/>
        <w:rPr>
          <w:lang w:eastAsia="fr-FR"/>
        </w:rPr>
      </w:pPr>
      <w:r>
        <w:rPr>
          <w:lang w:eastAsia="fr-FR"/>
        </w:rPr>
        <w:t>*</w:t>
      </w:r>
      <w:r>
        <w:rPr>
          <w:lang w:eastAsia="fr-FR"/>
        </w:rPr>
        <w:tab/>
      </w:r>
      <w:r w:rsidRPr="00A65480">
        <w:rPr>
          <w:lang w:eastAsia="fr-FR"/>
        </w:rPr>
        <w:t>et, une fois l’unité du système constituée, son organicité proc</w:t>
      </w:r>
      <w:r w:rsidRPr="00A65480">
        <w:rPr>
          <w:lang w:eastAsia="fr-FR"/>
        </w:rPr>
        <w:t>è</w:t>
      </w:r>
      <w:r w:rsidRPr="00A65480">
        <w:rPr>
          <w:lang w:eastAsia="fr-FR"/>
        </w:rPr>
        <w:t>de alors d’une progression par la ressemblance entre les progrès de la connaissance et ceux de la politique. La dynamique du s</w:t>
      </w:r>
      <w:r w:rsidRPr="00A65480">
        <w:rPr>
          <w:lang w:eastAsia="fr-FR"/>
        </w:rPr>
        <w:t>u</w:t>
      </w:r>
      <w:r w:rsidRPr="00A65480">
        <w:rPr>
          <w:lang w:eastAsia="fr-FR"/>
        </w:rPr>
        <w:t>jet const</w:t>
      </w:r>
      <w:r w:rsidRPr="00A65480">
        <w:rPr>
          <w:lang w:eastAsia="fr-FR"/>
        </w:rPr>
        <w:t>i</w:t>
      </w:r>
      <w:r w:rsidRPr="00A65480">
        <w:rPr>
          <w:lang w:eastAsia="fr-FR"/>
        </w:rPr>
        <w:t xml:space="preserve">tuant se transmet, par extension du droit naturel et sans rupture contractuelle, jusque dans une progression politique fondée sur les concepts de </w:t>
      </w:r>
      <w:r w:rsidRPr="00A65480">
        <w:rPr>
          <w:i/>
          <w:lang w:eastAsia="fr-FR"/>
        </w:rPr>
        <w:t>liberté</w:t>
      </w:r>
      <w:r w:rsidRPr="00A65480">
        <w:rPr>
          <w:lang w:eastAsia="fr-FR"/>
        </w:rPr>
        <w:t xml:space="preserve"> et de </w:t>
      </w:r>
      <w:r w:rsidRPr="00A65480">
        <w:rPr>
          <w:i/>
          <w:lang w:eastAsia="fr-FR"/>
        </w:rPr>
        <w:t>nation</w:t>
      </w:r>
      <w:r w:rsidRPr="00A65480">
        <w:rPr>
          <w:lang w:eastAsia="fr-FR"/>
        </w:rPr>
        <w:t>.</w:t>
      </w:r>
    </w:p>
    <w:p w:rsidR="00AA693F" w:rsidRDefault="00AA693F" w:rsidP="00AA693F">
      <w:pPr>
        <w:spacing w:before="120" w:after="120"/>
        <w:jc w:val="both"/>
        <w:rPr>
          <w:lang w:eastAsia="fr-FR"/>
        </w:rPr>
      </w:pPr>
    </w:p>
    <w:p w:rsidR="00AA693F" w:rsidRPr="00A65480" w:rsidRDefault="00AA693F" w:rsidP="00AA693F">
      <w:pPr>
        <w:spacing w:before="120" w:after="120"/>
        <w:jc w:val="both"/>
        <w:rPr>
          <w:lang w:eastAsia="fr-FR"/>
        </w:rPr>
      </w:pPr>
      <w:r w:rsidRPr="00A65480">
        <w:rPr>
          <w:lang w:eastAsia="fr-FR"/>
        </w:rPr>
        <w:t>C’est ainsi que les Français trouvent dans le système représent</w:t>
      </w:r>
      <w:r w:rsidRPr="00A65480">
        <w:rPr>
          <w:lang w:eastAsia="fr-FR"/>
        </w:rPr>
        <w:t>a</w:t>
      </w:r>
      <w:r w:rsidRPr="00A65480">
        <w:rPr>
          <w:lang w:eastAsia="fr-FR"/>
        </w:rPr>
        <w:t>tif, et sa « langue politique », le moyen d’accéder à la société politique la meilleure possible, à la différence des Allemands incapables de « parler allemand » au sein d’un État-nation.</w:t>
      </w:r>
    </w:p>
    <w:p w:rsidR="00AA693F" w:rsidRPr="00A65480" w:rsidRDefault="00AA693F" w:rsidP="00AA693F">
      <w:pPr>
        <w:spacing w:before="120" w:after="120"/>
        <w:jc w:val="both"/>
        <w:rPr>
          <w:lang w:eastAsia="fr-FR"/>
        </w:rPr>
      </w:pPr>
      <w:r w:rsidRPr="00A65480">
        <w:rPr>
          <w:lang w:eastAsia="fr-FR"/>
        </w:rPr>
        <w:t>François Furet peut donc, à juste titre, tenir Sieyès pour le pe</w:t>
      </w:r>
      <w:r w:rsidRPr="00A65480">
        <w:rPr>
          <w:lang w:eastAsia="fr-FR"/>
        </w:rPr>
        <w:t>n</w:t>
      </w:r>
      <w:r w:rsidRPr="00A65480">
        <w:rPr>
          <w:lang w:eastAsia="fr-FR"/>
        </w:rPr>
        <w:t>seur le plus profond de la Révolution française</w:t>
      </w:r>
      <w:r>
        <w:rPr>
          <w:lang w:eastAsia="fr-FR"/>
        </w:rPr>
        <w:t> </w:t>
      </w:r>
      <w:r>
        <w:rPr>
          <w:rStyle w:val="Appelnotedebasdep"/>
          <w:lang w:eastAsia="fr-FR"/>
        </w:rPr>
        <w:footnoteReference w:id="22"/>
      </w:r>
      <w:r w:rsidRPr="00A65480">
        <w:rPr>
          <w:lang w:eastAsia="fr-FR"/>
        </w:rPr>
        <w:t>, ajoutons le plus prospe</w:t>
      </w:r>
      <w:r w:rsidRPr="00A65480">
        <w:rPr>
          <w:lang w:eastAsia="fr-FR"/>
        </w:rPr>
        <w:t>c</w:t>
      </w:r>
      <w:r w:rsidRPr="00A65480">
        <w:rPr>
          <w:lang w:eastAsia="fr-FR"/>
        </w:rPr>
        <w:t>tif de tous.</w:t>
      </w:r>
    </w:p>
    <w:p w:rsidR="00AA693F" w:rsidRPr="00A65480" w:rsidRDefault="00AA693F" w:rsidP="00AA693F">
      <w:pPr>
        <w:spacing w:before="120" w:after="120"/>
        <w:jc w:val="both"/>
        <w:rPr>
          <w:lang w:eastAsia="fr-FR"/>
        </w:rPr>
      </w:pPr>
      <w:r w:rsidRPr="00A65480">
        <w:rPr>
          <w:lang w:eastAsia="fr-FR"/>
        </w:rPr>
        <w:t>Cependant, la question demeure de savoir si nous sommes vérit</w:t>
      </w:r>
      <w:r w:rsidRPr="00A65480">
        <w:rPr>
          <w:lang w:eastAsia="fr-FR"/>
        </w:rPr>
        <w:t>a</w:t>
      </w:r>
      <w:r w:rsidRPr="00A65480">
        <w:rPr>
          <w:lang w:eastAsia="fr-FR"/>
        </w:rPr>
        <w:t>blement arrivé, avec ce penseur politique et les événements d’assemblée de 1789 (du serment du jeu de Paume à l’adoption de la Déclaration des droits de l’homme et du citoyen) auxquels il contribue de manière décisive</w:t>
      </w:r>
      <w:r>
        <w:rPr>
          <w:lang w:eastAsia="fr-FR"/>
        </w:rPr>
        <w:t> </w:t>
      </w:r>
      <w:r>
        <w:rPr>
          <w:rStyle w:val="Appelnotedebasdep"/>
          <w:lang w:eastAsia="fr-FR"/>
        </w:rPr>
        <w:footnoteReference w:id="23"/>
      </w:r>
      <w:r w:rsidRPr="00A65480">
        <w:rPr>
          <w:lang w:eastAsia="fr-FR"/>
        </w:rPr>
        <w:t>, à la pleine compréhension de l’universelle si</w:t>
      </w:r>
      <w:r w:rsidRPr="00A65480">
        <w:rPr>
          <w:lang w:eastAsia="fr-FR"/>
        </w:rPr>
        <w:t>n</w:t>
      </w:r>
      <w:r w:rsidRPr="00A65480">
        <w:rPr>
          <w:lang w:eastAsia="fr-FR"/>
        </w:rPr>
        <w:lastRenderedPageBreak/>
        <w:t>gularité de l’événement saisi dans ses circonstances politiques, si l’on considère qu’il s’agit bien là de l’élément central de la modernité pol</w:t>
      </w:r>
      <w:r w:rsidRPr="00A65480">
        <w:rPr>
          <w:lang w:eastAsia="fr-FR"/>
        </w:rPr>
        <w:t>i</w:t>
      </w:r>
      <w:r w:rsidRPr="00A65480">
        <w:rPr>
          <w:lang w:eastAsia="fr-FR"/>
        </w:rPr>
        <w:t>tique de la Révolution française.</w:t>
      </w:r>
    </w:p>
    <w:p w:rsidR="00AA693F" w:rsidRPr="00A65480" w:rsidRDefault="00AA693F" w:rsidP="00AA693F">
      <w:pPr>
        <w:spacing w:before="120" w:after="120"/>
        <w:jc w:val="both"/>
        <w:rPr>
          <w:lang w:eastAsia="fr-FR"/>
        </w:rPr>
      </w:pPr>
      <w:r w:rsidRPr="00A65480">
        <w:rPr>
          <w:lang w:eastAsia="fr-FR"/>
        </w:rPr>
        <w:t>En terme de représentation politique, le diagnostic de l’historien est confirmé : l’artifice politique de la représentation restera, même pe</w:t>
      </w:r>
      <w:r w:rsidRPr="00A65480">
        <w:rPr>
          <w:lang w:eastAsia="fr-FR"/>
        </w:rPr>
        <w:t>n</w:t>
      </w:r>
      <w:r w:rsidRPr="00A65480">
        <w:rPr>
          <w:lang w:eastAsia="fr-FR"/>
        </w:rPr>
        <w:t>dant la Terreur, l’élément central du nouvel ordre social. Un tel artifice façonne encore notre conception actuelle du gouvernement de la Rép</w:t>
      </w:r>
      <w:r w:rsidRPr="00A65480">
        <w:rPr>
          <w:lang w:eastAsia="fr-FR"/>
        </w:rPr>
        <w:t>u</w:t>
      </w:r>
      <w:r w:rsidRPr="00A65480">
        <w:rPr>
          <w:lang w:eastAsia="fr-FR"/>
        </w:rPr>
        <w:t>blique avec, certes, des paradoxes qu’il serait trop long ici d’explorer</w:t>
      </w:r>
      <w:r>
        <w:rPr>
          <w:lang w:eastAsia="fr-FR"/>
        </w:rPr>
        <w:t> </w:t>
      </w:r>
      <w:r>
        <w:rPr>
          <w:rStyle w:val="Appelnotedebasdep"/>
          <w:lang w:eastAsia="fr-FR"/>
        </w:rPr>
        <w:footnoteReference w:id="24"/>
      </w:r>
      <w:r w:rsidRPr="00A65480">
        <w:rPr>
          <w:lang w:eastAsia="fr-FR"/>
        </w:rPr>
        <w:t>.</w:t>
      </w:r>
    </w:p>
    <w:p w:rsidR="00AA693F" w:rsidRPr="00A65480" w:rsidRDefault="00AA693F" w:rsidP="00AA693F">
      <w:pPr>
        <w:spacing w:before="120" w:after="120"/>
        <w:jc w:val="both"/>
        <w:rPr>
          <w:lang w:eastAsia="fr-FR"/>
        </w:rPr>
      </w:pPr>
      <w:r w:rsidRPr="00A65480">
        <w:rPr>
          <w:lang w:eastAsia="fr-FR"/>
        </w:rPr>
        <w:t>À ce titre, Sieyès et Robespierre sont les deux plus grands pe</w:t>
      </w:r>
      <w:r w:rsidRPr="00A65480">
        <w:rPr>
          <w:lang w:eastAsia="fr-FR"/>
        </w:rPr>
        <w:t>n</w:t>
      </w:r>
      <w:r w:rsidRPr="00A65480">
        <w:rPr>
          <w:lang w:eastAsia="fr-FR"/>
        </w:rPr>
        <w:t>seurs de la rupture révolutionnaire en terme de « centralité législat</w:t>
      </w:r>
      <w:r w:rsidRPr="00A65480">
        <w:rPr>
          <w:lang w:eastAsia="fr-FR"/>
        </w:rPr>
        <w:t>i</w:t>
      </w:r>
      <w:r w:rsidRPr="00A65480">
        <w:rPr>
          <w:lang w:eastAsia="fr-FR"/>
        </w:rPr>
        <w:t>ve » : ils participent d’une même conception de « l’unité d’action » au sein d’un gouvernement révolutionnaire avec la loi toute-puissante en son centre, et sous l’étroit contrôle de l’Assemblée nationale. Certes, Sieyès reproche aux jacobins, dont il fut l’un des membres en 1790 avant de prendre ses distances, de confondre « unité d’action » et « action unique », et d’avoir ainsi introduit, sous la pression du mo</w:t>
      </w:r>
      <w:r w:rsidRPr="00A65480">
        <w:rPr>
          <w:lang w:eastAsia="fr-FR"/>
        </w:rPr>
        <w:t>u</w:t>
      </w:r>
      <w:r w:rsidRPr="00A65480">
        <w:rPr>
          <w:lang w:eastAsia="fr-FR"/>
        </w:rPr>
        <w:t>vement populaire, la « république-totale » (encore un néologisme !) à la place du gouvernement représent</w:t>
      </w:r>
      <w:r w:rsidRPr="00A65480">
        <w:rPr>
          <w:lang w:eastAsia="fr-FR"/>
        </w:rPr>
        <w:t>a</w:t>
      </w:r>
      <w:r w:rsidRPr="00A65480">
        <w:rPr>
          <w:lang w:eastAsia="fr-FR"/>
        </w:rPr>
        <w:t>tif de la « république ».</w:t>
      </w:r>
    </w:p>
    <w:p w:rsidR="00AA693F" w:rsidRDefault="00AA693F" w:rsidP="00AA693F">
      <w:pPr>
        <w:spacing w:before="120" w:after="120"/>
        <w:jc w:val="both"/>
        <w:rPr>
          <w:lang w:eastAsia="fr-FR"/>
        </w:rPr>
      </w:pPr>
      <w:r w:rsidRPr="00A65480">
        <w:rPr>
          <w:lang w:eastAsia="fr-FR"/>
        </w:rPr>
        <w:t>Plus avant, la construction d’un espace/temps national, au terme de « la découverte de la politique » pour reprendre le titre d’un des livres de Michel Vovelle</w:t>
      </w:r>
      <w:r>
        <w:rPr>
          <w:lang w:eastAsia="fr-FR"/>
        </w:rPr>
        <w:t> </w:t>
      </w:r>
      <w:r>
        <w:rPr>
          <w:rStyle w:val="Appelnotedebasdep"/>
          <w:lang w:eastAsia="fr-FR"/>
        </w:rPr>
        <w:footnoteReference w:id="25"/>
      </w:r>
      <w:r w:rsidRPr="00A65480">
        <w:rPr>
          <w:lang w:eastAsia="fr-FR"/>
        </w:rPr>
        <w:t>, marque l’importance de la décennie de rupture révol</w:t>
      </w:r>
      <w:r w:rsidRPr="00A65480">
        <w:rPr>
          <w:lang w:eastAsia="fr-FR"/>
        </w:rPr>
        <w:t>u</w:t>
      </w:r>
      <w:r w:rsidRPr="00A65480">
        <w:rPr>
          <w:lang w:eastAsia="fr-FR"/>
        </w:rPr>
        <w:t>tionnaire, même si elle se joue, nous l’avons déjà dit, dans la confront</w:t>
      </w:r>
      <w:r w:rsidRPr="00A65480">
        <w:rPr>
          <w:lang w:eastAsia="fr-FR"/>
        </w:rPr>
        <w:t>a</w:t>
      </w:r>
      <w:r w:rsidRPr="00A65480">
        <w:rPr>
          <w:lang w:eastAsia="fr-FR"/>
        </w:rPr>
        <w:t>tion entre un héritage humaniste républicain et la création d’un « républicanisme de droit naturel », soulignée dans les travaux de Flore</w:t>
      </w:r>
      <w:r w:rsidRPr="00A65480">
        <w:rPr>
          <w:lang w:eastAsia="fr-FR"/>
        </w:rPr>
        <w:t>n</w:t>
      </w:r>
      <w:r w:rsidRPr="00A65480">
        <w:rPr>
          <w:lang w:eastAsia="fr-FR"/>
        </w:rPr>
        <w:t>ce Gauthier</w:t>
      </w:r>
      <w:r>
        <w:rPr>
          <w:lang w:eastAsia="fr-FR"/>
        </w:rPr>
        <w:t> </w:t>
      </w:r>
      <w:r>
        <w:rPr>
          <w:rStyle w:val="Appelnotedebasdep"/>
          <w:lang w:eastAsia="fr-FR"/>
        </w:rPr>
        <w:footnoteReference w:id="26"/>
      </w:r>
      <w:r w:rsidRPr="00A65480">
        <w:rPr>
          <w:lang w:eastAsia="fr-FR"/>
        </w:rPr>
        <w:t>.</w:t>
      </w:r>
    </w:p>
    <w:p w:rsidR="00AA693F" w:rsidRPr="00A65480" w:rsidRDefault="00AA693F" w:rsidP="00AA693F">
      <w:pPr>
        <w:spacing w:before="120" w:after="120"/>
        <w:jc w:val="both"/>
        <w:rPr>
          <w:lang w:eastAsia="fr-FR"/>
        </w:rPr>
      </w:pPr>
    </w:p>
    <w:p w:rsidR="00AA693F" w:rsidRPr="00A65480" w:rsidRDefault="00AA693F" w:rsidP="00AA693F">
      <w:pPr>
        <w:pStyle w:val="planche"/>
        <w:rPr>
          <w:lang w:eastAsia="fr-FR"/>
        </w:rPr>
      </w:pPr>
      <w:bookmarkStart w:id="6" w:name="Modernite_pol_3"/>
      <w:r w:rsidRPr="00A65480">
        <w:rPr>
          <w:lang w:eastAsia="fr-FR"/>
        </w:rPr>
        <w:t>Kant et la</w:t>
      </w:r>
      <w:r>
        <w:rPr>
          <w:lang w:eastAsia="fr-FR"/>
        </w:rPr>
        <w:t xml:space="preserve"> modernité esthétique</w:t>
      </w:r>
      <w:r>
        <w:rPr>
          <w:lang w:eastAsia="fr-FR"/>
        </w:rPr>
        <w:br/>
      </w:r>
      <w:r w:rsidRPr="00A65480">
        <w:rPr>
          <w:lang w:eastAsia="fr-FR"/>
        </w:rPr>
        <w:t>de la Révolution fra</w:t>
      </w:r>
      <w:r w:rsidRPr="00A65480">
        <w:rPr>
          <w:lang w:eastAsia="fr-FR"/>
        </w:rPr>
        <w:t>n</w:t>
      </w:r>
      <w:r w:rsidRPr="00A65480">
        <w:rPr>
          <w:lang w:eastAsia="fr-FR"/>
        </w:rPr>
        <w:t>çaise</w:t>
      </w:r>
    </w:p>
    <w:bookmarkEnd w:id="6"/>
    <w:p w:rsidR="00AA693F" w:rsidRDefault="00AA693F" w:rsidP="00AA693F">
      <w:pPr>
        <w:spacing w:before="120" w:after="120"/>
        <w:jc w:val="both"/>
        <w:rPr>
          <w:lang w:eastAsia="fr-FR"/>
        </w:rPr>
      </w:pPr>
    </w:p>
    <w:p w:rsidR="00AA693F" w:rsidRPr="00384B20" w:rsidRDefault="00AA693F" w:rsidP="00AA693F">
      <w:pPr>
        <w:ind w:right="90" w:firstLine="0"/>
        <w:jc w:val="both"/>
        <w:rPr>
          <w:sz w:val="20"/>
        </w:rPr>
      </w:pPr>
      <w:hyperlink w:anchor="tdm" w:history="1">
        <w:r w:rsidRPr="00384B20">
          <w:rPr>
            <w:rStyle w:val="Lienhypertexte"/>
            <w:sz w:val="20"/>
          </w:rPr>
          <w:t>Retour à la table des matières</w:t>
        </w:r>
      </w:hyperlink>
    </w:p>
    <w:p w:rsidR="00AA693F" w:rsidRPr="00A65480" w:rsidRDefault="00AA693F" w:rsidP="00AA693F">
      <w:pPr>
        <w:spacing w:before="120" w:after="120"/>
        <w:jc w:val="both"/>
        <w:rPr>
          <w:lang w:eastAsia="fr-FR"/>
        </w:rPr>
      </w:pPr>
      <w:r w:rsidRPr="00A65480">
        <w:rPr>
          <w:lang w:eastAsia="fr-FR"/>
        </w:rPr>
        <w:lastRenderedPageBreak/>
        <w:t>Cependant, l’achèvement de la modernité politique sous la Révol</w:t>
      </w:r>
      <w:r w:rsidRPr="00A65480">
        <w:rPr>
          <w:lang w:eastAsia="fr-FR"/>
        </w:rPr>
        <w:t>u</w:t>
      </w:r>
      <w:r w:rsidRPr="00A65480">
        <w:rPr>
          <w:lang w:eastAsia="fr-FR"/>
        </w:rPr>
        <w:t>tion française devait échapper en partie à Sieyès. De l’échec de son dialogue avec Kant, en dépit de son intérêt marqué pour la métaphys</w:t>
      </w:r>
      <w:r w:rsidRPr="00A65480">
        <w:rPr>
          <w:lang w:eastAsia="fr-FR"/>
        </w:rPr>
        <w:t>i</w:t>
      </w:r>
      <w:r w:rsidRPr="00A65480">
        <w:rPr>
          <w:lang w:eastAsia="fr-FR"/>
        </w:rPr>
        <w:t>que allemande — Sieyès est de fait plus proche de Fichte —, ressort un lien plus complexe entre Kant et Robespierre, souvent so</w:t>
      </w:r>
      <w:r w:rsidRPr="00A65480">
        <w:rPr>
          <w:lang w:eastAsia="fr-FR"/>
        </w:rPr>
        <w:t>u</w:t>
      </w:r>
      <w:r w:rsidRPr="00A65480">
        <w:rPr>
          <w:lang w:eastAsia="fr-FR"/>
        </w:rPr>
        <w:t>ligné par la trad</w:t>
      </w:r>
      <w:r w:rsidRPr="00A65480">
        <w:rPr>
          <w:lang w:eastAsia="fr-FR"/>
        </w:rPr>
        <w:t>i</w:t>
      </w:r>
      <w:r w:rsidRPr="00A65480">
        <w:rPr>
          <w:lang w:eastAsia="fr-FR"/>
        </w:rPr>
        <w:t>tion marxiste, du jeune Marx à Gramsci</w:t>
      </w:r>
      <w:r>
        <w:rPr>
          <w:lang w:eastAsia="fr-FR"/>
        </w:rPr>
        <w:t> </w:t>
      </w:r>
      <w:r>
        <w:rPr>
          <w:rStyle w:val="Appelnotedebasdep"/>
          <w:lang w:eastAsia="fr-FR"/>
        </w:rPr>
        <w:footnoteReference w:id="27"/>
      </w:r>
      <w:r w:rsidRPr="00A65480">
        <w:rPr>
          <w:lang w:eastAsia="fr-FR"/>
        </w:rPr>
        <w:t>.</w:t>
      </w:r>
    </w:p>
    <w:p w:rsidR="00AA693F" w:rsidRPr="00A65480" w:rsidRDefault="00AA693F" w:rsidP="00AA693F">
      <w:pPr>
        <w:spacing w:before="120" w:after="120"/>
        <w:jc w:val="both"/>
        <w:rPr>
          <w:lang w:eastAsia="fr-FR"/>
        </w:rPr>
      </w:pPr>
      <w:r w:rsidRPr="00A65480">
        <w:rPr>
          <w:lang w:eastAsia="fr-FR"/>
        </w:rPr>
        <w:t xml:space="preserve">Ce lien relève de ce que nous appelons </w:t>
      </w:r>
      <w:r w:rsidRPr="00A65480">
        <w:rPr>
          <w:i/>
          <w:lang w:eastAsia="fr-FR"/>
        </w:rPr>
        <w:t>une esthétique de l’événement</w:t>
      </w:r>
      <w:r w:rsidRPr="00A65480">
        <w:rPr>
          <w:lang w:eastAsia="fr-FR"/>
        </w:rPr>
        <w:t>. Aussi bien les jacobins, et plus particulièrement les mo</w:t>
      </w:r>
      <w:r w:rsidRPr="00A65480">
        <w:rPr>
          <w:lang w:eastAsia="fr-FR"/>
        </w:rPr>
        <w:t>n</w:t>
      </w:r>
      <w:r w:rsidRPr="00A65480">
        <w:rPr>
          <w:lang w:eastAsia="fr-FR"/>
        </w:rPr>
        <w:t>tagnards en l’an II, que Kant posent les bases d’une approche esthét</w:t>
      </w:r>
      <w:r w:rsidRPr="00A65480">
        <w:rPr>
          <w:lang w:eastAsia="fr-FR"/>
        </w:rPr>
        <w:t>i</w:t>
      </w:r>
      <w:r w:rsidRPr="00A65480">
        <w:rPr>
          <w:lang w:eastAsia="fr-FR"/>
        </w:rPr>
        <w:t>que de l’événement révolutionnaire qui permet aux individus agissants et sou</w:t>
      </w:r>
      <w:r w:rsidRPr="00A65480">
        <w:rPr>
          <w:lang w:eastAsia="fr-FR"/>
        </w:rPr>
        <w:t>f</w:t>
      </w:r>
      <w:r w:rsidRPr="00A65480">
        <w:rPr>
          <w:lang w:eastAsia="fr-FR"/>
        </w:rPr>
        <w:t>frants de penser leur devenir au-delà de l’état des choses. Le potentiel de rupture de l’action politique s’en trouve ainsi décuplé.</w:t>
      </w:r>
    </w:p>
    <w:p w:rsidR="00AA693F" w:rsidRPr="00A65480" w:rsidRDefault="00AA693F" w:rsidP="00AA693F">
      <w:pPr>
        <w:spacing w:before="120" w:after="120"/>
        <w:jc w:val="both"/>
        <w:rPr>
          <w:lang w:eastAsia="fr-FR"/>
        </w:rPr>
      </w:pPr>
      <w:r w:rsidRPr="00A65480">
        <w:rPr>
          <w:lang w:eastAsia="fr-FR"/>
        </w:rPr>
        <w:t>Le déploiement des formes de l’expérience esthétique, de l’enthousiasme au sublime, de l’événementiel de la Révolution fra</w:t>
      </w:r>
      <w:r w:rsidRPr="00A65480">
        <w:rPr>
          <w:lang w:eastAsia="fr-FR"/>
        </w:rPr>
        <w:t>n</w:t>
      </w:r>
      <w:r w:rsidRPr="00A65480">
        <w:rPr>
          <w:lang w:eastAsia="fr-FR"/>
        </w:rPr>
        <w:t>çaise à sa traduction dans l’esthétique kantienne, caractérise alors pleinement l’universelle singularité de l’événement, c’est-à-dire le point ultime de la modernité politique de la Révolution française y compris, nous le ve</w:t>
      </w:r>
      <w:r w:rsidRPr="00A65480">
        <w:rPr>
          <w:lang w:eastAsia="fr-FR"/>
        </w:rPr>
        <w:t>r</w:t>
      </w:r>
      <w:r w:rsidRPr="00A65480">
        <w:rPr>
          <w:lang w:eastAsia="fr-FR"/>
        </w:rPr>
        <w:t xml:space="preserve">rons, dans son retournement négatif au </w:t>
      </w:r>
      <w:r w:rsidRPr="0016254F">
        <w:rPr>
          <w:caps/>
          <w:lang w:eastAsia="fr-FR"/>
        </w:rPr>
        <w:t>xix</w:t>
      </w:r>
      <w:r w:rsidRPr="00A65480">
        <w:rPr>
          <w:vertAlign w:val="superscript"/>
          <w:lang w:eastAsia="fr-FR"/>
        </w:rPr>
        <w:t>e</w:t>
      </w:r>
      <w:r w:rsidRPr="00A65480">
        <w:rPr>
          <w:lang w:eastAsia="fr-FR"/>
        </w:rPr>
        <w:t> siècle.</w:t>
      </w:r>
    </w:p>
    <w:p w:rsidR="00AA693F" w:rsidRPr="00A65480" w:rsidRDefault="00AA693F" w:rsidP="00AA693F">
      <w:pPr>
        <w:spacing w:before="120" w:after="120"/>
        <w:jc w:val="both"/>
        <w:rPr>
          <w:lang w:eastAsia="fr-FR"/>
        </w:rPr>
      </w:pPr>
      <w:r w:rsidRPr="00A65480">
        <w:rPr>
          <w:lang w:eastAsia="fr-FR"/>
        </w:rPr>
        <w:t>Nous souhaitons donc, en troisième lieu, caractériser la façon dont Kant, confronté à l’expérience révolutionnaire française, associe à la m</w:t>
      </w:r>
      <w:r w:rsidRPr="00A65480">
        <w:rPr>
          <w:lang w:eastAsia="fr-FR"/>
        </w:rPr>
        <w:t>a</w:t>
      </w:r>
      <w:r w:rsidRPr="00A65480">
        <w:rPr>
          <w:lang w:eastAsia="fr-FR"/>
        </w:rPr>
        <w:t>nière réflexive de penser une faculté de juger définie dans son équivale</w:t>
      </w:r>
      <w:r w:rsidRPr="00A65480">
        <w:rPr>
          <w:lang w:eastAsia="fr-FR"/>
        </w:rPr>
        <w:t>n</w:t>
      </w:r>
      <w:r w:rsidRPr="00A65480">
        <w:rPr>
          <w:lang w:eastAsia="fr-FR"/>
        </w:rPr>
        <w:t>ce à un pouvoir de présentation situé au plus près de l’imagination et su</w:t>
      </w:r>
      <w:r w:rsidRPr="00A65480">
        <w:rPr>
          <w:lang w:eastAsia="fr-FR"/>
        </w:rPr>
        <w:t>s</w:t>
      </w:r>
      <w:r w:rsidRPr="00A65480">
        <w:rPr>
          <w:lang w:eastAsia="fr-FR"/>
        </w:rPr>
        <w:t>ceptible d’élargir au maximum l’appréhension du divers, du particulier par une forme abstraite et universelle. C’est bien par la mise en valeur d’une telle dimension esthétique du jugement que la Révolution française est encore lue aujourd’hui, au plus près de l’archive, comme un « événement de notre temps » prouvant « la te</w:t>
      </w:r>
      <w:r w:rsidRPr="00A65480">
        <w:rPr>
          <w:lang w:eastAsia="fr-FR"/>
        </w:rPr>
        <w:t>n</w:t>
      </w:r>
      <w:r w:rsidRPr="00A65480">
        <w:rPr>
          <w:lang w:eastAsia="fr-FR"/>
        </w:rPr>
        <w:t>dance morale de l’humanité ».</w:t>
      </w:r>
    </w:p>
    <w:p w:rsidR="00AA693F" w:rsidRPr="00A65480" w:rsidRDefault="00AA693F" w:rsidP="00AA693F">
      <w:pPr>
        <w:spacing w:before="120" w:after="120"/>
        <w:jc w:val="both"/>
        <w:rPr>
          <w:lang w:eastAsia="fr-FR"/>
        </w:rPr>
      </w:pPr>
      <w:r w:rsidRPr="00A65480">
        <w:rPr>
          <w:lang w:eastAsia="fr-FR"/>
        </w:rPr>
        <w:t>À plusieurs reprises et, en particulier, dans les premiers paragr</w:t>
      </w:r>
      <w:r w:rsidRPr="00A65480">
        <w:rPr>
          <w:lang w:eastAsia="fr-FR"/>
        </w:rPr>
        <w:t>a</w:t>
      </w:r>
      <w:r w:rsidRPr="00A65480">
        <w:rPr>
          <w:lang w:eastAsia="fr-FR"/>
        </w:rPr>
        <w:t xml:space="preserve">phes du chapitre « Sur le lieu commun : il se peut que ce soit juste en théorie, mais, en pratique, cela ne vaut point » (1793), Kant insiste sur le rôle essentiel d’intermédiaire de la faculté de juger en tant que </w:t>
      </w:r>
      <w:r w:rsidRPr="00A65480">
        <w:rPr>
          <w:lang w:eastAsia="fr-FR"/>
        </w:rPr>
        <w:lastRenderedPageBreak/>
        <w:t>c</w:t>
      </w:r>
      <w:r w:rsidRPr="00A65480">
        <w:rPr>
          <w:lang w:eastAsia="fr-FR"/>
        </w:rPr>
        <w:t>a</w:t>
      </w:r>
      <w:r w:rsidRPr="00A65480">
        <w:rPr>
          <w:lang w:eastAsia="fr-FR"/>
        </w:rPr>
        <w:t>pacité du sujet à subsumer les cas particuliers sous les règles génér</w:t>
      </w:r>
      <w:r w:rsidRPr="00A65480">
        <w:rPr>
          <w:lang w:eastAsia="fr-FR"/>
        </w:rPr>
        <w:t>a</w:t>
      </w:r>
      <w:r w:rsidRPr="00A65480">
        <w:rPr>
          <w:lang w:eastAsia="fr-FR"/>
        </w:rPr>
        <w:t>les, dans la connexion entre la théorie et la pratique. Alors que la thé</w:t>
      </w:r>
      <w:r w:rsidRPr="00A65480">
        <w:rPr>
          <w:lang w:eastAsia="fr-FR"/>
        </w:rPr>
        <w:t>o</w:t>
      </w:r>
      <w:r w:rsidRPr="00A65480">
        <w:rPr>
          <w:lang w:eastAsia="fr-FR"/>
        </w:rPr>
        <w:t>rie consiste en des règles associées à des principes pourvus d’une ce</w:t>
      </w:r>
      <w:r w:rsidRPr="00A65480">
        <w:rPr>
          <w:lang w:eastAsia="fr-FR"/>
        </w:rPr>
        <w:t>r</w:t>
      </w:r>
      <w:r w:rsidRPr="00A65480">
        <w:rPr>
          <w:lang w:eastAsia="fr-FR"/>
        </w:rPr>
        <w:t>taine universalité et que la pratique permet « la mise en œuvre d’une fin » à partir de « certains principes de conduite » représentés de m</w:t>
      </w:r>
      <w:r w:rsidRPr="00A65480">
        <w:rPr>
          <w:lang w:eastAsia="fr-FR"/>
        </w:rPr>
        <w:t>a</w:t>
      </w:r>
      <w:r w:rsidRPr="00A65480">
        <w:rPr>
          <w:lang w:eastAsia="fr-FR"/>
        </w:rPr>
        <w:t>nière universelle, l’acte de la faculté de juger associe la règle à la conduite</w:t>
      </w:r>
      <w:r>
        <w:rPr>
          <w:lang w:eastAsia="fr-FR"/>
        </w:rPr>
        <w:t> </w:t>
      </w:r>
      <w:r>
        <w:rPr>
          <w:rStyle w:val="Appelnotedebasdep"/>
          <w:lang w:eastAsia="fr-FR"/>
        </w:rPr>
        <w:footnoteReference w:id="28"/>
      </w:r>
      <w:r w:rsidRPr="00A65480">
        <w:rPr>
          <w:lang w:eastAsia="fr-FR"/>
        </w:rPr>
        <w:t>. La faculté de juger est bien « le pouvoir de subsumer le pa</w:t>
      </w:r>
      <w:r w:rsidRPr="00A65480">
        <w:rPr>
          <w:lang w:eastAsia="fr-FR"/>
        </w:rPr>
        <w:t>r</w:t>
      </w:r>
      <w:r w:rsidRPr="00A65480">
        <w:rPr>
          <w:lang w:eastAsia="fr-FR"/>
        </w:rPr>
        <w:t>ticulier sous l’universel ». S’il existe bien une « règle procédant originairement de la faculté de j</w:t>
      </w:r>
      <w:r w:rsidRPr="00A65480">
        <w:rPr>
          <w:lang w:eastAsia="fr-FR"/>
        </w:rPr>
        <w:t>u</w:t>
      </w:r>
      <w:r w:rsidRPr="00A65480">
        <w:rPr>
          <w:lang w:eastAsia="fr-FR"/>
        </w:rPr>
        <w:t>ger », il s’agit « du concept d’une finalité de la nature vis-à-vis de notre pouvoir de la connaître », concept qui n’est autre que celui « d’une expérience en tant que sy</w:t>
      </w:r>
      <w:r w:rsidRPr="00A65480">
        <w:rPr>
          <w:lang w:eastAsia="fr-FR"/>
        </w:rPr>
        <w:t>s</w:t>
      </w:r>
      <w:r w:rsidRPr="00A65480">
        <w:rPr>
          <w:lang w:eastAsia="fr-FR"/>
        </w:rPr>
        <w:t>tème ordonné selon des lois empiriques » d’une d</w:t>
      </w:r>
      <w:r w:rsidRPr="00A65480">
        <w:rPr>
          <w:lang w:eastAsia="fr-FR"/>
        </w:rPr>
        <w:t>i</w:t>
      </w:r>
      <w:r w:rsidRPr="00A65480">
        <w:rPr>
          <w:lang w:eastAsia="fr-FR"/>
        </w:rPr>
        <w:t>versité infinie, dans leur corrélation à l’hétérogénéité des formes de l’expérience partic</w:t>
      </w:r>
      <w:r w:rsidRPr="00A65480">
        <w:rPr>
          <w:lang w:eastAsia="fr-FR"/>
        </w:rPr>
        <w:t>u</w:t>
      </w:r>
      <w:r w:rsidRPr="00A65480">
        <w:rPr>
          <w:lang w:eastAsia="fr-FR"/>
        </w:rPr>
        <w:t>lière. Kant précise également que ce concept est celui de « la nature comme art » qui ne fonde aucune théorie, mais « donne simplement un principe pour progresser d’après les lois de l’expérience ». À ce titre, la faculté de juger « est un pouvoir qui n’est à même que de su</w:t>
      </w:r>
      <w:r w:rsidRPr="00A65480">
        <w:rPr>
          <w:lang w:eastAsia="fr-FR"/>
        </w:rPr>
        <w:t>b</w:t>
      </w:r>
      <w:r w:rsidRPr="00A65480">
        <w:rPr>
          <w:lang w:eastAsia="fr-FR"/>
        </w:rPr>
        <w:t>sumer sous des concepts donnés par ailleurs</w:t>
      </w:r>
      <w:r>
        <w:rPr>
          <w:lang w:eastAsia="fr-FR"/>
        </w:rPr>
        <w:t> </w:t>
      </w:r>
      <w:r>
        <w:rPr>
          <w:rStyle w:val="Appelnotedebasdep"/>
          <w:lang w:eastAsia="fr-FR"/>
        </w:rPr>
        <w:footnoteReference w:id="29"/>
      </w:r>
      <w:r w:rsidRPr="00A65480">
        <w:rPr>
          <w:lang w:eastAsia="fr-FR"/>
        </w:rPr>
        <w:t> ».</w:t>
      </w:r>
    </w:p>
    <w:p w:rsidR="00AA693F" w:rsidRPr="00A65480" w:rsidRDefault="00AA693F" w:rsidP="00AA693F">
      <w:pPr>
        <w:spacing w:before="120" w:after="120"/>
        <w:jc w:val="both"/>
        <w:rPr>
          <w:lang w:eastAsia="fr-FR"/>
        </w:rPr>
      </w:pPr>
      <w:r w:rsidRPr="00A65480">
        <w:rPr>
          <w:lang w:eastAsia="fr-FR"/>
        </w:rPr>
        <w:t>Nous entrons ici dans le domaine d’une « manière de penser qui consiste à faire de la pensée un usage conforme à sa fin</w:t>
      </w:r>
      <w:r>
        <w:rPr>
          <w:lang w:eastAsia="fr-FR"/>
        </w:rPr>
        <w:t> </w:t>
      </w:r>
      <w:r>
        <w:rPr>
          <w:rStyle w:val="Appelnotedebasdep"/>
          <w:lang w:eastAsia="fr-FR"/>
        </w:rPr>
        <w:footnoteReference w:id="30"/>
      </w:r>
      <w:r w:rsidRPr="00A65480">
        <w:rPr>
          <w:lang w:eastAsia="fr-FR"/>
        </w:rPr>
        <w:t> », d’un « jugement réfléchissant » où « seul le particulier est donné », la f</w:t>
      </w:r>
      <w:r w:rsidRPr="00A65480">
        <w:rPr>
          <w:lang w:eastAsia="fr-FR"/>
        </w:rPr>
        <w:t>a</w:t>
      </w:r>
      <w:r w:rsidRPr="00A65480">
        <w:rPr>
          <w:lang w:eastAsia="fr-FR"/>
        </w:rPr>
        <w:t>culté de juger devant ainsi trouver l’universel par sa seule réflexion. Nous qui</w:t>
      </w:r>
      <w:r w:rsidRPr="00A65480">
        <w:rPr>
          <w:lang w:eastAsia="fr-FR"/>
        </w:rPr>
        <w:t>t</w:t>
      </w:r>
      <w:r w:rsidRPr="00A65480">
        <w:rPr>
          <w:lang w:eastAsia="fr-FR"/>
        </w:rPr>
        <w:t>tons par là même le terrain fortement cognitif de la « pure » méthode transcendantale, basée sur un « jugement déterminant » où le principe universel (la règle) est donné au titre de l’</w:t>
      </w:r>
      <w:r w:rsidRPr="00A65480">
        <w:rPr>
          <w:i/>
          <w:lang w:eastAsia="fr-FR"/>
        </w:rPr>
        <w:t>a priori</w:t>
      </w:r>
      <w:r w:rsidRPr="00A65480">
        <w:rPr>
          <w:lang w:eastAsia="fr-FR"/>
        </w:rPr>
        <w:t xml:space="preserve"> transce</w:t>
      </w:r>
      <w:r w:rsidRPr="00A65480">
        <w:rPr>
          <w:lang w:eastAsia="fr-FR"/>
        </w:rPr>
        <w:t>n</w:t>
      </w:r>
      <w:r w:rsidRPr="00A65480">
        <w:rPr>
          <w:lang w:eastAsia="fr-FR"/>
        </w:rPr>
        <w:t xml:space="preserve">dantal : il s’agissait alors de s’intéresser à ce qui précède l’expérience, c’est-à-dire aux « concepts </w:t>
      </w:r>
      <w:r w:rsidRPr="00A65480">
        <w:rPr>
          <w:i/>
          <w:lang w:eastAsia="fr-FR"/>
        </w:rPr>
        <w:t>a priori</w:t>
      </w:r>
      <w:r w:rsidRPr="00A65480">
        <w:rPr>
          <w:lang w:eastAsia="fr-FR"/>
        </w:rPr>
        <w:t xml:space="preserve"> des objets » et à leur application </w:t>
      </w:r>
      <w:r w:rsidRPr="00A65480">
        <w:rPr>
          <w:i/>
          <w:lang w:eastAsia="fr-FR"/>
        </w:rPr>
        <w:t>a posteriori</w:t>
      </w:r>
      <w:r w:rsidRPr="00A65480">
        <w:rPr>
          <w:lang w:eastAsia="fr-FR"/>
        </w:rPr>
        <w:t xml:space="preserve"> dans l’expérience. Nous pouvons désormais évoluer dans un espace de réflexion où « la finalité elle-même est considérée un</w:t>
      </w:r>
      <w:r w:rsidRPr="00A65480">
        <w:rPr>
          <w:lang w:eastAsia="fr-FR"/>
        </w:rPr>
        <w:t>i</w:t>
      </w:r>
      <w:r w:rsidRPr="00A65480">
        <w:rPr>
          <w:lang w:eastAsia="fr-FR"/>
        </w:rPr>
        <w:t>quement comme su</w:t>
      </w:r>
      <w:r w:rsidRPr="00A65480">
        <w:rPr>
          <w:lang w:eastAsia="fr-FR"/>
        </w:rPr>
        <w:t>b</w:t>
      </w:r>
      <w:r w:rsidRPr="00A65480">
        <w:rPr>
          <w:lang w:eastAsia="fr-FR"/>
        </w:rPr>
        <w:t>jective</w:t>
      </w:r>
      <w:r>
        <w:rPr>
          <w:lang w:eastAsia="fr-FR"/>
        </w:rPr>
        <w:t> </w:t>
      </w:r>
      <w:r>
        <w:rPr>
          <w:rStyle w:val="Appelnotedebasdep"/>
          <w:lang w:eastAsia="fr-FR"/>
        </w:rPr>
        <w:footnoteReference w:id="31"/>
      </w:r>
      <w:r w:rsidRPr="00A65480">
        <w:rPr>
          <w:lang w:eastAsia="fr-FR"/>
        </w:rPr>
        <w:t> » à distance de ce qui peut être tenu pour objectif par un sujet en fonction de règles données de l’entendement.</w:t>
      </w:r>
    </w:p>
    <w:p w:rsidR="00AA693F" w:rsidRPr="00A65480" w:rsidRDefault="00AA693F" w:rsidP="00AA693F">
      <w:pPr>
        <w:spacing w:before="120" w:after="120"/>
        <w:jc w:val="both"/>
        <w:rPr>
          <w:lang w:eastAsia="fr-FR"/>
        </w:rPr>
      </w:pPr>
      <w:r w:rsidRPr="00A65480">
        <w:rPr>
          <w:lang w:eastAsia="fr-FR"/>
        </w:rPr>
        <w:lastRenderedPageBreak/>
        <w:t>Il est donc maintenant question d’un pouvoir de présentation pe</w:t>
      </w:r>
      <w:r w:rsidRPr="00A65480">
        <w:rPr>
          <w:lang w:eastAsia="fr-FR"/>
        </w:rPr>
        <w:t>r</w:t>
      </w:r>
      <w:r w:rsidRPr="00A65480">
        <w:rPr>
          <w:lang w:eastAsia="fr-FR"/>
        </w:rPr>
        <w:t>mettant de promouvoir la réflexion par elle-même et pour elle-même, et donc d’aller au-delà de la simple compréhension rationnelle des phén</w:t>
      </w:r>
      <w:r w:rsidRPr="00A65480">
        <w:rPr>
          <w:lang w:eastAsia="fr-FR"/>
        </w:rPr>
        <w:t>o</w:t>
      </w:r>
      <w:r w:rsidRPr="00A65480">
        <w:rPr>
          <w:lang w:eastAsia="fr-FR"/>
        </w:rPr>
        <w:t>mènes, en d’autres termes toujours empruntés à Kant, d’« élargir esthét</w:t>
      </w:r>
      <w:r w:rsidRPr="00A65480">
        <w:rPr>
          <w:lang w:eastAsia="fr-FR"/>
        </w:rPr>
        <w:t>i</w:t>
      </w:r>
      <w:r w:rsidRPr="00A65480">
        <w:rPr>
          <w:lang w:eastAsia="fr-FR"/>
        </w:rPr>
        <w:t>quement le concept lui-même de manière illimitée ». Ce pouvoir si éte</w:t>
      </w:r>
      <w:r w:rsidRPr="00A65480">
        <w:rPr>
          <w:lang w:eastAsia="fr-FR"/>
        </w:rPr>
        <w:t>n</w:t>
      </w:r>
      <w:r w:rsidRPr="00A65480">
        <w:rPr>
          <w:lang w:eastAsia="fr-FR"/>
        </w:rPr>
        <w:t>du correspond à une imagination créatrice qui met en mouvement le po</w:t>
      </w:r>
      <w:r w:rsidRPr="00A65480">
        <w:rPr>
          <w:lang w:eastAsia="fr-FR"/>
        </w:rPr>
        <w:t>u</w:t>
      </w:r>
      <w:r w:rsidRPr="00A65480">
        <w:rPr>
          <w:lang w:eastAsia="fr-FR"/>
        </w:rPr>
        <w:t>voir de la raison d’une manière apte à penser au-delà de la clarté habitue</w:t>
      </w:r>
      <w:r w:rsidRPr="00A65480">
        <w:rPr>
          <w:lang w:eastAsia="fr-FR"/>
        </w:rPr>
        <w:t>l</w:t>
      </w:r>
      <w:r w:rsidRPr="00A65480">
        <w:rPr>
          <w:lang w:eastAsia="fr-FR"/>
        </w:rPr>
        <w:t>le de la méthode.</w:t>
      </w:r>
    </w:p>
    <w:p w:rsidR="00AA693F" w:rsidRPr="00A65480" w:rsidRDefault="00AA693F" w:rsidP="00AA693F">
      <w:pPr>
        <w:spacing w:before="120" w:after="120"/>
        <w:jc w:val="both"/>
        <w:rPr>
          <w:lang w:eastAsia="fr-FR"/>
        </w:rPr>
      </w:pPr>
      <w:r w:rsidRPr="00A65480">
        <w:rPr>
          <w:lang w:eastAsia="fr-FR"/>
        </w:rPr>
        <w:t>Dans une telle perspective esthétique, l’usage de l’imagination, s</w:t>
      </w:r>
      <w:r w:rsidRPr="00A65480">
        <w:rPr>
          <w:lang w:eastAsia="fr-FR"/>
        </w:rPr>
        <w:t>e</w:t>
      </w:r>
      <w:r w:rsidRPr="00A65480">
        <w:rPr>
          <w:lang w:eastAsia="fr-FR"/>
        </w:rPr>
        <w:t xml:space="preserve">lon une libre causalité, nous renvoie au </w:t>
      </w:r>
      <w:r w:rsidRPr="00A65480">
        <w:rPr>
          <w:i/>
          <w:lang w:eastAsia="fr-FR"/>
        </w:rPr>
        <w:t>génie</w:t>
      </w:r>
      <w:r w:rsidRPr="00A65480">
        <w:rPr>
          <w:lang w:eastAsia="fr-FR"/>
        </w:rPr>
        <w:t xml:space="preserve"> philosophique que Kant définit dans les termes suivants :</w:t>
      </w:r>
    </w:p>
    <w:p w:rsidR="00AA693F" w:rsidRPr="00A65480" w:rsidRDefault="00AA693F" w:rsidP="00AA693F">
      <w:pPr>
        <w:spacing w:before="120" w:after="120"/>
        <w:jc w:val="both"/>
        <w:rPr>
          <w:lang w:eastAsia="fr-FR"/>
        </w:rPr>
      </w:pPr>
      <w:r w:rsidRPr="00A65480">
        <w:rPr>
          <w:lang w:eastAsia="fr-FR"/>
        </w:rPr>
        <w:t>Ainsi le génie réside-t-il à proprement parler dans l’heureuse rel</w:t>
      </w:r>
      <w:r w:rsidRPr="00A65480">
        <w:rPr>
          <w:lang w:eastAsia="fr-FR"/>
        </w:rPr>
        <w:t>a</w:t>
      </w:r>
      <w:r w:rsidRPr="00A65480">
        <w:rPr>
          <w:lang w:eastAsia="fr-FR"/>
        </w:rPr>
        <w:t>tion, qu’aucune science ne peut enseigner et qu’aucune application ne fait a</w:t>
      </w:r>
      <w:r w:rsidRPr="00A65480">
        <w:rPr>
          <w:lang w:eastAsia="fr-FR"/>
        </w:rPr>
        <w:t>c</w:t>
      </w:r>
      <w:r w:rsidRPr="00A65480">
        <w:rPr>
          <w:lang w:eastAsia="fr-FR"/>
        </w:rPr>
        <w:t>quérir par apprentissage, qui permet d’une part de découvrir des Idées pour un concept donné, et d’autre part d’obtenir pour ces Idées l’expression grâce à laquelle la disposition subjective de l’esprit ainsi suscitée, en tant qu’accompagnant un concept, peut être communiquée à autrui</w:t>
      </w:r>
      <w:r>
        <w:rPr>
          <w:lang w:eastAsia="fr-FR"/>
        </w:rPr>
        <w:t> </w:t>
      </w:r>
      <w:r>
        <w:rPr>
          <w:rStyle w:val="Appelnotedebasdep"/>
          <w:lang w:eastAsia="fr-FR"/>
        </w:rPr>
        <w:footnoteReference w:id="32"/>
      </w:r>
      <w:r w:rsidRPr="00A65480">
        <w:rPr>
          <w:lang w:eastAsia="fr-FR"/>
        </w:rPr>
        <w:t>.</w:t>
      </w:r>
    </w:p>
    <w:p w:rsidR="00AA693F" w:rsidRPr="00A65480" w:rsidRDefault="00AA693F" w:rsidP="00AA693F">
      <w:pPr>
        <w:spacing w:before="120" w:after="120"/>
        <w:jc w:val="both"/>
        <w:rPr>
          <w:lang w:eastAsia="fr-FR"/>
        </w:rPr>
      </w:pPr>
      <w:r w:rsidRPr="00A65480">
        <w:rPr>
          <w:lang w:eastAsia="fr-FR"/>
        </w:rPr>
        <w:t>Une telle définition du génie n’est-elle pas traduite pratiquement dans la figure du législateur-philosophe de l’an II, dont des travaux r</w:t>
      </w:r>
      <w:r w:rsidRPr="00A65480">
        <w:rPr>
          <w:lang w:eastAsia="fr-FR"/>
        </w:rPr>
        <w:t>é</w:t>
      </w:r>
      <w:r w:rsidRPr="00A65480">
        <w:rPr>
          <w:lang w:eastAsia="fr-FR"/>
        </w:rPr>
        <w:t>cents ont montré la position centrale dans le domaine de la mise en mouvement du libéralisme politique</w:t>
      </w:r>
      <w:r>
        <w:rPr>
          <w:lang w:eastAsia="fr-FR"/>
        </w:rPr>
        <w:t> </w:t>
      </w:r>
      <w:r>
        <w:rPr>
          <w:rStyle w:val="Appelnotedebasdep"/>
          <w:lang w:eastAsia="fr-FR"/>
        </w:rPr>
        <w:footnoteReference w:id="33"/>
      </w:r>
      <w:r w:rsidRPr="00A65480">
        <w:rPr>
          <w:lang w:eastAsia="fr-FR"/>
        </w:rPr>
        <w:t> ? De fait, l’expressivité du di</w:t>
      </w:r>
      <w:r w:rsidRPr="00A65480">
        <w:rPr>
          <w:lang w:eastAsia="fr-FR"/>
        </w:rPr>
        <w:t>s</w:t>
      </w:r>
      <w:r w:rsidRPr="00A65480">
        <w:rPr>
          <w:lang w:eastAsia="fr-FR"/>
        </w:rPr>
        <w:t>cours montagnard nous renvoie à une totalité rationnelle en devenir par le d</w:t>
      </w:r>
      <w:r w:rsidRPr="00A65480">
        <w:rPr>
          <w:lang w:eastAsia="fr-FR"/>
        </w:rPr>
        <w:t>é</w:t>
      </w:r>
      <w:r w:rsidRPr="00A65480">
        <w:rPr>
          <w:lang w:eastAsia="fr-FR"/>
        </w:rPr>
        <w:t>ploiement constant d’une conviction commune associée à l’idée de droit. Ainsi s’opère, au sein des Institutions civiles (l’instruction publique, la langue nationale, la bienfaisance sociale, etc.) instaurées par le gouvernement révolutionnaire de l’an II, un a</w:t>
      </w:r>
      <w:r w:rsidRPr="00A65480">
        <w:rPr>
          <w:lang w:eastAsia="fr-FR"/>
        </w:rPr>
        <w:t>p</w:t>
      </w:r>
      <w:r w:rsidRPr="00A65480">
        <w:rPr>
          <w:lang w:eastAsia="fr-FR"/>
        </w:rPr>
        <w:t>pel immédiat et universel à la communauté des citoyens, au titre du lien social qui les unit. Communauté des affects qui peut aller ju</w:t>
      </w:r>
      <w:r w:rsidRPr="00A65480">
        <w:rPr>
          <w:lang w:eastAsia="fr-FR"/>
        </w:rPr>
        <w:t>s</w:t>
      </w:r>
      <w:r w:rsidRPr="00A65480">
        <w:rPr>
          <w:lang w:eastAsia="fr-FR"/>
        </w:rPr>
        <w:t>qu’au sublime et qui permet alors d’opérer la quête rationnelle du d</w:t>
      </w:r>
      <w:r w:rsidRPr="00A65480">
        <w:rPr>
          <w:lang w:eastAsia="fr-FR"/>
        </w:rPr>
        <w:t>e</w:t>
      </w:r>
      <w:r w:rsidRPr="00A65480">
        <w:rPr>
          <w:lang w:eastAsia="fr-FR"/>
        </w:rPr>
        <w:t xml:space="preserve">venir. En effet, elle valorise, par le déploiement du sentiment d’humanité, une faculté suprême de jugement moral en tant que raison active, socialisée, transformée, achevée. C’est surtout l’intervention morale des spectateurs et, plus particulièrement, celle des citoyennes </w:t>
      </w:r>
      <w:r w:rsidRPr="00A65480">
        <w:rPr>
          <w:lang w:eastAsia="fr-FR"/>
        </w:rPr>
        <w:lastRenderedPageBreak/>
        <w:t>exclues par ailleurs de la scène politique représentative qui confère à la singularité de l’événement sa dimension universelle</w:t>
      </w:r>
      <w:r>
        <w:rPr>
          <w:lang w:eastAsia="fr-FR"/>
        </w:rPr>
        <w:t> </w:t>
      </w:r>
      <w:r>
        <w:rPr>
          <w:rStyle w:val="Appelnotedebasdep"/>
          <w:lang w:eastAsia="fr-FR"/>
        </w:rPr>
        <w:footnoteReference w:id="34"/>
      </w:r>
      <w:r w:rsidRPr="00A65480">
        <w:rPr>
          <w:lang w:eastAsia="fr-FR"/>
        </w:rPr>
        <w:t>.</w:t>
      </w:r>
    </w:p>
    <w:p w:rsidR="00AA693F" w:rsidRPr="00A65480" w:rsidRDefault="00AA693F" w:rsidP="00AA693F">
      <w:pPr>
        <w:spacing w:before="120" w:after="120"/>
        <w:jc w:val="both"/>
        <w:rPr>
          <w:lang w:eastAsia="fr-FR"/>
        </w:rPr>
      </w:pPr>
      <w:r w:rsidRPr="00A65480">
        <w:rPr>
          <w:lang w:eastAsia="fr-FR"/>
        </w:rPr>
        <w:t>À ce titre, et pour en revenir à Kant, la présence de « tous les spe</w:t>
      </w:r>
      <w:r w:rsidRPr="00A65480">
        <w:rPr>
          <w:lang w:eastAsia="fr-FR"/>
        </w:rPr>
        <w:t>c</w:t>
      </w:r>
      <w:r w:rsidRPr="00A65480">
        <w:rPr>
          <w:lang w:eastAsia="fr-FR"/>
        </w:rPr>
        <w:t>tateurs » dans le nouvel espace républicain mis en place par la Rév</w:t>
      </w:r>
      <w:r w:rsidRPr="00A65480">
        <w:rPr>
          <w:lang w:eastAsia="fr-FR"/>
        </w:rPr>
        <w:t>o</w:t>
      </w:r>
      <w:r w:rsidRPr="00A65480">
        <w:rPr>
          <w:lang w:eastAsia="fr-FR"/>
        </w:rPr>
        <w:t>lution française constitue bien une totalité rationnelle en devenir par le déploiement d’une conviction commune. Alors s’impose un appel d</w:t>
      </w:r>
      <w:r w:rsidRPr="00A65480">
        <w:rPr>
          <w:lang w:eastAsia="fr-FR"/>
        </w:rPr>
        <w:t>i</w:t>
      </w:r>
      <w:r w:rsidRPr="00A65480">
        <w:rPr>
          <w:lang w:eastAsia="fr-FR"/>
        </w:rPr>
        <w:t>rect de valeur universelle à la communauté des citoyens dont les jac</w:t>
      </w:r>
      <w:r w:rsidRPr="00A65480">
        <w:rPr>
          <w:lang w:eastAsia="fr-FR"/>
        </w:rPr>
        <w:t>o</w:t>
      </w:r>
      <w:r w:rsidRPr="00A65480">
        <w:rPr>
          <w:lang w:eastAsia="fr-FR"/>
        </w:rPr>
        <w:t>bins mo</w:t>
      </w:r>
      <w:r w:rsidRPr="00A65480">
        <w:rPr>
          <w:lang w:eastAsia="fr-FR"/>
        </w:rPr>
        <w:t>n</w:t>
      </w:r>
      <w:r w:rsidRPr="00A65480">
        <w:rPr>
          <w:lang w:eastAsia="fr-FR"/>
        </w:rPr>
        <w:t>tagnards de l’an II font sans cesse usage au nom du lien qui unit le lég</w:t>
      </w:r>
      <w:r w:rsidRPr="00A65480">
        <w:rPr>
          <w:lang w:eastAsia="fr-FR"/>
        </w:rPr>
        <w:t>i</w:t>
      </w:r>
      <w:r w:rsidRPr="00A65480">
        <w:rPr>
          <w:lang w:eastAsia="fr-FR"/>
        </w:rPr>
        <w:t>slateur et le citoyen.</w:t>
      </w:r>
    </w:p>
    <w:p w:rsidR="00AA693F" w:rsidRPr="00A65480" w:rsidRDefault="00AA693F" w:rsidP="00AA693F">
      <w:pPr>
        <w:spacing w:before="120" w:after="120"/>
        <w:jc w:val="both"/>
        <w:rPr>
          <w:lang w:eastAsia="fr-FR"/>
        </w:rPr>
      </w:pPr>
      <w:r w:rsidRPr="00A65480">
        <w:rPr>
          <w:lang w:eastAsia="fr-FR"/>
        </w:rPr>
        <w:t>Cependant, ce détour, certes bien trop succinct, par la manière dont Kant conçoit la dimension foncièrement esthétique du « pouvoir de porter des jugements appréciatifs », permet de restituer, en partie, la portée interprétative de sa lecture de la Révolution française</w:t>
      </w:r>
      <w:r>
        <w:rPr>
          <w:lang w:eastAsia="fr-FR"/>
        </w:rPr>
        <w:t> </w:t>
      </w:r>
      <w:r>
        <w:rPr>
          <w:rStyle w:val="Appelnotedebasdep"/>
          <w:lang w:eastAsia="fr-FR"/>
        </w:rPr>
        <w:footnoteReference w:id="35"/>
      </w:r>
      <w:r w:rsidRPr="00A65480">
        <w:rPr>
          <w:lang w:eastAsia="fr-FR"/>
        </w:rPr>
        <w:t xml:space="preserve"> à partir de la série suivante d’énoncés de facture kantienne : la convi</w:t>
      </w:r>
      <w:r w:rsidRPr="00A65480">
        <w:rPr>
          <w:lang w:eastAsia="fr-FR"/>
        </w:rPr>
        <w:t>c</w:t>
      </w:r>
      <w:r w:rsidRPr="00A65480">
        <w:rPr>
          <w:lang w:eastAsia="fr-FR"/>
        </w:rPr>
        <w:t>tion commune, la manière de penser proprement subjective, la disp</w:t>
      </w:r>
      <w:r w:rsidRPr="00A65480">
        <w:rPr>
          <w:lang w:eastAsia="fr-FR"/>
        </w:rPr>
        <w:t>o</w:t>
      </w:r>
      <w:r w:rsidRPr="00A65480">
        <w:rPr>
          <w:lang w:eastAsia="fr-FR"/>
        </w:rPr>
        <w:t>sition subjective de l’esprit et, donc, « l’expression qui convient ». Il s’agit bien d’autant de formulations manifestant « un pouvoir de présent</w:t>
      </w:r>
      <w:r w:rsidRPr="00A65480">
        <w:rPr>
          <w:lang w:eastAsia="fr-FR"/>
        </w:rPr>
        <w:t>a</w:t>
      </w:r>
      <w:r w:rsidRPr="00A65480">
        <w:rPr>
          <w:lang w:eastAsia="fr-FR"/>
        </w:rPr>
        <w:t>tion » de la faculté de juger qui ouvre « la possibilité de porter son regard sur un champ infini de représentations apparentées</w:t>
      </w:r>
      <w:r>
        <w:rPr>
          <w:lang w:eastAsia="fr-FR"/>
        </w:rPr>
        <w:t> </w:t>
      </w:r>
      <w:r>
        <w:rPr>
          <w:rStyle w:val="Appelnotedebasdep"/>
          <w:lang w:eastAsia="fr-FR"/>
        </w:rPr>
        <w:footnoteReference w:id="36"/>
      </w:r>
      <w:r w:rsidRPr="00A65480">
        <w:rPr>
          <w:lang w:eastAsia="fr-FR"/>
        </w:rPr>
        <w:t> ».</w:t>
      </w:r>
    </w:p>
    <w:p w:rsidR="00AA693F" w:rsidRPr="00A65480" w:rsidRDefault="00AA693F" w:rsidP="00AA693F">
      <w:pPr>
        <w:spacing w:before="120" w:after="120"/>
        <w:jc w:val="both"/>
        <w:rPr>
          <w:lang w:eastAsia="fr-FR"/>
        </w:rPr>
      </w:pPr>
      <w:r w:rsidRPr="00A65480">
        <w:rPr>
          <w:lang w:eastAsia="fr-FR"/>
        </w:rPr>
        <w:t>Une fois ces formes de l’expérience esthétique désignées, nous pouvons comprendre la façon dont Kant, évoquant le spectacle de la R</w:t>
      </w:r>
      <w:r w:rsidRPr="00A65480">
        <w:rPr>
          <w:lang w:eastAsia="fr-FR"/>
        </w:rPr>
        <w:t>é</w:t>
      </w:r>
      <w:r w:rsidRPr="00A65480">
        <w:rPr>
          <w:lang w:eastAsia="fr-FR"/>
        </w:rPr>
        <w:t>volution française, y trouve une manière de penser exemplaire de la m</w:t>
      </w:r>
      <w:r w:rsidRPr="00A65480">
        <w:rPr>
          <w:lang w:eastAsia="fr-FR"/>
        </w:rPr>
        <w:t>a</w:t>
      </w:r>
      <w:r w:rsidRPr="00A65480">
        <w:rPr>
          <w:lang w:eastAsia="fr-FR"/>
        </w:rPr>
        <w:t>nifestation d’une émotion esthétique significative du progrès de l’humanité. Le texte concerné est bien sûr le célèbre chapitre intitulé « Conflit des facultés » à propos « d’un événement de notre temps qui prouve cette tendance morale de l’humanité</w:t>
      </w:r>
      <w:r>
        <w:rPr>
          <w:lang w:eastAsia="fr-FR"/>
        </w:rPr>
        <w:t> </w:t>
      </w:r>
      <w:r>
        <w:rPr>
          <w:rStyle w:val="Appelnotedebasdep"/>
          <w:lang w:eastAsia="fr-FR"/>
        </w:rPr>
        <w:footnoteReference w:id="37"/>
      </w:r>
      <w:r w:rsidRPr="00A65480">
        <w:rPr>
          <w:lang w:eastAsia="fr-FR"/>
        </w:rPr>
        <w:t> ». Ce texte « colle » en effet parfaitement à notre propos dans la mesure où la Révolution française y apparaît comme la quintessence historique de toute cons</w:t>
      </w:r>
      <w:r w:rsidRPr="00A65480">
        <w:rPr>
          <w:lang w:eastAsia="fr-FR"/>
        </w:rPr>
        <w:t>i</w:t>
      </w:r>
      <w:r w:rsidRPr="00A65480">
        <w:rPr>
          <w:lang w:eastAsia="fr-FR"/>
        </w:rPr>
        <w:t>dération esthétique sur la modernité du droit.</w:t>
      </w:r>
    </w:p>
    <w:p w:rsidR="00AA693F" w:rsidRPr="00A65480" w:rsidRDefault="00AA693F" w:rsidP="00AA693F">
      <w:pPr>
        <w:spacing w:before="120" w:after="120"/>
        <w:jc w:val="both"/>
        <w:rPr>
          <w:lang w:eastAsia="fr-FR"/>
        </w:rPr>
      </w:pPr>
      <w:r w:rsidRPr="00A65480">
        <w:rPr>
          <w:lang w:eastAsia="fr-FR"/>
        </w:rPr>
        <w:lastRenderedPageBreak/>
        <w:t>Première question posée par Kant à « l’événement de notre temps » : comment s’y déploie « la manière de penser proprement subjective » qui nous situe d’emblée dans un espace esthétique ? R</w:t>
      </w:r>
      <w:r w:rsidRPr="00A65480">
        <w:rPr>
          <w:lang w:eastAsia="fr-FR"/>
        </w:rPr>
        <w:t>é</w:t>
      </w:r>
      <w:r w:rsidRPr="00A65480">
        <w:rPr>
          <w:lang w:eastAsia="fr-FR"/>
        </w:rPr>
        <w:t>ponse : « Cet événement ne consiste pas, par exemple, en d’importants faits ou méfaits accomplis par des hommes […]. Non, il s’agit simplement de la manière de penser des spectateurs qui se tr</w:t>
      </w:r>
      <w:r w:rsidRPr="00A65480">
        <w:rPr>
          <w:lang w:eastAsia="fr-FR"/>
        </w:rPr>
        <w:t>a</w:t>
      </w:r>
      <w:r w:rsidRPr="00A65480">
        <w:rPr>
          <w:lang w:eastAsia="fr-FR"/>
        </w:rPr>
        <w:t>duit publiquement à l’occasion de ce jeu des grands boulevers</w:t>
      </w:r>
      <w:r w:rsidRPr="00A65480">
        <w:rPr>
          <w:lang w:eastAsia="fr-FR"/>
        </w:rPr>
        <w:t>e</w:t>
      </w:r>
      <w:r w:rsidRPr="00A65480">
        <w:rPr>
          <w:lang w:eastAsia="fr-FR"/>
        </w:rPr>
        <w:t>ments. » C’est bien la manière d’être, de penser du spectateur, et non de l’acteur déjà constitué, qui fait sens, qui constitue la Révolution française comme signe de progrès</w:t>
      </w:r>
      <w:r>
        <w:rPr>
          <w:lang w:eastAsia="fr-FR"/>
        </w:rPr>
        <w:t> </w:t>
      </w:r>
      <w:r>
        <w:rPr>
          <w:rStyle w:val="Appelnotedebasdep"/>
          <w:lang w:eastAsia="fr-FR"/>
        </w:rPr>
        <w:footnoteReference w:id="38"/>
      </w:r>
      <w:r w:rsidRPr="00A65480">
        <w:rPr>
          <w:lang w:eastAsia="fr-FR"/>
        </w:rPr>
        <w:t>. Qui plus est, cette manifestation révolutionnaire de « l’esprit de tous les spectateurs » équivaut à une « sympathie d’aspiration » ou, mieux encore, à une « prise de pos</w:t>
      </w:r>
      <w:r w:rsidRPr="00A65480">
        <w:rPr>
          <w:lang w:eastAsia="fr-FR"/>
        </w:rPr>
        <w:t>i</w:t>
      </w:r>
      <w:r w:rsidRPr="00A65480">
        <w:rPr>
          <w:lang w:eastAsia="fr-FR"/>
        </w:rPr>
        <w:t>tion » qui « confine à l’enthousiasme ».</w:t>
      </w:r>
    </w:p>
    <w:p w:rsidR="00AA693F" w:rsidRPr="00A65480" w:rsidRDefault="00AA693F" w:rsidP="00AA693F">
      <w:pPr>
        <w:spacing w:before="120" w:after="120"/>
        <w:jc w:val="both"/>
        <w:rPr>
          <w:lang w:eastAsia="fr-FR"/>
        </w:rPr>
      </w:pPr>
      <w:r w:rsidRPr="00A65480">
        <w:rPr>
          <w:lang w:eastAsia="fr-FR"/>
        </w:rPr>
        <w:t>Nous sommes ainsi confrontés, avec la Révolution française, à un signe-événement, à la fois signe pour la sensibilité esthétique et signe d’un intérêt pour une liberté à valeur émancipatoire. Précisons qu’une telle expérience esthétique historiquement attestée connaît sa concrétis</w:t>
      </w:r>
      <w:r w:rsidRPr="00A65480">
        <w:rPr>
          <w:lang w:eastAsia="fr-FR"/>
        </w:rPr>
        <w:t>a</w:t>
      </w:r>
      <w:r w:rsidRPr="00A65480">
        <w:rPr>
          <w:lang w:eastAsia="fr-FR"/>
        </w:rPr>
        <w:t>tion maximale dans la manifestation d’un enthousiasme en tant qu’affection sublime où se succèdent immédiatement répulsion et attra</w:t>
      </w:r>
      <w:r w:rsidRPr="00A65480">
        <w:rPr>
          <w:lang w:eastAsia="fr-FR"/>
        </w:rPr>
        <w:t>c</w:t>
      </w:r>
      <w:r w:rsidRPr="00A65480">
        <w:rPr>
          <w:lang w:eastAsia="fr-FR"/>
        </w:rPr>
        <w:t>tion pour le même objet</w:t>
      </w:r>
      <w:r>
        <w:rPr>
          <w:lang w:eastAsia="fr-FR"/>
        </w:rPr>
        <w:t> </w:t>
      </w:r>
      <w:r>
        <w:rPr>
          <w:rStyle w:val="Appelnotedebasdep"/>
          <w:lang w:eastAsia="fr-FR"/>
        </w:rPr>
        <w:footnoteReference w:id="39"/>
      </w:r>
      <w:r w:rsidRPr="00A65480">
        <w:rPr>
          <w:lang w:eastAsia="fr-FR"/>
        </w:rPr>
        <w:t>.</w:t>
      </w:r>
    </w:p>
    <w:p w:rsidR="00AA693F" w:rsidRPr="00A65480" w:rsidRDefault="00AA693F" w:rsidP="00AA693F">
      <w:pPr>
        <w:spacing w:before="120" w:after="120"/>
        <w:jc w:val="both"/>
        <w:rPr>
          <w:lang w:eastAsia="fr-FR"/>
        </w:rPr>
      </w:pPr>
      <w:r w:rsidRPr="00A65480">
        <w:rPr>
          <w:lang w:eastAsia="fr-FR"/>
        </w:rPr>
        <w:t>C’est bien le sentiment du sublime qui, en créant une comm</w:t>
      </w:r>
      <w:r w:rsidRPr="00A65480">
        <w:rPr>
          <w:lang w:eastAsia="fr-FR"/>
        </w:rPr>
        <w:t>u</w:t>
      </w:r>
      <w:r w:rsidRPr="00A65480">
        <w:rPr>
          <w:lang w:eastAsia="fr-FR"/>
        </w:rPr>
        <w:t>nauté des affects pouvant aller jusqu’à l’expression esthétique, permet de faire « sens commun » pour l’ensemble des spectateurs des évén</w:t>
      </w:r>
      <w:r w:rsidRPr="00A65480">
        <w:rPr>
          <w:lang w:eastAsia="fr-FR"/>
        </w:rPr>
        <w:t>e</w:t>
      </w:r>
      <w:r w:rsidRPr="00A65480">
        <w:rPr>
          <w:lang w:eastAsia="fr-FR"/>
        </w:rPr>
        <w:t>ments. Ces spectateurs ne sont donc pas des sujets passifs. Engagés par le fait de l’enthousiasme, ils deviennent les protagonistes de l’événement sans pour autant s’y confondre avec les acteurs const</w:t>
      </w:r>
      <w:r w:rsidRPr="00A65480">
        <w:rPr>
          <w:lang w:eastAsia="fr-FR"/>
        </w:rPr>
        <w:t>i</w:t>
      </w:r>
      <w:r w:rsidRPr="00A65480">
        <w:rPr>
          <w:lang w:eastAsia="fr-FR"/>
        </w:rPr>
        <w:t>tués. Dans leur participation commune à une même expérience mor</w:t>
      </w:r>
      <w:r w:rsidRPr="00A65480">
        <w:rPr>
          <w:lang w:eastAsia="fr-FR"/>
        </w:rPr>
        <w:t>a</w:t>
      </w:r>
      <w:r w:rsidRPr="00A65480">
        <w:rPr>
          <w:lang w:eastAsia="fr-FR"/>
        </w:rPr>
        <w:t>le</w:t>
      </w:r>
      <w:r>
        <w:rPr>
          <w:lang w:eastAsia="fr-FR"/>
        </w:rPr>
        <w:t> </w:t>
      </w:r>
      <w:r>
        <w:rPr>
          <w:rStyle w:val="Appelnotedebasdep"/>
          <w:lang w:eastAsia="fr-FR"/>
        </w:rPr>
        <w:footnoteReference w:id="40"/>
      </w:r>
      <w:r w:rsidRPr="00A65480">
        <w:rPr>
          <w:vertAlign w:val="superscript"/>
          <w:lang w:eastAsia="fr-FR"/>
        </w:rPr>
        <w:t xml:space="preserve">, </w:t>
      </w:r>
      <w:r w:rsidRPr="00A65480">
        <w:rPr>
          <w:lang w:eastAsia="fr-FR"/>
        </w:rPr>
        <w:t>acteurs et spectateurs fini</w:t>
      </w:r>
      <w:r w:rsidRPr="00A65480">
        <w:rPr>
          <w:lang w:eastAsia="fr-FR"/>
        </w:rPr>
        <w:t>s</w:t>
      </w:r>
      <w:r w:rsidRPr="00A65480">
        <w:rPr>
          <w:lang w:eastAsia="fr-FR"/>
        </w:rPr>
        <w:t>sent par ne faire qu’un. Nous pou</w:t>
      </w:r>
      <w:r w:rsidRPr="00A65480">
        <w:rPr>
          <w:lang w:eastAsia="fr-FR"/>
        </w:rPr>
        <w:lastRenderedPageBreak/>
        <w:t>vons alors décrire une communion de sujets issue de la « grandeur d’âme » suscitée par le « pur concept de droit ». La sympathie que le public, distinct de l’engagement militant de certains, éprouve pour la manife</w:t>
      </w:r>
      <w:r w:rsidRPr="00A65480">
        <w:rPr>
          <w:lang w:eastAsia="fr-FR"/>
        </w:rPr>
        <w:t>s</w:t>
      </w:r>
      <w:r w:rsidRPr="00A65480">
        <w:rPr>
          <w:lang w:eastAsia="fr-FR"/>
        </w:rPr>
        <w:t>tation sublime du droit constitue bien la dynamique d’une telle co</w:t>
      </w:r>
      <w:r w:rsidRPr="00A65480">
        <w:rPr>
          <w:lang w:eastAsia="fr-FR"/>
        </w:rPr>
        <w:t>m</w:t>
      </w:r>
      <w:r w:rsidRPr="00A65480">
        <w:rPr>
          <w:lang w:eastAsia="fr-FR"/>
        </w:rPr>
        <w:t>munauté citoyenne.</w:t>
      </w:r>
    </w:p>
    <w:p w:rsidR="00AA693F" w:rsidRPr="00A65480" w:rsidRDefault="00AA693F" w:rsidP="00AA693F">
      <w:pPr>
        <w:spacing w:before="120" w:after="120"/>
        <w:jc w:val="both"/>
        <w:rPr>
          <w:lang w:eastAsia="fr-FR"/>
        </w:rPr>
      </w:pPr>
      <w:r>
        <w:rPr>
          <w:lang w:eastAsia="fr-FR"/>
        </w:rPr>
        <w:t>L</w:t>
      </w:r>
      <w:r w:rsidRPr="00A65480">
        <w:rPr>
          <w:lang w:eastAsia="fr-FR"/>
        </w:rPr>
        <w:t>a seconde question abordée par Kant est étroitement liée à la première : qu’en est-il de « la disposition subjective de l’esprit » m</w:t>
      </w:r>
      <w:r w:rsidRPr="00A65480">
        <w:rPr>
          <w:lang w:eastAsia="fr-FR"/>
        </w:rPr>
        <w:t>a</w:t>
      </w:r>
      <w:r w:rsidRPr="00A65480">
        <w:rPr>
          <w:lang w:eastAsia="fr-FR"/>
        </w:rPr>
        <w:t>nife</w:t>
      </w:r>
      <w:r w:rsidRPr="00A65480">
        <w:rPr>
          <w:lang w:eastAsia="fr-FR"/>
        </w:rPr>
        <w:t>s</w:t>
      </w:r>
      <w:r w:rsidRPr="00A65480">
        <w:rPr>
          <w:lang w:eastAsia="fr-FR"/>
        </w:rPr>
        <w:t>tée par les spectateurs de l’événement révolutionnaire saisis dans leur totalité ? La réponse ne se fait pas attendre : la « prise de pos</w:t>
      </w:r>
      <w:r w:rsidRPr="00A65480">
        <w:rPr>
          <w:lang w:eastAsia="fr-FR"/>
        </w:rPr>
        <w:t>i</w:t>
      </w:r>
      <w:r w:rsidRPr="00A65480">
        <w:rPr>
          <w:lang w:eastAsia="fr-FR"/>
        </w:rPr>
        <w:t>tion » de « tous les spectateurs » ne peut donc « avoir d’autre cause qu’une di</w:t>
      </w:r>
      <w:r w:rsidRPr="00A65480">
        <w:rPr>
          <w:lang w:eastAsia="fr-FR"/>
        </w:rPr>
        <w:t>s</w:t>
      </w:r>
      <w:r w:rsidRPr="00A65480">
        <w:rPr>
          <w:lang w:eastAsia="fr-FR"/>
        </w:rPr>
        <w:t>position morale dans l’espèce humaine ». En associant ainsi le jugement des spe</w:t>
      </w:r>
      <w:r w:rsidRPr="00A65480">
        <w:rPr>
          <w:lang w:eastAsia="fr-FR"/>
        </w:rPr>
        <w:t>c</w:t>
      </w:r>
      <w:r w:rsidRPr="00A65480">
        <w:rPr>
          <w:lang w:eastAsia="fr-FR"/>
        </w:rPr>
        <w:t>tateurs enthousiastes à une « disposition morale du ge</w:t>
      </w:r>
      <w:r w:rsidRPr="00A65480">
        <w:rPr>
          <w:lang w:eastAsia="fr-FR"/>
        </w:rPr>
        <w:t>n</w:t>
      </w:r>
      <w:r w:rsidRPr="00A65480">
        <w:rPr>
          <w:lang w:eastAsia="fr-FR"/>
        </w:rPr>
        <w:t>re humain », Kant rend compte de la toute-puissance de l’idée de droit pendant la Révol</w:t>
      </w:r>
      <w:r w:rsidRPr="00A65480">
        <w:rPr>
          <w:lang w:eastAsia="fr-FR"/>
        </w:rPr>
        <w:t>u</w:t>
      </w:r>
      <w:r w:rsidRPr="00A65480">
        <w:rPr>
          <w:lang w:eastAsia="fr-FR"/>
        </w:rPr>
        <w:t>tion française et de son effectivité à travers l’expression de « constitution d’un peuple ». « La constitution rép</w:t>
      </w:r>
      <w:r w:rsidRPr="00A65480">
        <w:rPr>
          <w:lang w:eastAsia="fr-FR"/>
        </w:rPr>
        <w:t>u</w:t>
      </w:r>
      <w:r w:rsidRPr="00A65480">
        <w:rPr>
          <w:lang w:eastAsia="fr-FR"/>
        </w:rPr>
        <w:t>blicaine », telle est donc l’expression qui convient aux circonstances révolutionnaires en tant que signe du progrès humain.</w:t>
      </w:r>
    </w:p>
    <w:p w:rsidR="00AA693F" w:rsidRDefault="00AA693F" w:rsidP="00AA693F">
      <w:pPr>
        <w:spacing w:before="120" w:after="120"/>
        <w:jc w:val="both"/>
        <w:rPr>
          <w:lang w:eastAsia="fr-FR"/>
        </w:rPr>
      </w:pPr>
      <w:r w:rsidRPr="00A65480">
        <w:rPr>
          <w:lang w:eastAsia="fr-FR"/>
        </w:rPr>
        <w:t>La manifestation d’une conviction commune, dans l’événement r</w:t>
      </w:r>
      <w:r w:rsidRPr="00A65480">
        <w:rPr>
          <w:lang w:eastAsia="fr-FR"/>
        </w:rPr>
        <w:t>é</w:t>
      </w:r>
      <w:r w:rsidRPr="00A65480">
        <w:rPr>
          <w:lang w:eastAsia="fr-FR"/>
        </w:rPr>
        <w:t>volutionnaire, n’est donc pas dissociable de la responsabilité qui i</w:t>
      </w:r>
      <w:r w:rsidRPr="00A65480">
        <w:rPr>
          <w:lang w:eastAsia="fr-FR"/>
        </w:rPr>
        <w:t>n</w:t>
      </w:r>
      <w:r w:rsidRPr="00A65480">
        <w:rPr>
          <w:lang w:eastAsia="fr-FR"/>
        </w:rPr>
        <w:t>combe à ses acteurs, du porte-parole au législateur, dans la réalis</w:t>
      </w:r>
      <w:r w:rsidRPr="00A65480">
        <w:rPr>
          <w:lang w:eastAsia="fr-FR"/>
        </w:rPr>
        <w:t>a</w:t>
      </w:r>
      <w:r w:rsidRPr="00A65480">
        <w:rPr>
          <w:lang w:eastAsia="fr-FR"/>
        </w:rPr>
        <w:t>tion effective de l’idée de droit. Qui plus est, à suivre encore Kant, la prise de position des spectateurs dans le mouvement vers le politique et, de surcroît, révolutionnaire dont nous avons déjà analysé la force agi</w:t>
      </w:r>
      <w:r w:rsidRPr="00A65480">
        <w:rPr>
          <w:lang w:eastAsia="fr-FR"/>
        </w:rPr>
        <w:t>s</w:t>
      </w:r>
      <w:r w:rsidRPr="00A65480">
        <w:rPr>
          <w:lang w:eastAsia="fr-FR"/>
        </w:rPr>
        <w:t>sante est une émotion, qui « ne semble pas être un jeu, mais une affa</w:t>
      </w:r>
      <w:r w:rsidRPr="00A65480">
        <w:rPr>
          <w:lang w:eastAsia="fr-FR"/>
        </w:rPr>
        <w:t>i</w:t>
      </w:r>
      <w:r w:rsidRPr="00A65480">
        <w:rPr>
          <w:lang w:eastAsia="fr-FR"/>
        </w:rPr>
        <w:t>re sérieuse dans l’activité de l’imagination</w:t>
      </w:r>
      <w:r>
        <w:rPr>
          <w:lang w:eastAsia="fr-FR"/>
        </w:rPr>
        <w:t> </w:t>
      </w:r>
      <w:r>
        <w:rPr>
          <w:rStyle w:val="Appelnotedebasdep"/>
          <w:lang w:eastAsia="fr-FR"/>
        </w:rPr>
        <w:footnoteReference w:id="41"/>
      </w:r>
      <w:r w:rsidRPr="00A65480">
        <w:rPr>
          <w:lang w:eastAsia="fr-FR"/>
        </w:rPr>
        <w:t> ». Cependant, d’ouverture à l’illimité de l’événement révolutionnaire, l’approche esthétique de la Révolution fra</w:t>
      </w:r>
      <w:r w:rsidRPr="00A65480">
        <w:rPr>
          <w:lang w:eastAsia="fr-FR"/>
        </w:rPr>
        <w:t>n</w:t>
      </w:r>
      <w:r w:rsidRPr="00A65480">
        <w:rPr>
          <w:lang w:eastAsia="fr-FR"/>
        </w:rPr>
        <w:t xml:space="preserve">çaise prend, chez les écrivains du </w:t>
      </w:r>
      <w:r w:rsidRPr="00A65480">
        <w:rPr>
          <w:smallCaps/>
          <w:lang w:eastAsia="fr-FR"/>
        </w:rPr>
        <w:t>xix</w:t>
      </w:r>
      <w:r w:rsidRPr="00A65480">
        <w:rPr>
          <w:vertAlign w:val="superscript"/>
          <w:lang w:eastAsia="fr-FR"/>
        </w:rPr>
        <w:t>e</w:t>
      </w:r>
      <w:r w:rsidRPr="00A65480">
        <w:rPr>
          <w:lang w:eastAsia="fr-FR"/>
        </w:rPr>
        <w:t> siècle, une tout autre forme, avec l’accent mis, de façon partic</w:t>
      </w:r>
      <w:r w:rsidRPr="00A65480">
        <w:rPr>
          <w:lang w:eastAsia="fr-FR"/>
        </w:rPr>
        <w:t>u</w:t>
      </w:r>
      <w:r w:rsidRPr="00A65480">
        <w:rPr>
          <w:lang w:eastAsia="fr-FR"/>
        </w:rPr>
        <w:t>lière, sur son lien à la force et l’émotion suscitées par la terreur, donc sur sa dimension a</w:t>
      </w:r>
      <w:r w:rsidRPr="00A65480">
        <w:rPr>
          <w:lang w:eastAsia="fr-FR"/>
        </w:rPr>
        <w:t>n</w:t>
      </w:r>
      <w:r w:rsidRPr="00A65480">
        <w:rPr>
          <w:lang w:eastAsia="fr-FR"/>
        </w:rPr>
        <w:t>timoderne.</w:t>
      </w:r>
    </w:p>
    <w:p w:rsidR="00AA693F" w:rsidRPr="00A65480" w:rsidRDefault="00AA693F" w:rsidP="00AA693F">
      <w:pPr>
        <w:spacing w:before="120" w:after="120"/>
        <w:jc w:val="both"/>
        <w:rPr>
          <w:lang w:eastAsia="fr-FR"/>
        </w:rPr>
      </w:pPr>
    </w:p>
    <w:p w:rsidR="00AA693F" w:rsidRPr="00A65480" w:rsidRDefault="00AA693F" w:rsidP="00AA693F">
      <w:pPr>
        <w:pStyle w:val="planche"/>
        <w:rPr>
          <w:lang w:eastAsia="fr-FR"/>
        </w:rPr>
      </w:pPr>
      <w:bookmarkStart w:id="7" w:name="Modernite_pol_conclusion"/>
      <w:r>
        <w:rPr>
          <w:lang w:eastAsia="fr-FR"/>
        </w:rPr>
        <w:t>En guise de conclusion :</w:t>
      </w:r>
      <w:r>
        <w:rPr>
          <w:lang w:eastAsia="fr-FR"/>
        </w:rPr>
        <w:br/>
        <w:t>la postérité antimoderne</w:t>
      </w:r>
      <w:r>
        <w:rPr>
          <w:lang w:eastAsia="fr-FR"/>
        </w:rPr>
        <w:br/>
      </w:r>
      <w:r w:rsidRPr="00A65480">
        <w:rPr>
          <w:lang w:eastAsia="fr-FR"/>
        </w:rPr>
        <w:t>de la Révolution française</w:t>
      </w:r>
    </w:p>
    <w:bookmarkEnd w:id="7"/>
    <w:p w:rsidR="00AA693F" w:rsidRDefault="00AA693F" w:rsidP="00AA693F">
      <w:pPr>
        <w:spacing w:before="120" w:after="120"/>
        <w:jc w:val="both"/>
        <w:rPr>
          <w:lang w:eastAsia="fr-FR"/>
        </w:rPr>
      </w:pPr>
    </w:p>
    <w:p w:rsidR="00AA693F" w:rsidRPr="00384B20" w:rsidRDefault="00AA693F" w:rsidP="00AA693F">
      <w:pPr>
        <w:ind w:right="90" w:firstLine="0"/>
        <w:jc w:val="both"/>
        <w:rPr>
          <w:sz w:val="20"/>
        </w:rPr>
      </w:pPr>
      <w:hyperlink w:anchor="tdm" w:history="1">
        <w:r w:rsidRPr="00384B20">
          <w:rPr>
            <w:rStyle w:val="Lienhypertexte"/>
            <w:sz w:val="20"/>
          </w:rPr>
          <w:t>Retour à la table des matières</w:t>
        </w:r>
      </w:hyperlink>
    </w:p>
    <w:p w:rsidR="00AA693F" w:rsidRPr="00A65480" w:rsidRDefault="00AA693F" w:rsidP="00AA693F">
      <w:pPr>
        <w:spacing w:before="120" w:after="120"/>
        <w:jc w:val="both"/>
        <w:rPr>
          <w:lang w:eastAsia="fr-FR"/>
        </w:rPr>
      </w:pPr>
      <w:r w:rsidRPr="00A65480">
        <w:rPr>
          <w:lang w:eastAsia="fr-FR"/>
        </w:rPr>
        <w:t>Si l’on considère que l’antimoderne est « le revers, le creux du moderne, son repli indispensable, sa réserve et sa ressource » et que « sans l’antimoderne, le moderne courrait à sa perte, car les antim</w:t>
      </w:r>
      <w:r w:rsidRPr="00A65480">
        <w:rPr>
          <w:lang w:eastAsia="fr-FR"/>
        </w:rPr>
        <w:t>o</w:t>
      </w:r>
      <w:r w:rsidRPr="00A65480">
        <w:rPr>
          <w:lang w:eastAsia="fr-FR"/>
        </w:rPr>
        <w:t>dernes sont la liberté des modernes, ou les modernes plus la libe</w:t>
      </w:r>
      <w:r w:rsidRPr="00A65480">
        <w:rPr>
          <w:lang w:eastAsia="fr-FR"/>
        </w:rPr>
        <w:t>r</w:t>
      </w:r>
      <w:r w:rsidRPr="00A65480">
        <w:rPr>
          <w:lang w:eastAsia="fr-FR"/>
        </w:rPr>
        <w:t>té</w:t>
      </w:r>
      <w:r>
        <w:rPr>
          <w:lang w:eastAsia="fr-FR"/>
        </w:rPr>
        <w:t> </w:t>
      </w:r>
      <w:r>
        <w:rPr>
          <w:rStyle w:val="Appelnotedebasdep"/>
          <w:lang w:eastAsia="fr-FR"/>
        </w:rPr>
        <w:footnoteReference w:id="42"/>
      </w:r>
      <w:r w:rsidRPr="00A65480">
        <w:rPr>
          <w:lang w:eastAsia="fr-FR"/>
        </w:rPr>
        <w:t> », il n’est pas sans intérêt de constater que le fait même de la R</w:t>
      </w:r>
      <w:r w:rsidRPr="00A65480">
        <w:rPr>
          <w:lang w:eastAsia="fr-FR"/>
        </w:rPr>
        <w:t>é</w:t>
      </w:r>
      <w:r w:rsidRPr="00A65480">
        <w:rPr>
          <w:lang w:eastAsia="fr-FR"/>
        </w:rPr>
        <w:t xml:space="preserve">volution française instaure au </w:t>
      </w:r>
      <w:r w:rsidRPr="00A65480">
        <w:rPr>
          <w:smallCaps/>
          <w:lang w:eastAsia="fr-FR"/>
        </w:rPr>
        <w:t>xix</w:t>
      </w:r>
      <w:r w:rsidRPr="00A65480">
        <w:rPr>
          <w:vertAlign w:val="superscript"/>
          <w:lang w:eastAsia="fr-FR"/>
        </w:rPr>
        <w:t>e</w:t>
      </w:r>
      <w:r w:rsidRPr="00A65480">
        <w:rPr>
          <w:lang w:eastAsia="fr-FR"/>
        </w:rPr>
        <w:t> siècle « une nouvelle sensibilité historique antimoderne », au premier abord fort différente de la sens</w:t>
      </w:r>
      <w:r w:rsidRPr="00A65480">
        <w:rPr>
          <w:lang w:eastAsia="fr-FR"/>
        </w:rPr>
        <w:t>i</w:t>
      </w:r>
      <w:r w:rsidRPr="00A65480">
        <w:rPr>
          <w:lang w:eastAsia="fr-FR"/>
        </w:rPr>
        <w:t>bilité à l’humanité agissante et souffrante que nous venons de caract</w:t>
      </w:r>
      <w:r w:rsidRPr="00A65480">
        <w:rPr>
          <w:lang w:eastAsia="fr-FR"/>
        </w:rPr>
        <w:t>é</w:t>
      </w:r>
      <w:r w:rsidRPr="00A65480">
        <w:rPr>
          <w:lang w:eastAsia="fr-FR"/>
        </w:rPr>
        <w:t>riser.</w:t>
      </w:r>
    </w:p>
    <w:p w:rsidR="00AA693F" w:rsidRPr="00A65480" w:rsidRDefault="00AA693F" w:rsidP="00AA693F">
      <w:pPr>
        <w:spacing w:before="120" w:after="120"/>
        <w:jc w:val="both"/>
        <w:rPr>
          <w:lang w:eastAsia="fr-FR"/>
        </w:rPr>
      </w:pPr>
      <w:r w:rsidRPr="00A65480">
        <w:rPr>
          <w:lang w:eastAsia="fr-FR"/>
        </w:rPr>
        <w:t>Ici se mêlent, au travers de figures de grands écrivains, histoire n</w:t>
      </w:r>
      <w:r w:rsidRPr="00A65480">
        <w:rPr>
          <w:lang w:eastAsia="fr-FR"/>
        </w:rPr>
        <w:t>a</w:t>
      </w:r>
      <w:r w:rsidRPr="00A65480">
        <w:rPr>
          <w:lang w:eastAsia="fr-FR"/>
        </w:rPr>
        <w:t>tionale et aventure personnelle. De fait, l’aventure intellectuelle ant</w:t>
      </w:r>
      <w:r w:rsidRPr="00A65480">
        <w:rPr>
          <w:lang w:eastAsia="fr-FR"/>
        </w:rPr>
        <w:t>i</w:t>
      </w:r>
      <w:r w:rsidRPr="00A65480">
        <w:rPr>
          <w:lang w:eastAsia="fr-FR"/>
        </w:rPr>
        <w:t>moderne, hantée par la Révolution française, relève d’écrivains pa</w:t>
      </w:r>
      <w:r w:rsidRPr="00A65480">
        <w:rPr>
          <w:lang w:eastAsia="fr-FR"/>
        </w:rPr>
        <w:t>r</w:t>
      </w:r>
      <w:r w:rsidRPr="00A65480">
        <w:rPr>
          <w:lang w:eastAsia="fr-FR"/>
        </w:rPr>
        <w:t>mi les plus grands du siècle, de Chateaubriand à Baudelaire, en pa</w:t>
      </w:r>
      <w:r w:rsidRPr="00A65480">
        <w:rPr>
          <w:lang w:eastAsia="fr-FR"/>
        </w:rPr>
        <w:t>s</w:t>
      </w:r>
      <w:r w:rsidRPr="00A65480">
        <w:rPr>
          <w:lang w:eastAsia="fr-FR"/>
        </w:rPr>
        <w:t>sant par Stendhal, Balzac et Flaubert</w:t>
      </w:r>
      <w:r>
        <w:rPr>
          <w:lang w:eastAsia="fr-FR"/>
        </w:rPr>
        <w:t> </w:t>
      </w:r>
      <w:r>
        <w:rPr>
          <w:rStyle w:val="Appelnotedebasdep"/>
          <w:lang w:eastAsia="fr-FR"/>
        </w:rPr>
        <w:footnoteReference w:id="43"/>
      </w:r>
      <w:r w:rsidRPr="00A65480">
        <w:rPr>
          <w:lang w:eastAsia="fr-FR"/>
        </w:rPr>
        <w:t>.</w:t>
      </w:r>
    </w:p>
    <w:p w:rsidR="00AA693F" w:rsidRPr="00A65480" w:rsidRDefault="00AA693F" w:rsidP="00AA693F">
      <w:pPr>
        <w:spacing w:before="120" w:after="120"/>
        <w:jc w:val="both"/>
        <w:rPr>
          <w:lang w:eastAsia="fr-FR"/>
        </w:rPr>
      </w:pPr>
      <w:r w:rsidRPr="00A65480">
        <w:rPr>
          <w:lang w:eastAsia="fr-FR"/>
        </w:rPr>
        <w:t>Parmi les traits spécifiques de ces grands penseurs antimode</w:t>
      </w:r>
      <w:r w:rsidRPr="00A65480">
        <w:rPr>
          <w:lang w:eastAsia="fr-FR"/>
        </w:rPr>
        <w:t>r</w:t>
      </w:r>
      <w:r w:rsidRPr="00A65480">
        <w:rPr>
          <w:lang w:eastAsia="fr-FR"/>
        </w:rPr>
        <w:t>nes, le sublime y occupe une place centrale. Là où Kant nous a laissés sur une esthétique du sublime qui marque le signe même de la mode</w:t>
      </w:r>
      <w:r w:rsidRPr="00A65480">
        <w:rPr>
          <w:lang w:eastAsia="fr-FR"/>
        </w:rPr>
        <w:t>r</w:t>
      </w:r>
      <w:r w:rsidRPr="00A65480">
        <w:rPr>
          <w:lang w:eastAsia="fr-FR"/>
        </w:rPr>
        <w:t>nité de la Révolution française, les antimodernes s’évertuent à décrire la part s</w:t>
      </w:r>
      <w:r w:rsidRPr="00A65480">
        <w:rPr>
          <w:lang w:eastAsia="fr-FR"/>
        </w:rPr>
        <w:t>u</w:t>
      </w:r>
      <w:r w:rsidRPr="00A65480">
        <w:rPr>
          <w:lang w:eastAsia="fr-FR"/>
        </w:rPr>
        <w:t>blime, mais maudite, d’une « politique expérimentale » de la Révolution française qui prend le nom, avec de Maistre, de « métaphysique de la p</w:t>
      </w:r>
      <w:r w:rsidRPr="00A65480">
        <w:rPr>
          <w:lang w:eastAsia="fr-FR"/>
        </w:rPr>
        <w:t>o</w:t>
      </w:r>
      <w:r w:rsidRPr="00A65480">
        <w:rPr>
          <w:lang w:eastAsia="fr-FR"/>
        </w:rPr>
        <w:t>litique</w:t>
      </w:r>
      <w:r>
        <w:rPr>
          <w:lang w:eastAsia="fr-FR"/>
        </w:rPr>
        <w:t> </w:t>
      </w:r>
      <w:r>
        <w:rPr>
          <w:rStyle w:val="Appelnotedebasdep"/>
          <w:lang w:eastAsia="fr-FR"/>
        </w:rPr>
        <w:footnoteReference w:id="44"/>
      </w:r>
      <w:r w:rsidRPr="00A65480">
        <w:rPr>
          <w:lang w:eastAsia="fr-FR"/>
        </w:rPr>
        <w:t> ». Entre l’énoncé de ce dernier (« Le sang est l’engrais de cette plante qu’on appelle génie ») et celui de Burke (« Tout ce qui agit d’une manière analogue à la terreur est une source sublime »)</w:t>
      </w:r>
      <w:r>
        <w:rPr>
          <w:lang w:eastAsia="fr-FR"/>
        </w:rPr>
        <w:t> </w:t>
      </w:r>
      <w:r>
        <w:rPr>
          <w:rStyle w:val="Appelnotedebasdep"/>
          <w:lang w:eastAsia="fr-FR"/>
        </w:rPr>
        <w:footnoteReference w:id="45"/>
      </w:r>
      <w:r w:rsidRPr="00A65480">
        <w:rPr>
          <w:lang w:eastAsia="fr-FR"/>
        </w:rPr>
        <w:t>, se précise la modernité antimoderne de la Rév</w:t>
      </w:r>
      <w:r w:rsidRPr="00A65480">
        <w:rPr>
          <w:lang w:eastAsia="fr-FR"/>
        </w:rPr>
        <w:t>o</w:t>
      </w:r>
      <w:r w:rsidRPr="00A65480">
        <w:rPr>
          <w:lang w:eastAsia="fr-FR"/>
        </w:rPr>
        <w:t>lution française dans la dualité même entre l’extase et l’horreur, le bourreau et la victime.</w:t>
      </w:r>
    </w:p>
    <w:p w:rsidR="00AA693F" w:rsidRPr="00A65480" w:rsidRDefault="00AA693F" w:rsidP="00AA693F">
      <w:pPr>
        <w:spacing w:before="120" w:after="120"/>
        <w:jc w:val="both"/>
        <w:rPr>
          <w:lang w:eastAsia="fr-FR"/>
        </w:rPr>
      </w:pPr>
      <w:r w:rsidRPr="00A65480">
        <w:rPr>
          <w:lang w:eastAsia="fr-FR"/>
        </w:rPr>
        <w:t xml:space="preserve">Ainsi, la littérature du </w:t>
      </w:r>
      <w:r w:rsidRPr="00A65480">
        <w:rPr>
          <w:smallCaps/>
          <w:lang w:eastAsia="fr-FR"/>
        </w:rPr>
        <w:t>xix</w:t>
      </w:r>
      <w:r w:rsidRPr="00A65480">
        <w:rPr>
          <w:vertAlign w:val="superscript"/>
          <w:lang w:eastAsia="fr-FR"/>
        </w:rPr>
        <w:t>e</w:t>
      </w:r>
      <w:r w:rsidRPr="00A65480">
        <w:rPr>
          <w:lang w:eastAsia="fr-FR"/>
        </w:rPr>
        <w:t> siècle est travaillée en permanence par le sublime de l’expérience révolutionnaire, mais « en négatif », par le fait même de résister au positivisme ambiant et responsable d’une v</w:t>
      </w:r>
      <w:r w:rsidRPr="00A65480">
        <w:rPr>
          <w:lang w:eastAsia="fr-FR"/>
        </w:rPr>
        <w:t>i</w:t>
      </w:r>
      <w:r w:rsidRPr="00A65480">
        <w:rPr>
          <w:lang w:eastAsia="fr-FR"/>
        </w:rPr>
        <w:lastRenderedPageBreak/>
        <w:t>sion « plate » du progrès humain. Elle est la modernité même de la Révolution française dans le siècle du triomphe de la société bou</w:t>
      </w:r>
      <w:r w:rsidRPr="00A65480">
        <w:rPr>
          <w:lang w:eastAsia="fr-FR"/>
        </w:rPr>
        <w:t>r</w:t>
      </w:r>
      <w:r w:rsidRPr="00A65480">
        <w:rPr>
          <w:lang w:eastAsia="fr-FR"/>
        </w:rPr>
        <w:t>geoise, héritière d’une image dégradée, d’une voix quasi inaud</w:t>
      </w:r>
      <w:r w:rsidRPr="00A65480">
        <w:rPr>
          <w:lang w:eastAsia="fr-FR"/>
        </w:rPr>
        <w:t>i</w:t>
      </w:r>
      <w:r w:rsidRPr="00A65480">
        <w:rPr>
          <w:lang w:eastAsia="fr-FR"/>
        </w:rPr>
        <w:t>ble de la politique révol</w:t>
      </w:r>
      <w:r w:rsidRPr="00A65480">
        <w:rPr>
          <w:lang w:eastAsia="fr-FR"/>
        </w:rPr>
        <w:t>u</w:t>
      </w:r>
      <w:r w:rsidRPr="00A65480">
        <w:rPr>
          <w:lang w:eastAsia="fr-FR"/>
        </w:rPr>
        <w:t>tionnaire</w:t>
      </w:r>
      <w:r>
        <w:rPr>
          <w:lang w:eastAsia="fr-FR"/>
        </w:rPr>
        <w:t> </w:t>
      </w:r>
      <w:r>
        <w:rPr>
          <w:rStyle w:val="Appelnotedebasdep"/>
          <w:lang w:eastAsia="fr-FR"/>
        </w:rPr>
        <w:footnoteReference w:id="46"/>
      </w:r>
      <w:r w:rsidRPr="00A65480">
        <w:rPr>
          <w:lang w:eastAsia="fr-FR"/>
        </w:rPr>
        <w:t>.</w:t>
      </w:r>
    </w:p>
    <w:p w:rsidR="00AA693F" w:rsidRPr="00A65480" w:rsidRDefault="00AA693F" w:rsidP="00AA693F">
      <w:pPr>
        <w:spacing w:before="120" w:after="120"/>
        <w:jc w:val="both"/>
        <w:rPr>
          <w:lang w:eastAsia="fr-FR"/>
        </w:rPr>
      </w:pPr>
      <w:r w:rsidRPr="00A65480">
        <w:rPr>
          <w:lang w:eastAsia="fr-FR"/>
        </w:rPr>
        <w:t>Plus largement, une écriture romanesque prise dans une vision a</w:t>
      </w:r>
      <w:r w:rsidRPr="00A65480">
        <w:rPr>
          <w:lang w:eastAsia="fr-FR"/>
        </w:rPr>
        <w:t>n</w:t>
      </w:r>
      <w:r w:rsidRPr="00A65480">
        <w:rPr>
          <w:lang w:eastAsia="fr-FR"/>
        </w:rPr>
        <w:t>timoderne de l’héritage de la Révolution française se déploie avec Fla</w:t>
      </w:r>
      <w:r w:rsidRPr="00A65480">
        <w:rPr>
          <w:lang w:eastAsia="fr-FR"/>
        </w:rPr>
        <w:t>u</w:t>
      </w:r>
      <w:r w:rsidRPr="00A65480">
        <w:rPr>
          <w:lang w:eastAsia="fr-FR"/>
        </w:rPr>
        <w:t>bert et ses maîtres, Stendhal et Balzac. Le discours social de la bourgeoisie triomphante est alors au zénith. Sa dimension consensue</w:t>
      </w:r>
      <w:r w:rsidRPr="00A65480">
        <w:rPr>
          <w:lang w:eastAsia="fr-FR"/>
        </w:rPr>
        <w:t>l</w:t>
      </w:r>
      <w:r w:rsidRPr="00A65480">
        <w:rPr>
          <w:lang w:eastAsia="fr-FR"/>
        </w:rPr>
        <w:t>le est telle que les formes démocratiques héritées de la Révolution française — l’opinion, l’éloquence de la tribune, la voix du publici</w:t>
      </w:r>
      <w:r w:rsidRPr="00A65480">
        <w:rPr>
          <w:lang w:eastAsia="fr-FR"/>
        </w:rPr>
        <w:t>s</w:t>
      </w:r>
      <w:r w:rsidRPr="00A65480">
        <w:rPr>
          <w:lang w:eastAsia="fr-FR"/>
        </w:rPr>
        <w:t>te — sont dev</w:t>
      </w:r>
      <w:r w:rsidRPr="00A65480">
        <w:rPr>
          <w:lang w:eastAsia="fr-FR"/>
        </w:rPr>
        <w:t>e</w:t>
      </w:r>
      <w:r w:rsidRPr="00A65480">
        <w:rPr>
          <w:lang w:eastAsia="fr-FR"/>
        </w:rPr>
        <w:t>nues sans contenu par la multiplication des auditeurs sans conscience. L’idéal révolutionnaire d’une langue en adéquation avec la pensée, contre l’abus des mots, n’est plus, au regard du r</w:t>
      </w:r>
      <w:r w:rsidRPr="00A65480">
        <w:rPr>
          <w:lang w:eastAsia="fr-FR"/>
        </w:rPr>
        <w:t>o</w:t>
      </w:r>
      <w:r w:rsidRPr="00A65480">
        <w:rPr>
          <w:lang w:eastAsia="fr-FR"/>
        </w:rPr>
        <w:t>mancier, qu’un instrument de domination de la bourgeoisie à la r</w:t>
      </w:r>
      <w:r w:rsidRPr="00A65480">
        <w:rPr>
          <w:lang w:eastAsia="fr-FR"/>
        </w:rPr>
        <w:t>e</w:t>
      </w:r>
      <w:r w:rsidRPr="00A65480">
        <w:rPr>
          <w:lang w:eastAsia="fr-FR"/>
        </w:rPr>
        <w:t>cherche de la persuasion sans la conviction. Le propos de l’écrivain consiste alors à multiplier les proc</w:t>
      </w:r>
      <w:r w:rsidRPr="00A65480">
        <w:rPr>
          <w:lang w:eastAsia="fr-FR"/>
        </w:rPr>
        <w:t>é</w:t>
      </w:r>
      <w:r w:rsidRPr="00A65480">
        <w:rPr>
          <w:lang w:eastAsia="fr-FR"/>
        </w:rPr>
        <w:t>dés fictionnels de mise à distance d’une telle langue mimétique en y i</w:t>
      </w:r>
      <w:r w:rsidRPr="00A65480">
        <w:rPr>
          <w:lang w:eastAsia="fr-FR"/>
        </w:rPr>
        <w:t>n</w:t>
      </w:r>
      <w:r w:rsidRPr="00A65480">
        <w:rPr>
          <w:lang w:eastAsia="fr-FR"/>
        </w:rPr>
        <w:t>troduisant de la rectification, de l’explication, du dialogue.</w:t>
      </w:r>
    </w:p>
    <w:p w:rsidR="00AA693F" w:rsidRPr="00A65480" w:rsidRDefault="00AA693F" w:rsidP="00AA693F">
      <w:pPr>
        <w:spacing w:before="120" w:after="120"/>
        <w:jc w:val="both"/>
        <w:rPr>
          <w:lang w:eastAsia="fr-FR"/>
        </w:rPr>
      </w:pPr>
      <w:r w:rsidRPr="00A65480">
        <w:rPr>
          <w:lang w:eastAsia="fr-FR"/>
        </w:rPr>
        <w:t xml:space="preserve">Dans </w:t>
      </w:r>
      <w:r w:rsidRPr="00A65480">
        <w:rPr>
          <w:i/>
          <w:lang w:eastAsia="fr-FR"/>
        </w:rPr>
        <w:t>La Comédie humaine</w:t>
      </w:r>
      <w:r w:rsidRPr="00A65480">
        <w:rPr>
          <w:lang w:eastAsia="fr-FR"/>
        </w:rPr>
        <w:t>, Balzac joue de l’alternance entre la voix authentique et la voix décevante, pour ne pas dire bête, en pr</w:t>
      </w:r>
      <w:r w:rsidRPr="00A65480">
        <w:rPr>
          <w:lang w:eastAsia="fr-FR"/>
        </w:rPr>
        <w:t>o</w:t>
      </w:r>
      <w:r w:rsidRPr="00A65480">
        <w:rPr>
          <w:lang w:eastAsia="fr-FR"/>
        </w:rPr>
        <w:t>mo</w:t>
      </w:r>
      <w:r w:rsidRPr="00A65480">
        <w:rPr>
          <w:lang w:eastAsia="fr-FR"/>
        </w:rPr>
        <w:t>u</w:t>
      </w:r>
      <w:r w:rsidRPr="00A65480">
        <w:rPr>
          <w:lang w:eastAsia="fr-FR"/>
        </w:rPr>
        <w:t>vant le langage d’action dans le but de souligner l’ambiguïté de la langue consensuelle. Chez Flaubert, on peut même entendre le lang</w:t>
      </w:r>
      <w:r w:rsidRPr="00A65480">
        <w:rPr>
          <w:lang w:eastAsia="fr-FR"/>
        </w:rPr>
        <w:t>a</w:t>
      </w:r>
      <w:r w:rsidRPr="00A65480">
        <w:rPr>
          <w:lang w:eastAsia="fr-FR"/>
        </w:rPr>
        <w:t>ge politique de 1789 devenu simplement bourgeois comme une parole agressive, haletante, absolue, stérile sous l’emprise à la fois des not</w:t>
      </w:r>
      <w:r w:rsidRPr="00A65480">
        <w:rPr>
          <w:lang w:eastAsia="fr-FR"/>
        </w:rPr>
        <w:t>a</w:t>
      </w:r>
      <w:r w:rsidRPr="00A65480">
        <w:rPr>
          <w:lang w:eastAsia="fr-FR"/>
        </w:rPr>
        <w:t xml:space="preserve">bles sophistes et d’une multitude irrationnelle. Il en ressort, dans </w:t>
      </w:r>
      <w:r w:rsidRPr="00A65480">
        <w:rPr>
          <w:i/>
          <w:lang w:eastAsia="fr-FR"/>
        </w:rPr>
        <w:t>M</w:t>
      </w:r>
      <w:r w:rsidRPr="00A65480">
        <w:rPr>
          <w:i/>
          <w:lang w:eastAsia="fr-FR"/>
        </w:rPr>
        <w:t>a</w:t>
      </w:r>
      <w:r w:rsidRPr="00A65480">
        <w:rPr>
          <w:i/>
          <w:lang w:eastAsia="fr-FR"/>
        </w:rPr>
        <w:t>dame Bovary</w:t>
      </w:r>
      <w:r w:rsidRPr="00A65480">
        <w:rPr>
          <w:lang w:eastAsia="fr-FR"/>
        </w:rPr>
        <w:t>, des corps stupéfaits, chancelants, haletants sur une sc</w:t>
      </w:r>
      <w:r w:rsidRPr="00A65480">
        <w:rPr>
          <w:lang w:eastAsia="fr-FR"/>
        </w:rPr>
        <w:t>è</w:t>
      </w:r>
      <w:r w:rsidRPr="00A65480">
        <w:rPr>
          <w:lang w:eastAsia="fr-FR"/>
        </w:rPr>
        <w:t>ne verbale où se d</w:t>
      </w:r>
      <w:r w:rsidRPr="00A65480">
        <w:rPr>
          <w:lang w:eastAsia="fr-FR"/>
        </w:rPr>
        <w:t>é</w:t>
      </w:r>
      <w:r w:rsidRPr="00A65480">
        <w:rPr>
          <w:lang w:eastAsia="fr-FR"/>
        </w:rPr>
        <w:t>ploient ordinairement les propos « démocratiques » de tribune.</w:t>
      </w:r>
    </w:p>
    <w:p w:rsidR="00AA693F" w:rsidRPr="00A65480" w:rsidRDefault="00AA693F" w:rsidP="00AA693F">
      <w:pPr>
        <w:spacing w:before="120" w:after="120"/>
        <w:jc w:val="both"/>
        <w:rPr>
          <w:lang w:eastAsia="fr-FR"/>
        </w:rPr>
      </w:pPr>
      <w:r w:rsidRPr="00A65480">
        <w:rPr>
          <w:lang w:eastAsia="fr-FR"/>
        </w:rPr>
        <w:t>Le romancier devient ethnolinguiste, ses romans sont avant tout d’ordre philologique. Alors que la société bourgeoise a disqualifié la n</w:t>
      </w:r>
      <w:r w:rsidRPr="00A65480">
        <w:rPr>
          <w:lang w:eastAsia="fr-FR"/>
        </w:rPr>
        <w:t>a</w:t>
      </w:r>
      <w:r w:rsidRPr="00A65480">
        <w:rPr>
          <w:lang w:eastAsia="fr-FR"/>
        </w:rPr>
        <w:t>tion, il fragmente la langue consensuelle par l’affirmation d’une « sociologie des langages » où la représentation réaliste de la parole, et tout particulièrement populaire, occupe une place centrale grâce au dial</w:t>
      </w:r>
      <w:r w:rsidRPr="00A65480">
        <w:rPr>
          <w:lang w:eastAsia="fr-FR"/>
        </w:rPr>
        <w:t>o</w:t>
      </w:r>
      <w:r w:rsidRPr="00A65480">
        <w:rPr>
          <w:lang w:eastAsia="fr-FR"/>
        </w:rPr>
        <w:t>gue. Le discours revient à l’histoire. Le réalisme linguistique s’impose dans le déploiement imaginaire de la division des langages, la redistrib</w:t>
      </w:r>
      <w:r w:rsidRPr="00A65480">
        <w:rPr>
          <w:lang w:eastAsia="fr-FR"/>
        </w:rPr>
        <w:t>u</w:t>
      </w:r>
      <w:r w:rsidRPr="00A65480">
        <w:rPr>
          <w:lang w:eastAsia="fr-FR"/>
        </w:rPr>
        <w:t xml:space="preserve">tion fictionnelle des sociolectes à l’encontre du discours </w:t>
      </w:r>
      <w:r w:rsidRPr="00A65480">
        <w:rPr>
          <w:lang w:eastAsia="fr-FR"/>
        </w:rPr>
        <w:lastRenderedPageBreak/>
        <w:t>du juste milieu, de la médiocrité régnante. Les discours finissent par s’indifférencier dans une parole « démocratique » assimilée à un terr</w:t>
      </w:r>
      <w:r w:rsidRPr="00A65480">
        <w:rPr>
          <w:lang w:eastAsia="fr-FR"/>
        </w:rPr>
        <w:t>i</w:t>
      </w:r>
      <w:r w:rsidRPr="00A65480">
        <w:rPr>
          <w:lang w:eastAsia="fr-FR"/>
        </w:rPr>
        <w:t>fiant consensus couvrant la voix de la différence.</w:t>
      </w:r>
    </w:p>
    <w:p w:rsidR="00AA693F" w:rsidRPr="00A65480" w:rsidRDefault="00AA693F" w:rsidP="00AA693F">
      <w:pPr>
        <w:spacing w:before="120" w:after="120"/>
        <w:jc w:val="both"/>
        <w:rPr>
          <w:lang w:eastAsia="fr-FR"/>
        </w:rPr>
      </w:pPr>
      <w:r w:rsidRPr="00A65480">
        <w:rPr>
          <w:lang w:eastAsia="fr-FR"/>
        </w:rPr>
        <w:t>En fait, tout se joue autour de la défaillance du langage, de la di</w:t>
      </w:r>
      <w:r w:rsidRPr="00A65480">
        <w:rPr>
          <w:lang w:eastAsia="fr-FR"/>
        </w:rPr>
        <w:t>s</w:t>
      </w:r>
      <w:r w:rsidRPr="00A65480">
        <w:rPr>
          <w:lang w:eastAsia="fr-FR"/>
        </w:rPr>
        <w:t>semblance des sentiments reconnus sous le consensus des expre</w:t>
      </w:r>
      <w:r w:rsidRPr="00A65480">
        <w:rPr>
          <w:lang w:eastAsia="fr-FR"/>
        </w:rPr>
        <w:t>s</w:t>
      </w:r>
      <w:r w:rsidRPr="00A65480">
        <w:rPr>
          <w:lang w:eastAsia="fr-FR"/>
        </w:rPr>
        <w:t>sions « démocratiques ». La simple mention d’un mot pris dans un contexte « démocratique » en subvertit même l’emploi et souligne ainsi une écrit</w:t>
      </w:r>
      <w:r w:rsidRPr="00A65480">
        <w:rPr>
          <w:lang w:eastAsia="fr-FR"/>
        </w:rPr>
        <w:t>u</w:t>
      </w:r>
      <w:r w:rsidRPr="00A65480">
        <w:rPr>
          <w:lang w:eastAsia="fr-FR"/>
        </w:rPr>
        <w:t>re angoissée face à l’impuissance du verbe. Au départ, Stendhal, à l’égal des jacobins, déclare la guerre à la rhétorique en s’efforçant de renouer avec la vérité du langage contre l’abus des mots. Un vrai héros condill</w:t>
      </w:r>
      <w:r w:rsidRPr="00A65480">
        <w:rPr>
          <w:lang w:eastAsia="fr-FR"/>
        </w:rPr>
        <w:t>a</w:t>
      </w:r>
      <w:r w:rsidRPr="00A65480">
        <w:rPr>
          <w:lang w:eastAsia="fr-FR"/>
        </w:rPr>
        <w:t xml:space="preserve">cien prend figure avec Fabrice dans </w:t>
      </w:r>
      <w:r w:rsidRPr="00A65480">
        <w:rPr>
          <w:i/>
          <w:lang w:eastAsia="fr-FR"/>
        </w:rPr>
        <w:t>La Chartreuse de Parme</w:t>
      </w:r>
      <w:r w:rsidRPr="00A65480">
        <w:rPr>
          <w:lang w:eastAsia="fr-FR"/>
        </w:rPr>
        <w:t>. Mais l’obscurcissement des mots est tel, l’opinion à ce point manipulée, que le romancier doit d’abord résister à cette configuration fantastique des mots en renonçant à l’idéal des Lumières par le d</w:t>
      </w:r>
      <w:r w:rsidRPr="00A65480">
        <w:rPr>
          <w:lang w:eastAsia="fr-FR"/>
        </w:rPr>
        <w:t>é</w:t>
      </w:r>
      <w:r w:rsidRPr="00A65480">
        <w:rPr>
          <w:lang w:eastAsia="fr-FR"/>
        </w:rPr>
        <w:t>ploiement d’un style iron</w:t>
      </w:r>
      <w:r w:rsidRPr="00A65480">
        <w:rPr>
          <w:lang w:eastAsia="fr-FR"/>
        </w:rPr>
        <w:t>i</w:t>
      </w:r>
      <w:r w:rsidRPr="00A65480">
        <w:rPr>
          <w:lang w:eastAsia="fr-FR"/>
        </w:rPr>
        <w:t>que et d’une écriture en mouvement. Face à l’échec d’un certain héritage condillacien — celui des Idéologues à vrai dire —, il s’autorise à jouer du dérèglement du langage. Flaubert mène à terme cette entreprise distinct</w:t>
      </w:r>
      <w:r w:rsidRPr="00A65480">
        <w:rPr>
          <w:lang w:eastAsia="fr-FR"/>
        </w:rPr>
        <w:t>i</w:t>
      </w:r>
      <w:r w:rsidRPr="00A65480">
        <w:rPr>
          <w:lang w:eastAsia="fr-FR"/>
        </w:rPr>
        <w:t>ve en partant du constat d’un langage « démocratique » tellement perverti par son emprisonnement absolu dans le discours social qu’il devient inco</w:t>
      </w:r>
      <w:r w:rsidRPr="00A65480">
        <w:rPr>
          <w:lang w:eastAsia="fr-FR"/>
        </w:rPr>
        <w:t>m</w:t>
      </w:r>
      <w:r w:rsidRPr="00A65480">
        <w:rPr>
          <w:lang w:eastAsia="fr-FR"/>
        </w:rPr>
        <w:t>municable. Tout est devenu bête, même l’amour ; les mots sont pris au piège.</w:t>
      </w:r>
    </w:p>
    <w:p w:rsidR="00AA693F" w:rsidRPr="00A65480" w:rsidRDefault="00AA693F" w:rsidP="00AA693F">
      <w:pPr>
        <w:spacing w:before="120" w:after="120"/>
        <w:jc w:val="both"/>
        <w:rPr>
          <w:lang w:eastAsia="fr-FR"/>
        </w:rPr>
      </w:pPr>
      <w:r w:rsidRPr="00A65480">
        <w:rPr>
          <w:lang w:eastAsia="fr-FR"/>
        </w:rPr>
        <w:t>Face au triomphe des idées reçues de la société bourgeoise, la po</w:t>
      </w:r>
      <w:r w:rsidRPr="00A65480">
        <w:rPr>
          <w:lang w:eastAsia="fr-FR"/>
        </w:rPr>
        <w:t>s</w:t>
      </w:r>
      <w:r w:rsidRPr="00A65480">
        <w:rPr>
          <w:lang w:eastAsia="fr-FR"/>
        </w:rPr>
        <w:t>ture antimoderne, même si elle relève souvent de traits réactionna</w:t>
      </w:r>
      <w:r w:rsidRPr="00A65480">
        <w:rPr>
          <w:lang w:eastAsia="fr-FR"/>
        </w:rPr>
        <w:t>i</w:t>
      </w:r>
      <w:r w:rsidRPr="00A65480">
        <w:rPr>
          <w:lang w:eastAsia="fr-FR"/>
        </w:rPr>
        <w:t>res, devient la condition d’une « révolution littéraire » qui concrétise à sa m</w:t>
      </w:r>
      <w:r w:rsidRPr="00A65480">
        <w:rPr>
          <w:lang w:eastAsia="fr-FR"/>
        </w:rPr>
        <w:t>a</w:t>
      </w:r>
      <w:r w:rsidRPr="00A65480">
        <w:rPr>
          <w:lang w:eastAsia="fr-FR"/>
        </w:rPr>
        <w:t>nière les potentialités de la Révolution française, donc en achève la m</w:t>
      </w:r>
      <w:r w:rsidRPr="00A65480">
        <w:rPr>
          <w:lang w:eastAsia="fr-FR"/>
        </w:rPr>
        <w:t>o</w:t>
      </w:r>
      <w:r w:rsidRPr="00A65480">
        <w:rPr>
          <w:lang w:eastAsia="fr-FR"/>
        </w:rPr>
        <w:t>dernité. Le tournant kantien vers l’esthétique du sublime avait déjà singulièrement modifié l’idéologie des Lumières. La révolution litt</w:t>
      </w:r>
      <w:r w:rsidRPr="00A65480">
        <w:rPr>
          <w:lang w:eastAsia="fr-FR"/>
        </w:rPr>
        <w:t>é</w:t>
      </w:r>
      <w:r w:rsidRPr="00A65480">
        <w:rPr>
          <w:lang w:eastAsia="fr-FR"/>
        </w:rPr>
        <w:t>raire rompt avec cet héritage pour mieux préserver la modernité crit</w:t>
      </w:r>
      <w:r w:rsidRPr="00A65480">
        <w:rPr>
          <w:lang w:eastAsia="fr-FR"/>
        </w:rPr>
        <w:t>i</w:t>
      </w:r>
      <w:r w:rsidRPr="00A65480">
        <w:rPr>
          <w:lang w:eastAsia="fr-FR"/>
        </w:rPr>
        <w:t>que de la Rév</w:t>
      </w:r>
      <w:r w:rsidRPr="00A65480">
        <w:rPr>
          <w:lang w:eastAsia="fr-FR"/>
        </w:rPr>
        <w:t>o</w:t>
      </w:r>
      <w:r w:rsidRPr="00A65480">
        <w:rPr>
          <w:lang w:eastAsia="fr-FR"/>
        </w:rPr>
        <w:t xml:space="preserve">lution française. Paradoxalement, il revient peut-être aux antimodernes du </w:t>
      </w:r>
      <w:r w:rsidRPr="00A65480">
        <w:rPr>
          <w:smallCaps/>
          <w:lang w:eastAsia="fr-FR"/>
        </w:rPr>
        <w:t>xix</w:t>
      </w:r>
      <w:r w:rsidRPr="00A65480">
        <w:rPr>
          <w:vertAlign w:val="superscript"/>
          <w:lang w:eastAsia="fr-FR"/>
        </w:rPr>
        <w:t>e</w:t>
      </w:r>
      <w:r w:rsidRPr="00A65480">
        <w:rPr>
          <w:lang w:eastAsia="fr-FR"/>
        </w:rPr>
        <w:t> siècle de concrétiser la valeur critique de la Révolution française, sa modernité même.</w:t>
      </w:r>
    </w:p>
    <w:p w:rsidR="00AA693F" w:rsidRPr="00A65480" w:rsidRDefault="00AA693F" w:rsidP="00AA693F">
      <w:pPr>
        <w:spacing w:before="120" w:after="120"/>
        <w:jc w:val="both"/>
        <w:rPr>
          <w:lang w:eastAsia="fr-FR"/>
        </w:rPr>
      </w:pPr>
      <w:r w:rsidRPr="00A65480">
        <w:rPr>
          <w:lang w:eastAsia="fr-FR"/>
        </w:rPr>
        <w:t>S’interrogeant sur le devenir de la révolution littéraire, Julien Gracq étend sa réflexion à l’histoire dans les termes suivants :</w:t>
      </w:r>
    </w:p>
    <w:p w:rsidR="00AA693F" w:rsidRDefault="00AA693F" w:rsidP="00AA693F">
      <w:pPr>
        <w:pStyle w:val="Grillecouleur-Accent1"/>
        <w:rPr>
          <w:lang w:eastAsia="fr-FR"/>
        </w:rPr>
      </w:pPr>
    </w:p>
    <w:p w:rsidR="00AA693F" w:rsidRDefault="00AA693F" w:rsidP="00AA693F">
      <w:pPr>
        <w:pStyle w:val="Grillecouleur-Accent1"/>
        <w:rPr>
          <w:lang w:eastAsia="fr-FR"/>
        </w:rPr>
      </w:pPr>
      <w:r w:rsidRPr="00A65480">
        <w:rPr>
          <w:lang w:eastAsia="fr-FR"/>
        </w:rPr>
        <w:t>Il y a en littérature comme en histoire une grande difficulté, une diff</w:t>
      </w:r>
      <w:r w:rsidRPr="00A65480">
        <w:rPr>
          <w:lang w:eastAsia="fr-FR"/>
        </w:rPr>
        <w:t>i</w:t>
      </w:r>
      <w:r w:rsidRPr="00A65480">
        <w:rPr>
          <w:lang w:eastAsia="fr-FR"/>
        </w:rPr>
        <w:t>culté presque insurmontable : ce n’est pas pour les historiens et les crit</w:t>
      </w:r>
      <w:r w:rsidRPr="00A65480">
        <w:rPr>
          <w:lang w:eastAsia="fr-FR"/>
        </w:rPr>
        <w:t>i</w:t>
      </w:r>
      <w:r w:rsidRPr="00A65480">
        <w:rPr>
          <w:lang w:eastAsia="fr-FR"/>
        </w:rPr>
        <w:t>ques de s’apercevoir qu’il se produit une révolution, c’est plutôt de su</w:t>
      </w:r>
      <w:r w:rsidRPr="00A65480">
        <w:rPr>
          <w:lang w:eastAsia="fr-FR"/>
        </w:rPr>
        <w:t>r</w:t>
      </w:r>
      <w:r w:rsidRPr="00A65480">
        <w:rPr>
          <w:lang w:eastAsia="fr-FR"/>
        </w:rPr>
        <w:lastRenderedPageBreak/>
        <w:t>prendre le moment, difficile à saisir, où une révolution se stabilise, où une révolution cesse d’être révolutionnaire. Le dégag</w:t>
      </w:r>
      <w:r w:rsidRPr="00A65480">
        <w:rPr>
          <w:lang w:eastAsia="fr-FR"/>
        </w:rPr>
        <w:t>e</w:t>
      </w:r>
      <w:r w:rsidRPr="00A65480">
        <w:rPr>
          <w:lang w:eastAsia="fr-FR"/>
        </w:rPr>
        <w:t>ment d’énergie dans une révolution est en effet tel, il imprègne pour si longtemps de pa</w:t>
      </w:r>
      <w:r w:rsidRPr="00A65480">
        <w:rPr>
          <w:lang w:eastAsia="fr-FR"/>
        </w:rPr>
        <w:t>s</w:t>
      </w:r>
      <w:r w:rsidRPr="00A65480">
        <w:rPr>
          <w:lang w:eastAsia="fr-FR"/>
        </w:rPr>
        <w:t>sion et de force entraînante que le vocabulaire qui l’exprime, que les mots ici plus qu’ailleurs survivent indéfiniment à la chose signifiée, si bien que lon</w:t>
      </w:r>
      <w:r w:rsidRPr="00A65480">
        <w:rPr>
          <w:lang w:eastAsia="fr-FR"/>
        </w:rPr>
        <w:t>g</w:t>
      </w:r>
      <w:r w:rsidRPr="00A65480">
        <w:rPr>
          <w:lang w:eastAsia="fr-FR"/>
        </w:rPr>
        <w:t>temps encore, dans une société qui se refroidit, les maîtres mots et le v</w:t>
      </w:r>
      <w:r w:rsidRPr="00A65480">
        <w:rPr>
          <w:lang w:eastAsia="fr-FR"/>
        </w:rPr>
        <w:t>o</w:t>
      </w:r>
      <w:r w:rsidRPr="00A65480">
        <w:rPr>
          <w:lang w:eastAsia="fr-FR"/>
        </w:rPr>
        <w:t>cabulaire du temps de l’éruption re</w:t>
      </w:r>
      <w:r w:rsidRPr="00A65480">
        <w:rPr>
          <w:lang w:eastAsia="fr-FR"/>
        </w:rPr>
        <w:t>s</w:t>
      </w:r>
      <w:r w:rsidRPr="00A65480">
        <w:rPr>
          <w:lang w:eastAsia="fr-FR"/>
        </w:rPr>
        <w:t>tent à l’ordre du jour</w:t>
      </w:r>
      <w:r>
        <w:rPr>
          <w:lang w:eastAsia="fr-FR"/>
        </w:rPr>
        <w:t> </w:t>
      </w:r>
      <w:r>
        <w:rPr>
          <w:rStyle w:val="Appelnotedebasdep"/>
          <w:lang w:eastAsia="fr-FR"/>
        </w:rPr>
        <w:footnoteReference w:id="47"/>
      </w:r>
      <w:r w:rsidRPr="00A65480">
        <w:rPr>
          <w:lang w:eastAsia="fr-FR"/>
        </w:rPr>
        <w:t>.</w:t>
      </w:r>
    </w:p>
    <w:p w:rsidR="00AA693F" w:rsidRPr="00A65480" w:rsidRDefault="00AA693F" w:rsidP="00AA693F">
      <w:pPr>
        <w:pStyle w:val="Grillecouleur-Accent1"/>
        <w:rPr>
          <w:lang w:eastAsia="fr-FR"/>
        </w:rPr>
      </w:pPr>
    </w:p>
    <w:p w:rsidR="00AA693F" w:rsidRPr="00A65480" w:rsidRDefault="00AA693F" w:rsidP="00AA693F">
      <w:pPr>
        <w:spacing w:before="120" w:after="120"/>
        <w:jc w:val="both"/>
        <w:rPr>
          <w:lang w:eastAsia="fr-FR"/>
        </w:rPr>
      </w:pPr>
      <w:r w:rsidRPr="00A65480">
        <w:rPr>
          <w:lang w:eastAsia="fr-FR"/>
        </w:rPr>
        <w:t>Ainsi, la modernité littéraire, certes tardive, de la Révolution fra</w:t>
      </w:r>
      <w:r w:rsidRPr="00A65480">
        <w:rPr>
          <w:lang w:eastAsia="fr-FR"/>
        </w:rPr>
        <w:t>n</w:t>
      </w:r>
      <w:r w:rsidRPr="00A65480">
        <w:rPr>
          <w:lang w:eastAsia="fr-FR"/>
        </w:rPr>
        <w:t>çaise se constitue à travers la subversion du vocabulaire révolutionna</w:t>
      </w:r>
      <w:r w:rsidRPr="00A65480">
        <w:rPr>
          <w:lang w:eastAsia="fr-FR"/>
        </w:rPr>
        <w:t>i</w:t>
      </w:r>
      <w:r w:rsidRPr="00A65480">
        <w:rPr>
          <w:lang w:eastAsia="fr-FR"/>
        </w:rPr>
        <w:t>re devenu chose commune et marque, peut-être mieux que sa mode</w:t>
      </w:r>
      <w:r w:rsidRPr="00A65480">
        <w:rPr>
          <w:lang w:eastAsia="fr-FR"/>
        </w:rPr>
        <w:t>r</w:t>
      </w:r>
      <w:r w:rsidRPr="00A65480">
        <w:rPr>
          <w:lang w:eastAsia="fr-FR"/>
        </w:rPr>
        <w:t>nité politique souvent contestée, la potentialité critique du ph</w:t>
      </w:r>
      <w:r w:rsidRPr="00A65480">
        <w:rPr>
          <w:lang w:eastAsia="fr-FR"/>
        </w:rPr>
        <w:t>é</w:t>
      </w:r>
      <w:r w:rsidRPr="00A65480">
        <w:rPr>
          <w:lang w:eastAsia="fr-FR"/>
        </w:rPr>
        <w:t>nomène révol</w:t>
      </w:r>
      <w:r w:rsidRPr="00A65480">
        <w:rPr>
          <w:lang w:eastAsia="fr-FR"/>
        </w:rPr>
        <w:t>u</w:t>
      </w:r>
      <w:r w:rsidRPr="00A65480">
        <w:rPr>
          <w:lang w:eastAsia="fr-FR"/>
        </w:rPr>
        <w:t>tionnaire.</w:t>
      </w:r>
    </w:p>
    <w:p w:rsidR="00AA693F" w:rsidRPr="00A65480" w:rsidRDefault="00AA693F" w:rsidP="00AA693F">
      <w:pPr>
        <w:spacing w:before="120" w:after="120"/>
        <w:jc w:val="both"/>
        <w:rPr>
          <w:lang w:eastAsia="fr-FR"/>
        </w:rPr>
      </w:pPr>
    </w:p>
    <w:p w:rsidR="00AA693F" w:rsidRPr="00A65480" w:rsidRDefault="00AA693F" w:rsidP="00AA693F">
      <w:pPr>
        <w:pStyle w:val="planche"/>
        <w:rPr>
          <w:lang w:eastAsia="fr-FR"/>
        </w:rPr>
      </w:pPr>
      <w:bookmarkStart w:id="8" w:name="Modernite_pol_biblio"/>
      <w:r w:rsidRPr="00A65480">
        <w:rPr>
          <w:lang w:eastAsia="fr-FR"/>
        </w:rPr>
        <w:t>Bibliographie</w:t>
      </w:r>
    </w:p>
    <w:bookmarkEnd w:id="8"/>
    <w:p w:rsidR="00AA693F" w:rsidRPr="00A65480" w:rsidRDefault="00AA693F" w:rsidP="00AA693F">
      <w:pPr>
        <w:spacing w:before="120" w:after="120"/>
        <w:jc w:val="both"/>
        <w:rPr>
          <w:lang w:eastAsia="fr-FR"/>
        </w:rPr>
      </w:pPr>
    </w:p>
    <w:p w:rsidR="00AA693F" w:rsidRPr="00384B20" w:rsidRDefault="00AA693F" w:rsidP="00AA693F">
      <w:pPr>
        <w:ind w:right="90" w:firstLine="0"/>
        <w:jc w:val="both"/>
        <w:rPr>
          <w:sz w:val="20"/>
        </w:rPr>
      </w:pPr>
      <w:hyperlink w:anchor="tdm" w:history="1">
        <w:r w:rsidRPr="00384B20">
          <w:rPr>
            <w:rStyle w:val="Lienhypertexte"/>
            <w:sz w:val="20"/>
          </w:rPr>
          <w:t>Retour à la table des matières</w:t>
        </w:r>
      </w:hyperlink>
    </w:p>
    <w:p w:rsidR="00AA693F" w:rsidRPr="00A65480" w:rsidRDefault="00AA693F" w:rsidP="00AA693F">
      <w:pPr>
        <w:spacing w:before="120" w:after="120"/>
        <w:jc w:val="both"/>
        <w:rPr>
          <w:lang w:eastAsia="fr-FR"/>
        </w:rPr>
      </w:pPr>
      <w:r w:rsidRPr="00A65480">
        <w:rPr>
          <w:smallCaps/>
          <w:lang w:eastAsia="fr-FR"/>
        </w:rPr>
        <w:t>Arendt</w:t>
      </w:r>
      <w:r w:rsidRPr="00A65480">
        <w:rPr>
          <w:lang w:eastAsia="fr-FR"/>
        </w:rPr>
        <w:t xml:space="preserve">, Hannah (1961), </w:t>
      </w:r>
      <w:r w:rsidRPr="00A65480">
        <w:rPr>
          <w:i/>
          <w:lang w:eastAsia="fr-FR"/>
        </w:rPr>
        <w:t>Condition de l’homme moderne</w:t>
      </w:r>
      <w:r w:rsidRPr="00A65480">
        <w:rPr>
          <w:lang w:eastAsia="fr-FR"/>
        </w:rPr>
        <w:t xml:space="preserve">, Georges </w:t>
      </w:r>
      <w:r w:rsidRPr="00A65480">
        <w:rPr>
          <w:smallCaps/>
          <w:lang w:eastAsia="fr-FR"/>
        </w:rPr>
        <w:t>Fradier</w:t>
      </w:r>
      <w:r w:rsidRPr="00A65480">
        <w:rPr>
          <w:lang w:eastAsia="fr-FR"/>
        </w:rPr>
        <w:t xml:space="preserve"> (trad.), Paris.</w:t>
      </w:r>
    </w:p>
    <w:p w:rsidR="00AA693F" w:rsidRPr="00A65480" w:rsidRDefault="00AA693F" w:rsidP="00AA693F">
      <w:pPr>
        <w:spacing w:before="120" w:after="120"/>
        <w:jc w:val="both"/>
        <w:rPr>
          <w:lang w:eastAsia="fr-FR"/>
        </w:rPr>
      </w:pPr>
      <w:r w:rsidRPr="00A65480">
        <w:rPr>
          <w:smallCaps/>
          <w:lang w:eastAsia="fr-FR"/>
        </w:rPr>
        <w:t>A</w:t>
      </w:r>
      <w:r w:rsidRPr="00A65480">
        <w:rPr>
          <w:lang w:eastAsia="fr-FR"/>
        </w:rPr>
        <w:t>uroux</w:t>
      </w:r>
      <w:r w:rsidRPr="00A65480">
        <w:rPr>
          <w:smallCaps/>
          <w:lang w:eastAsia="fr-FR"/>
        </w:rPr>
        <w:t xml:space="preserve">, </w:t>
      </w:r>
      <w:r w:rsidRPr="00A65480">
        <w:rPr>
          <w:lang w:eastAsia="fr-FR"/>
        </w:rPr>
        <w:t xml:space="preserve">Sylvain (dir.) (1989-2000), </w:t>
      </w:r>
      <w:r w:rsidRPr="00A65480">
        <w:rPr>
          <w:i/>
          <w:lang w:eastAsia="fr-FR"/>
        </w:rPr>
        <w:t>Histoire des idées linguist</w:t>
      </w:r>
      <w:r w:rsidRPr="00A65480">
        <w:rPr>
          <w:i/>
          <w:lang w:eastAsia="fr-FR"/>
        </w:rPr>
        <w:t>i</w:t>
      </w:r>
      <w:r w:rsidRPr="00A65480">
        <w:rPr>
          <w:i/>
          <w:lang w:eastAsia="fr-FR"/>
        </w:rPr>
        <w:t xml:space="preserve">ques </w:t>
      </w:r>
      <w:r w:rsidRPr="00A65480">
        <w:rPr>
          <w:lang w:eastAsia="fr-FR"/>
        </w:rPr>
        <w:t>(3 t.), Liège</w:t>
      </w:r>
      <w:r w:rsidRPr="00A65480">
        <w:rPr>
          <w:smallCaps/>
          <w:lang w:eastAsia="fr-FR"/>
        </w:rPr>
        <w:t>.</w:t>
      </w:r>
    </w:p>
    <w:p w:rsidR="00AA693F" w:rsidRPr="00A65480" w:rsidRDefault="00AA693F" w:rsidP="00AA693F">
      <w:pPr>
        <w:spacing w:before="120" w:after="120"/>
        <w:jc w:val="both"/>
        <w:rPr>
          <w:lang w:eastAsia="fr-FR"/>
        </w:rPr>
      </w:pPr>
      <w:r w:rsidRPr="00A65480">
        <w:rPr>
          <w:smallCaps/>
          <w:lang w:eastAsia="fr-FR"/>
        </w:rPr>
        <w:t xml:space="preserve">Bastid, </w:t>
      </w:r>
      <w:r w:rsidRPr="00A65480">
        <w:rPr>
          <w:lang w:eastAsia="fr-FR"/>
        </w:rPr>
        <w:t xml:space="preserve">Paul (1989), </w:t>
      </w:r>
      <w:r w:rsidRPr="00A65480">
        <w:rPr>
          <w:i/>
          <w:lang w:eastAsia="fr-FR"/>
        </w:rPr>
        <w:t>Sieyès et sa pensée</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Binoche</w:t>
      </w:r>
      <w:r w:rsidRPr="00A65480">
        <w:rPr>
          <w:lang w:eastAsia="fr-FR"/>
        </w:rPr>
        <w:t xml:space="preserve">, Bertrand (1994), </w:t>
      </w:r>
      <w:r w:rsidRPr="00A65480">
        <w:rPr>
          <w:i/>
          <w:lang w:eastAsia="fr-FR"/>
        </w:rPr>
        <w:t>Les trois sources des philosophies de l’histoire (1764-1798)</w:t>
      </w:r>
      <w:r w:rsidRPr="00A65480">
        <w:rPr>
          <w:lang w:eastAsia="fr-FR"/>
        </w:rPr>
        <w:t>, Paris.</w:t>
      </w:r>
      <w:r>
        <w:rPr>
          <w:lang w:eastAsia="fr-FR"/>
        </w:rPr>
        <w:t xml:space="preserve"> </w:t>
      </w:r>
      <w:r w:rsidRPr="00A65480">
        <w:rPr>
          <w:lang w:eastAsia="fr-FR"/>
        </w:rPr>
        <w:t>DOI</w:t>
      </w:r>
      <w:r>
        <w:rPr>
          <w:lang w:eastAsia="fr-FR"/>
        </w:rPr>
        <w:t> </w:t>
      </w:r>
      <w:r w:rsidRPr="00A65480">
        <w:rPr>
          <w:lang w:eastAsia="fr-FR"/>
        </w:rPr>
        <w:t xml:space="preserve">: </w:t>
      </w:r>
      <w:hyperlink r:id="rId20" w:history="1">
        <w:r w:rsidRPr="00A65480">
          <w:rPr>
            <w:color w:val="0000FF"/>
            <w:u w:val="single"/>
            <w:lang w:eastAsia="fr-FR"/>
          </w:rPr>
          <w:t>10.3917/puf.binoc.1994.01</w:t>
        </w:r>
      </w:hyperlink>
    </w:p>
    <w:p w:rsidR="00AA693F" w:rsidRPr="00A65480" w:rsidRDefault="00AA693F" w:rsidP="00AA693F">
      <w:pPr>
        <w:spacing w:before="120" w:after="120"/>
        <w:jc w:val="both"/>
        <w:rPr>
          <w:lang w:eastAsia="fr-FR"/>
        </w:rPr>
      </w:pPr>
      <w:r w:rsidRPr="00A65480">
        <w:rPr>
          <w:smallCaps/>
          <w:lang w:eastAsia="fr-FR"/>
        </w:rPr>
        <w:t xml:space="preserve">Brunel, </w:t>
      </w:r>
      <w:r w:rsidRPr="00A65480">
        <w:rPr>
          <w:lang w:eastAsia="fr-FR"/>
        </w:rPr>
        <w:t xml:space="preserve">Françoise (1989), </w:t>
      </w:r>
      <w:r w:rsidRPr="00A65480">
        <w:rPr>
          <w:i/>
          <w:lang w:eastAsia="fr-FR"/>
        </w:rPr>
        <w:t xml:space="preserve">Thermidor : la chute de Robespierre, </w:t>
      </w:r>
      <w:r w:rsidRPr="00A65480">
        <w:rPr>
          <w:lang w:eastAsia="fr-FR"/>
        </w:rPr>
        <w:t>1794, Bruxelles.</w:t>
      </w:r>
    </w:p>
    <w:p w:rsidR="00AA693F" w:rsidRPr="00A65480" w:rsidRDefault="00AA693F" w:rsidP="00AA693F">
      <w:pPr>
        <w:spacing w:before="120" w:after="120"/>
        <w:jc w:val="both"/>
        <w:rPr>
          <w:lang w:eastAsia="fr-FR"/>
        </w:rPr>
      </w:pPr>
      <w:r w:rsidRPr="00A65480">
        <w:rPr>
          <w:smallCaps/>
          <w:lang w:eastAsia="fr-FR"/>
        </w:rPr>
        <w:t>Brunner</w:t>
      </w:r>
      <w:r w:rsidRPr="00A65480">
        <w:rPr>
          <w:lang w:eastAsia="fr-FR"/>
        </w:rPr>
        <w:t xml:space="preserve">, Otto, </w:t>
      </w:r>
      <w:r w:rsidRPr="00A65480">
        <w:rPr>
          <w:smallCaps/>
          <w:lang w:eastAsia="fr-FR"/>
        </w:rPr>
        <w:t xml:space="preserve">Conze, </w:t>
      </w:r>
      <w:r w:rsidRPr="00A65480">
        <w:rPr>
          <w:lang w:eastAsia="fr-FR"/>
        </w:rPr>
        <w:t xml:space="preserve">Werner et </w:t>
      </w:r>
      <w:r w:rsidRPr="00A65480">
        <w:rPr>
          <w:smallCaps/>
          <w:lang w:eastAsia="fr-FR"/>
        </w:rPr>
        <w:t xml:space="preserve">Koselleck, </w:t>
      </w:r>
      <w:r w:rsidRPr="00A65480">
        <w:rPr>
          <w:lang w:eastAsia="fr-FR"/>
        </w:rPr>
        <w:t xml:space="preserve">Reinhart (dir.) (1972-1996), </w:t>
      </w:r>
      <w:r w:rsidRPr="00A65480">
        <w:rPr>
          <w:i/>
          <w:lang w:eastAsia="fr-FR"/>
        </w:rPr>
        <w:t>Geschichtliche Grundbegriffe : Historisches Lexikon zur politisch-sozialen Sprache in Deutschland</w:t>
      </w:r>
      <w:r w:rsidRPr="00A65480">
        <w:rPr>
          <w:lang w:eastAsia="fr-FR"/>
        </w:rPr>
        <w:t xml:space="preserve"> (4 vol.) [« Les concepts fondamentaux en histoire : Dictionnaire historique du langage polit</w:t>
      </w:r>
      <w:r w:rsidRPr="00A65480">
        <w:rPr>
          <w:lang w:eastAsia="fr-FR"/>
        </w:rPr>
        <w:t>i</w:t>
      </w:r>
      <w:r w:rsidRPr="00A65480">
        <w:rPr>
          <w:lang w:eastAsia="fr-FR"/>
        </w:rPr>
        <w:t>co-social en All</w:t>
      </w:r>
      <w:r w:rsidRPr="00A65480">
        <w:rPr>
          <w:lang w:eastAsia="fr-FR"/>
        </w:rPr>
        <w:t>e</w:t>
      </w:r>
      <w:r w:rsidRPr="00A65480">
        <w:rPr>
          <w:lang w:eastAsia="fr-FR"/>
        </w:rPr>
        <w:t>magne »], Stuttgart.</w:t>
      </w:r>
    </w:p>
    <w:p w:rsidR="00AA693F" w:rsidRPr="00A65480" w:rsidRDefault="00AA693F" w:rsidP="00AA693F">
      <w:pPr>
        <w:spacing w:before="120" w:after="120"/>
        <w:jc w:val="both"/>
        <w:rPr>
          <w:lang w:eastAsia="fr-FR"/>
        </w:rPr>
      </w:pPr>
      <w:r w:rsidRPr="00A65480">
        <w:rPr>
          <w:smallCaps/>
          <w:lang w:eastAsia="fr-FR"/>
        </w:rPr>
        <w:t>Compagnon</w:t>
      </w:r>
      <w:r w:rsidRPr="00A65480">
        <w:rPr>
          <w:lang w:eastAsia="fr-FR"/>
        </w:rPr>
        <w:t xml:space="preserve">, Antoine (2005), </w:t>
      </w:r>
      <w:r w:rsidRPr="00A65480">
        <w:rPr>
          <w:i/>
          <w:lang w:eastAsia="fr-FR"/>
        </w:rPr>
        <w:t>Les antimodernes : de Joseph de Mai</w:t>
      </w:r>
      <w:r w:rsidRPr="00A65480">
        <w:rPr>
          <w:i/>
          <w:lang w:eastAsia="fr-FR"/>
        </w:rPr>
        <w:t>s</w:t>
      </w:r>
      <w:r w:rsidRPr="00A65480">
        <w:rPr>
          <w:i/>
          <w:lang w:eastAsia="fr-FR"/>
        </w:rPr>
        <w:t>tre à Roland Barthes</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lastRenderedPageBreak/>
        <w:t xml:space="preserve">Dufour, </w:t>
      </w:r>
      <w:r w:rsidRPr="00A65480">
        <w:rPr>
          <w:lang w:eastAsia="fr-FR"/>
        </w:rPr>
        <w:t xml:space="preserve">Philippe (2004), </w:t>
      </w:r>
      <w:r w:rsidRPr="00A65480">
        <w:rPr>
          <w:i/>
          <w:lang w:eastAsia="fr-FR"/>
        </w:rPr>
        <w:t>La pensée romanesque du langage</w:t>
      </w:r>
      <w:r w:rsidRPr="00A65480">
        <w:rPr>
          <w:lang w:eastAsia="fr-FR"/>
        </w:rPr>
        <w:t>, P</w:t>
      </w:r>
      <w:r w:rsidRPr="00A65480">
        <w:rPr>
          <w:lang w:eastAsia="fr-FR"/>
        </w:rPr>
        <w:t>a</w:t>
      </w:r>
      <w:r w:rsidRPr="00A65480">
        <w:rPr>
          <w:lang w:eastAsia="fr-FR"/>
        </w:rPr>
        <w:t>ris.</w:t>
      </w:r>
    </w:p>
    <w:p w:rsidR="00AA693F" w:rsidRPr="00A65480" w:rsidRDefault="00AA693F" w:rsidP="00AA693F">
      <w:pPr>
        <w:spacing w:before="120" w:after="120"/>
        <w:jc w:val="both"/>
        <w:rPr>
          <w:lang w:eastAsia="fr-FR"/>
        </w:rPr>
      </w:pPr>
      <w:r w:rsidRPr="00A65480">
        <w:rPr>
          <w:smallCaps/>
          <w:lang w:eastAsia="fr-FR"/>
        </w:rPr>
        <w:t>Ele</w:t>
      </w:r>
      <w:r w:rsidRPr="00A65480">
        <w:rPr>
          <w:lang w:eastAsia="fr-FR"/>
        </w:rPr>
        <w:t xml:space="preserve">y, Geoff, </w:t>
      </w:r>
      <w:r w:rsidRPr="00A65480">
        <w:rPr>
          <w:smallCaps/>
          <w:lang w:eastAsia="fr-FR"/>
        </w:rPr>
        <w:t>Civile</w:t>
      </w:r>
      <w:r w:rsidRPr="00A65480">
        <w:rPr>
          <w:lang w:eastAsia="fr-FR"/>
        </w:rPr>
        <w:t xml:space="preserve">, Giuseppe, </w:t>
      </w:r>
      <w:r w:rsidRPr="00A65480">
        <w:rPr>
          <w:smallCaps/>
          <w:lang w:eastAsia="fr-FR"/>
        </w:rPr>
        <w:t>Caglioti</w:t>
      </w:r>
      <w:r w:rsidRPr="00A65480">
        <w:rPr>
          <w:lang w:eastAsia="fr-FR"/>
        </w:rPr>
        <w:t xml:space="preserve">, Daniela Luigia, </w:t>
      </w:r>
      <w:r w:rsidRPr="00A65480">
        <w:rPr>
          <w:smallCaps/>
          <w:lang w:eastAsia="fr-FR"/>
        </w:rPr>
        <w:t>Ryan</w:t>
      </w:r>
      <w:r w:rsidRPr="00A65480">
        <w:rPr>
          <w:lang w:eastAsia="fr-FR"/>
        </w:rPr>
        <w:t>, M</w:t>
      </w:r>
      <w:r w:rsidRPr="00A65480">
        <w:rPr>
          <w:lang w:eastAsia="fr-FR"/>
        </w:rPr>
        <w:t>a</w:t>
      </w:r>
      <w:r w:rsidRPr="00A65480">
        <w:rPr>
          <w:lang w:eastAsia="fr-FR"/>
        </w:rPr>
        <w:t xml:space="preserve">ry P. et </w:t>
      </w:r>
      <w:r w:rsidRPr="00A65480">
        <w:rPr>
          <w:smallCaps/>
          <w:lang w:eastAsia="fr-FR"/>
        </w:rPr>
        <w:t>Guilhaumou</w:t>
      </w:r>
      <w:r w:rsidRPr="00A65480">
        <w:rPr>
          <w:lang w:eastAsia="fr-FR"/>
        </w:rPr>
        <w:t xml:space="preserve">, Jacques (2005), « Storia e critica dell’opinione pubblica di Jürgen Habermas », </w:t>
      </w:r>
      <w:r w:rsidRPr="00A65480">
        <w:rPr>
          <w:i/>
          <w:lang w:eastAsia="fr-FR"/>
        </w:rPr>
        <w:t>Contemporanea. Rivista di storia del‘</w:t>
      </w:r>
      <w:r w:rsidRPr="00A65480">
        <w:rPr>
          <w:lang w:eastAsia="fr-FR"/>
        </w:rPr>
        <w:t>800</w:t>
      </w:r>
      <w:r w:rsidRPr="00A65480">
        <w:rPr>
          <w:i/>
          <w:lang w:eastAsia="fr-FR"/>
        </w:rPr>
        <w:t xml:space="preserve"> e del ‘</w:t>
      </w:r>
      <w:r w:rsidRPr="00A65480">
        <w:rPr>
          <w:lang w:eastAsia="fr-FR"/>
        </w:rPr>
        <w:t>900, anno </w:t>
      </w:r>
      <w:r w:rsidRPr="00A65480">
        <w:rPr>
          <w:smallCaps/>
          <w:lang w:eastAsia="fr-FR"/>
        </w:rPr>
        <w:t>VII</w:t>
      </w:r>
      <w:r w:rsidRPr="00A65480">
        <w:rPr>
          <w:lang w:eastAsia="fr-FR"/>
        </w:rPr>
        <w:t>, 2 (aprile), pp. 337-370.</w:t>
      </w:r>
    </w:p>
    <w:p w:rsidR="00AA693F" w:rsidRPr="00A65480" w:rsidRDefault="00AA693F" w:rsidP="00AA693F">
      <w:pPr>
        <w:spacing w:before="120" w:after="120"/>
        <w:jc w:val="both"/>
        <w:rPr>
          <w:lang w:eastAsia="fr-FR"/>
        </w:rPr>
      </w:pPr>
      <w:r w:rsidRPr="00A65480">
        <w:rPr>
          <w:smallCaps/>
          <w:lang w:eastAsia="fr-FR"/>
        </w:rPr>
        <w:t xml:space="preserve">Fehér, </w:t>
      </w:r>
      <w:r w:rsidRPr="00A65480">
        <w:rPr>
          <w:lang w:eastAsia="fr-FR"/>
        </w:rPr>
        <w:t xml:space="preserve">Ferenc (éd.) (1990), </w:t>
      </w:r>
      <w:r w:rsidRPr="00A65480">
        <w:rPr>
          <w:i/>
          <w:lang w:eastAsia="fr-FR"/>
        </w:rPr>
        <w:t>The French Revolution and the Birth of Modernity</w:t>
      </w:r>
      <w:r w:rsidRPr="00A65480">
        <w:rPr>
          <w:lang w:eastAsia="fr-FR"/>
        </w:rPr>
        <w:t>, Berkeley.</w:t>
      </w:r>
    </w:p>
    <w:p w:rsidR="00AA693F" w:rsidRPr="00A65480" w:rsidRDefault="00AA693F" w:rsidP="00AA693F">
      <w:pPr>
        <w:spacing w:before="120" w:after="120"/>
        <w:jc w:val="both"/>
        <w:rPr>
          <w:lang w:eastAsia="fr-FR"/>
        </w:rPr>
      </w:pPr>
      <w:r w:rsidRPr="00A65480">
        <w:rPr>
          <w:smallCaps/>
          <w:lang w:eastAsia="fr-FR"/>
        </w:rPr>
        <w:t>Foucault</w:t>
      </w:r>
      <w:r w:rsidRPr="00A65480">
        <w:rPr>
          <w:lang w:eastAsia="fr-FR"/>
        </w:rPr>
        <w:t xml:space="preserve">, Michel (1994), « Qu’est-ce que les Lumières ? », dans Michel </w:t>
      </w:r>
      <w:r w:rsidRPr="00A65480">
        <w:rPr>
          <w:smallCaps/>
          <w:lang w:eastAsia="fr-FR"/>
        </w:rPr>
        <w:t>Foucault</w:t>
      </w:r>
      <w:r w:rsidRPr="00A65480">
        <w:rPr>
          <w:lang w:eastAsia="fr-FR"/>
        </w:rPr>
        <w:t xml:space="preserve">, </w:t>
      </w:r>
      <w:r w:rsidRPr="00A65480">
        <w:rPr>
          <w:i/>
          <w:lang w:eastAsia="fr-FR"/>
        </w:rPr>
        <w:t>Dits et écrits [</w:t>
      </w:r>
      <w:r w:rsidRPr="00A65480">
        <w:rPr>
          <w:lang w:eastAsia="fr-FR"/>
        </w:rPr>
        <w:t>1954-1988</w:t>
      </w:r>
      <w:r w:rsidRPr="00A65480">
        <w:rPr>
          <w:i/>
          <w:lang w:eastAsia="fr-FR"/>
        </w:rPr>
        <w:t xml:space="preserve">] </w:t>
      </w:r>
      <w:r w:rsidRPr="00A65480">
        <w:rPr>
          <w:lang w:eastAsia="fr-FR"/>
        </w:rPr>
        <w:t xml:space="preserve">(4 vol.), Daniel </w:t>
      </w:r>
      <w:r w:rsidRPr="00A65480">
        <w:rPr>
          <w:smallCaps/>
          <w:lang w:eastAsia="fr-FR"/>
        </w:rPr>
        <w:t>Defert</w:t>
      </w:r>
      <w:r w:rsidRPr="00A65480">
        <w:rPr>
          <w:lang w:eastAsia="fr-FR"/>
        </w:rPr>
        <w:t xml:space="preserve"> et François </w:t>
      </w:r>
      <w:r w:rsidRPr="00A65480">
        <w:rPr>
          <w:smallCaps/>
          <w:lang w:eastAsia="fr-FR"/>
        </w:rPr>
        <w:t>Ewald</w:t>
      </w:r>
      <w:r w:rsidRPr="00A65480">
        <w:rPr>
          <w:lang w:eastAsia="fr-FR"/>
        </w:rPr>
        <w:t xml:space="preserve"> (dir.), Paris, t. </w:t>
      </w:r>
      <w:r w:rsidRPr="00A65480">
        <w:rPr>
          <w:smallCaps/>
          <w:lang w:eastAsia="fr-FR"/>
        </w:rPr>
        <w:t>iv</w:t>
      </w:r>
      <w:r w:rsidRPr="00A65480">
        <w:rPr>
          <w:lang w:eastAsia="fr-FR"/>
        </w:rPr>
        <w:t>, pp. 562-577.</w:t>
      </w:r>
    </w:p>
    <w:p w:rsidR="00AA693F" w:rsidRPr="00A65480" w:rsidRDefault="00AA693F" w:rsidP="00AA693F">
      <w:pPr>
        <w:spacing w:before="120" w:after="120"/>
        <w:jc w:val="both"/>
        <w:rPr>
          <w:lang w:eastAsia="fr-FR"/>
        </w:rPr>
      </w:pPr>
      <w:r w:rsidRPr="00A65480">
        <w:rPr>
          <w:smallCaps/>
          <w:lang w:eastAsia="fr-FR"/>
        </w:rPr>
        <w:t>Furet</w:t>
      </w:r>
      <w:r w:rsidRPr="00A65480">
        <w:rPr>
          <w:lang w:eastAsia="fr-FR"/>
        </w:rPr>
        <w:t xml:space="preserve">, François (1988), </w:t>
      </w:r>
      <w:r w:rsidRPr="00A65480">
        <w:rPr>
          <w:i/>
          <w:lang w:eastAsia="fr-FR"/>
        </w:rPr>
        <w:t>La Révolution : de Turgot à Jules Ferry (1770-1880)</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Furet</w:t>
      </w:r>
      <w:r w:rsidRPr="00A65480">
        <w:rPr>
          <w:lang w:eastAsia="fr-FR"/>
        </w:rPr>
        <w:t xml:space="preserve">, François et </w:t>
      </w:r>
      <w:r w:rsidRPr="00A65480">
        <w:rPr>
          <w:smallCaps/>
          <w:lang w:eastAsia="fr-FR"/>
        </w:rPr>
        <w:t>Halévi</w:t>
      </w:r>
      <w:r w:rsidRPr="00A65480">
        <w:rPr>
          <w:lang w:eastAsia="fr-FR"/>
        </w:rPr>
        <w:t>, Ran (éd.) (1989),</w:t>
      </w:r>
      <w:r w:rsidRPr="00A65480">
        <w:rPr>
          <w:i/>
          <w:lang w:eastAsia="fr-FR"/>
        </w:rPr>
        <w:t xml:space="preserve"> Orateurs de la Révol</w:t>
      </w:r>
      <w:r w:rsidRPr="00A65480">
        <w:rPr>
          <w:i/>
          <w:lang w:eastAsia="fr-FR"/>
        </w:rPr>
        <w:t>u</w:t>
      </w:r>
      <w:r w:rsidRPr="00A65480">
        <w:rPr>
          <w:i/>
          <w:lang w:eastAsia="fr-FR"/>
        </w:rPr>
        <w:t>tion française</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 xml:space="preserve">Gauthier, </w:t>
      </w:r>
      <w:r w:rsidRPr="00A65480">
        <w:rPr>
          <w:lang w:eastAsia="fr-FR"/>
        </w:rPr>
        <w:t xml:space="preserve">Florence (1992), </w:t>
      </w:r>
      <w:r w:rsidRPr="00A65480">
        <w:rPr>
          <w:i/>
          <w:lang w:eastAsia="fr-FR"/>
        </w:rPr>
        <w:t>Triomphe et mort du droit naturel en R</w:t>
      </w:r>
      <w:r w:rsidRPr="00A65480">
        <w:rPr>
          <w:i/>
          <w:lang w:eastAsia="fr-FR"/>
        </w:rPr>
        <w:t>é</w:t>
      </w:r>
      <w:r w:rsidRPr="00A65480">
        <w:rPr>
          <w:i/>
          <w:lang w:eastAsia="fr-FR"/>
        </w:rPr>
        <w:t>volution (1789-1795-1802)</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 xml:space="preserve">Gauthier, </w:t>
      </w:r>
      <w:r w:rsidRPr="00A65480">
        <w:rPr>
          <w:lang w:eastAsia="fr-FR"/>
        </w:rPr>
        <w:t xml:space="preserve">Florence et </w:t>
      </w:r>
      <w:r w:rsidRPr="00A65480">
        <w:rPr>
          <w:smallCaps/>
          <w:lang w:eastAsia="fr-FR"/>
        </w:rPr>
        <w:t xml:space="preserve">Guilhaumou, </w:t>
      </w:r>
      <w:r w:rsidRPr="00A65480">
        <w:rPr>
          <w:lang w:eastAsia="fr-FR"/>
        </w:rPr>
        <w:t xml:space="preserve">Jacques (dir.) (2002), « Les libéralismes au regard de l’histoire », </w:t>
      </w:r>
      <w:r w:rsidRPr="00A65480">
        <w:rPr>
          <w:i/>
          <w:lang w:eastAsia="fr-FR"/>
        </w:rPr>
        <w:t>Actuel Marx</w:t>
      </w:r>
      <w:r w:rsidRPr="00A65480">
        <w:rPr>
          <w:lang w:eastAsia="fr-FR"/>
        </w:rPr>
        <w:t>, 32 [numéro thémat</w:t>
      </w:r>
      <w:r w:rsidRPr="00A65480">
        <w:rPr>
          <w:lang w:eastAsia="fr-FR"/>
        </w:rPr>
        <w:t>i</w:t>
      </w:r>
      <w:r w:rsidRPr="00A65480">
        <w:rPr>
          <w:lang w:eastAsia="fr-FR"/>
        </w:rPr>
        <w:t>que].</w:t>
      </w:r>
    </w:p>
    <w:p w:rsidR="00AA693F" w:rsidRPr="00A65480" w:rsidRDefault="00AA693F" w:rsidP="00AA693F">
      <w:pPr>
        <w:spacing w:before="120" w:after="120"/>
        <w:jc w:val="both"/>
        <w:rPr>
          <w:lang w:eastAsia="fr-FR"/>
        </w:rPr>
      </w:pPr>
      <w:r w:rsidRPr="00A65480">
        <w:rPr>
          <w:smallCaps/>
          <w:lang w:eastAsia="fr-FR"/>
        </w:rPr>
        <w:t xml:space="preserve">Gracq, </w:t>
      </w:r>
      <w:r w:rsidRPr="00A65480">
        <w:rPr>
          <w:lang w:eastAsia="fr-FR"/>
        </w:rPr>
        <w:t xml:space="preserve">Julien (1989), </w:t>
      </w:r>
      <w:r w:rsidRPr="00A65480">
        <w:rPr>
          <w:i/>
          <w:lang w:eastAsia="fr-FR"/>
        </w:rPr>
        <w:t>Œuvres complètes</w:t>
      </w:r>
      <w:r w:rsidRPr="00A65480">
        <w:rPr>
          <w:lang w:eastAsia="fr-FR"/>
        </w:rPr>
        <w:t xml:space="preserve">, Bernhild </w:t>
      </w:r>
      <w:r w:rsidRPr="00A65480">
        <w:rPr>
          <w:smallCaps/>
          <w:lang w:eastAsia="fr-FR"/>
        </w:rPr>
        <w:t>Boie</w:t>
      </w:r>
      <w:r w:rsidRPr="00A65480">
        <w:rPr>
          <w:lang w:eastAsia="fr-FR"/>
        </w:rPr>
        <w:t xml:space="preserve"> (éd.), P</w:t>
      </w:r>
      <w:r w:rsidRPr="00A65480">
        <w:rPr>
          <w:lang w:eastAsia="fr-FR"/>
        </w:rPr>
        <w:t>a</w:t>
      </w:r>
      <w:r w:rsidRPr="00A65480">
        <w:rPr>
          <w:lang w:eastAsia="fr-FR"/>
        </w:rPr>
        <w:t>ris.</w:t>
      </w:r>
    </w:p>
    <w:p w:rsidR="00AA693F" w:rsidRPr="00A65480" w:rsidRDefault="00AA693F" w:rsidP="00AA693F">
      <w:pPr>
        <w:spacing w:before="120" w:after="120"/>
        <w:jc w:val="both"/>
        <w:rPr>
          <w:lang w:eastAsia="fr-FR"/>
        </w:rPr>
      </w:pPr>
      <w:r w:rsidRPr="00A65480">
        <w:rPr>
          <w:smallCaps/>
          <w:lang w:eastAsia="fr-FR"/>
        </w:rPr>
        <w:t>Gramsci, Antonio (</w:t>
      </w:r>
      <w:r w:rsidRPr="00A65480">
        <w:rPr>
          <w:lang w:eastAsia="fr-FR"/>
        </w:rPr>
        <w:t>1975</w:t>
      </w:r>
      <w:r w:rsidRPr="00A65480">
        <w:rPr>
          <w:smallCaps/>
          <w:lang w:eastAsia="fr-FR"/>
        </w:rPr>
        <w:t>),</w:t>
      </w:r>
      <w:r w:rsidRPr="00A65480">
        <w:rPr>
          <w:lang w:eastAsia="fr-FR"/>
        </w:rPr>
        <w:t xml:space="preserve"> </w:t>
      </w:r>
      <w:r w:rsidRPr="00A65480">
        <w:rPr>
          <w:i/>
          <w:lang w:eastAsia="fr-FR"/>
        </w:rPr>
        <w:t xml:space="preserve">Quaderni del carcere </w:t>
      </w:r>
      <w:r w:rsidRPr="00A65480">
        <w:rPr>
          <w:lang w:eastAsia="fr-FR"/>
        </w:rPr>
        <w:t>(4 vol.), Vale</w:t>
      </w:r>
      <w:r w:rsidRPr="00A65480">
        <w:rPr>
          <w:lang w:eastAsia="fr-FR"/>
        </w:rPr>
        <w:t>n</w:t>
      </w:r>
      <w:r w:rsidRPr="00A65480">
        <w:rPr>
          <w:lang w:eastAsia="fr-FR"/>
        </w:rPr>
        <w:t xml:space="preserve">tino </w:t>
      </w:r>
      <w:r w:rsidRPr="00A65480">
        <w:rPr>
          <w:smallCaps/>
          <w:lang w:eastAsia="fr-FR"/>
        </w:rPr>
        <w:t>Gerratana</w:t>
      </w:r>
      <w:r w:rsidRPr="00A65480">
        <w:rPr>
          <w:lang w:eastAsia="fr-FR"/>
        </w:rPr>
        <w:t xml:space="preserve"> (éd.), Turin.</w:t>
      </w:r>
    </w:p>
    <w:p w:rsidR="00AA693F" w:rsidRPr="00A65480" w:rsidRDefault="00AA693F" w:rsidP="00AA693F">
      <w:pPr>
        <w:spacing w:before="120" w:after="120"/>
        <w:jc w:val="both"/>
        <w:rPr>
          <w:lang w:eastAsia="fr-FR"/>
        </w:rPr>
      </w:pPr>
      <w:r w:rsidRPr="00A65480">
        <w:rPr>
          <w:smallCaps/>
          <w:lang w:eastAsia="fr-FR"/>
        </w:rPr>
        <w:t>Guilhaumou</w:t>
      </w:r>
      <w:r w:rsidRPr="00A65480">
        <w:rPr>
          <w:lang w:eastAsia="fr-FR"/>
        </w:rPr>
        <w:t xml:space="preserve">, Jacques (1986), « La mort de Marat à Paris (13 juillet-16 juillet 1793 », dans Jean-Claude </w:t>
      </w:r>
      <w:r w:rsidRPr="00A65480">
        <w:rPr>
          <w:smallCaps/>
          <w:lang w:eastAsia="fr-FR"/>
        </w:rPr>
        <w:t>Bonnet</w:t>
      </w:r>
      <w:r w:rsidRPr="00A65480">
        <w:rPr>
          <w:lang w:eastAsia="fr-FR"/>
        </w:rPr>
        <w:t xml:space="preserve"> (dir.), </w:t>
      </w:r>
      <w:r w:rsidRPr="00A65480">
        <w:rPr>
          <w:i/>
          <w:lang w:eastAsia="fr-FR"/>
        </w:rPr>
        <w:t>La mort de Marat</w:t>
      </w:r>
      <w:r w:rsidRPr="00A65480">
        <w:rPr>
          <w:lang w:eastAsia="fr-FR"/>
        </w:rPr>
        <w:t>, Paris, pp. 39-81.</w:t>
      </w:r>
    </w:p>
    <w:p w:rsidR="00AA693F" w:rsidRPr="00A65480" w:rsidRDefault="00AA693F" w:rsidP="00AA693F">
      <w:pPr>
        <w:spacing w:before="120" w:after="120"/>
        <w:jc w:val="both"/>
        <w:rPr>
          <w:lang w:eastAsia="fr-FR"/>
        </w:rPr>
      </w:pPr>
      <w:r w:rsidRPr="00A65480">
        <w:rPr>
          <w:smallCaps/>
          <w:lang w:eastAsia="fr-FR"/>
        </w:rPr>
        <w:t>Guilhaumou</w:t>
      </w:r>
      <w:r w:rsidRPr="00A65480">
        <w:rPr>
          <w:lang w:eastAsia="fr-FR"/>
        </w:rPr>
        <w:t xml:space="preserve">, Jacques (1989), </w:t>
      </w:r>
      <w:r w:rsidRPr="00A65480">
        <w:rPr>
          <w:i/>
          <w:lang w:eastAsia="fr-FR"/>
        </w:rPr>
        <w:t xml:space="preserve">La mort de Marat : </w:t>
      </w:r>
      <w:r w:rsidRPr="00A65480">
        <w:rPr>
          <w:lang w:eastAsia="fr-FR"/>
        </w:rPr>
        <w:t>1793, Bruxe</w:t>
      </w:r>
      <w:r w:rsidRPr="00A65480">
        <w:rPr>
          <w:lang w:eastAsia="fr-FR"/>
        </w:rPr>
        <w:t>l</w:t>
      </w:r>
      <w:r w:rsidRPr="00A65480">
        <w:rPr>
          <w:lang w:eastAsia="fr-FR"/>
        </w:rPr>
        <w:t>les.</w:t>
      </w:r>
    </w:p>
    <w:p w:rsidR="00AA693F" w:rsidRPr="00A65480" w:rsidRDefault="00AA693F" w:rsidP="00AA693F">
      <w:pPr>
        <w:spacing w:before="120" w:after="120"/>
        <w:jc w:val="both"/>
        <w:rPr>
          <w:lang w:eastAsia="fr-FR"/>
        </w:rPr>
      </w:pPr>
      <w:r w:rsidRPr="00A65480">
        <w:rPr>
          <w:smallCaps/>
          <w:lang w:eastAsia="fr-FR"/>
        </w:rPr>
        <w:t>Guilhaumou</w:t>
      </w:r>
      <w:r w:rsidRPr="00A65480">
        <w:rPr>
          <w:lang w:eastAsia="fr-FR"/>
        </w:rPr>
        <w:t xml:space="preserve">, Jacques (1998 a), </w:t>
      </w:r>
      <w:r w:rsidRPr="00A65480">
        <w:rPr>
          <w:i/>
          <w:lang w:eastAsia="fr-FR"/>
        </w:rPr>
        <w:t>L’avènement des porte-parole de la République (1789-1792). Essai de synthèse sur les langages de la Rév</w:t>
      </w:r>
      <w:r w:rsidRPr="00A65480">
        <w:rPr>
          <w:i/>
          <w:lang w:eastAsia="fr-FR"/>
        </w:rPr>
        <w:t>o</w:t>
      </w:r>
      <w:r w:rsidRPr="00A65480">
        <w:rPr>
          <w:i/>
          <w:lang w:eastAsia="fr-FR"/>
        </w:rPr>
        <w:t>lution française</w:t>
      </w:r>
      <w:r w:rsidRPr="00A65480">
        <w:rPr>
          <w:lang w:eastAsia="fr-FR"/>
        </w:rPr>
        <w:t>, Lille.</w:t>
      </w:r>
    </w:p>
    <w:p w:rsidR="00AA693F" w:rsidRPr="00A65480" w:rsidRDefault="00AA693F" w:rsidP="00AA693F">
      <w:pPr>
        <w:spacing w:before="120" w:after="120"/>
        <w:jc w:val="both"/>
        <w:rPr>
          <w:lang w:eastAsia="fr-FR"/>
        </w:rPr>
      </w:pPr>
      <w:r w:rsidRPr="00A65480">
        <w:rPr>
          <w:smallCaps/>
          <w:lang w:eastAsia="fr-FR"/>
        </w:rPr>
        <w:lastRenderedPageBreak/>
        <w:t xml:space="preserve">Guilhaumou, </w:t>
      </w:r>
      <w:r w:rsidRPr="00A65480">
        <w:rPr>
          <w:lang w:eastAsia="fr-FR"/>
        </w:rPr>
        <w:t>Jacques (1998 b), « Un débat franco-américain a</w:t>
      </w:r>
      <w:r w:rsidRPr="00A65480">
        <w:rPr>
          <w:lang w:eastAsia="fr-FR"/>
        </w:rPr>
        <w:t>u</w:t>
      </w:r>
      <w:r w:rsidRPr="00A65480">
        <w:rPr>
          <w:lang w:eastAsia="fr-FR"/>
        </w:rPr>
        <w:t xml:space="preserve">tour de la Révolution française », </w:t>
      </w:r>
      <w:r w:rsidRPr="00A65480">
        <w:rPr>
          <w:i/>
          <w:lang w:eastAsia="fr-FR"/>
        </w:rPr>
        <w:t>Dix-huitième siècle</w:t>
      </w:r>
      <w:r w:rsidRPr="00A65480">
        <w:rPr>
          <w:lang w:eastAsia="fr-FR"/>
        </w:rPr>
        <w:t>, 30, pp. 245-256.</w:t>
      </w:r>
      <w:r>
        <w:rPr>
          <w:lang w:eastAsia="fr-FR"/>
        </w:rPr>
        <w:t xml:space="preserve"> </w:t>
      </w:r>
      <w:r w:rsidRPr="00A65480">
        <w:rPr>
          <w:lang w:eastAsia="fr-FR"/>
        </w:rPr>
        <w:t xml:space="preserve">DOI : </w:t>
      </w:r>
      <w:hyperlink r:id="rId21" w:history="1">
        <w:r w:rsidRPr="00A65480">
          <w:rPr>
            <w:color w:val="0000FF"/>
            <w:u w:val="single"/>
            <w:lang w:eastAsia="fr-FR"/>
          </w:rPr>
          <w:t>10.3406/dhs.1998.2236</w:t>
        </w:r>
      </w:hyperlink>
    </w:p>
    <w:p w:rsidR="00AA693F" w:rsidRPr="00A65480" w:rsidRDefault="00AA693F" w:rsidP="00AA693F">
      <w:pPr>
        <w:spacing w:before="120" w:after="120"/>
        <w:jc w:val="both"/>
        <w:rPr>
          <w:lang w:eastAsia="fr-FR"/>
        </w:rPr>
      </w:pPr>
      <w:r w:rsidRPr="00A65480">
        <w:rPr>
          <w:smallCaps/>
          <w:lang w:eastAsia="fr-FR"/>
        </w:rPr>
        <w:t xml:space="preserve">Guilhaumou, </w:t>
      </w:r>
      <w:r w:rsidRPr="00A65480">
        <w:rPr>
          <w:lang w:eastAsia="fr-FR"/>
        </w:rPr>
        <w:t>Jacques (2001), « L’histoire des événements li</w:t>
      </w:r>
      <w:r w:rsidRPr="00A65480">
        <w:rPr>
          <w:lang w:eastAsia="fr-FR"/>
        </w:rPr>
        <w:t>n</w:t>
      </w:r>
      <w:r w:rsidRPr="00A65480">
        <w:rPr>
          <w:lang w:eastAsia="fr-FR"/>
        </w:rPr>
        <w:t>guist</w:t>
      </w:r>
      <w:r w:rsidRPr="00A65480">
        <w:rPr>
          <w:lang w:eastAsia="fr-FR"/>
        </w:rPr>
        <w:t>i</w:t>
      </w:r>
      <w:r w:rsidRPr="00A65480">
        <w:rPr>
          <w:lang w:eastAsia="fr-FR"/>
        </w:rPr>
        <w:t xml:space="preserve">ques de “La langue française” au </w:t>
      </w:r>
      <w:r w:rsidRPr="00A65480">
        <w:rPr>
          <w:smallCaps/>
          <w:lang w:eastAsia="fr-FR"/>
        </w:rPr>
        <w:t>xviii</w:t>
      </w:r>
      <w:r w:rsidRPr="00A65480">
        <w:rPr>
          <w:vertAlign w:val="superscript"/>
          <w:lang w:eastAsia="fr-FR"/>
        </w:rPr>
        <w:t>e</w:t>
      </w:r>
      <w:r w:rsidRPr="00A65480">
        <w:rPr>
          <w:lang w:eastAsia="fr-FR"/>
        </w:rPr>
        <w:t xml:space="preserve"> siècle », dans Gilles </w:t>
      </w:r>
      <w:r w:rsidRPr="00A65480">
        <w:rPr>
          <w:smallCaps/>
          <w:lang w:eastAsia="fr-FR"/>
        </w:rPr>
        <w:t>Siouffi</w:t>
      </w:r>
      <w:r w:rsidRPr="00A65480">
        <w:rPr>
          <w:lang w:eastAsia="fr-FR"/>
        </w:rPr>
        <w:t xml:space="preserve"> et Agnès </w:t>
      </w:r>
      <w:r w:rsidRPr="00A65480">
        <w:rPr>
          <w:smallCaps/>
          <w:lang w:eastAsia="fr-FR"/>
        </w:rPr>
        <w:t>Steuckard</w:t>
      </w:r>
      <w:r w:rsidRPr="00A65480">
        <w:rPr>
          <w:lang w:eastAsia="fr-FR"/>
        </w:rPr>
        <w:t xml:space="preserve"> (éd.), </w:t>
      </w:r>
      <w:r w:rsidRPr="00A65480">
        <w:rPr>
          <w:i/>
          <w:lang w:eastAsia="fr-FR"/>
        </w:rPr>
        <w:t>La norme lexicale</w:t>
      </w:r>
      <w:r w:rsidRPr="00A65480">
        <w:rPr>
          <w:lang w:eastAsia="fr-FR"/>
        </w:rPr>
        <w:t>, Montpellier, pp. 157-177.</w:t>
      </w:r>
    </w:p>
    <w:p w:rsidR="00AA693F" w:rsidRPr="00A65480" w:rsidRDefault="00AA693F" w:rsidP="00AA693F">
      <w:pPr>
        <w:spacing w:before="120" w:after="120"/>
        <w:jc w:val="both"/>
        <w:rPr>
          <w:lang w:eastAsia="fr-FR"/>
        </w:rPr>
      </w:pPr>
      <w:r w:rsidRPr="00A65480">
        <w:rPr>
          <w:smallCaps/>
          <w:lang w:eastAsia="fr-FR"/>
        </w:rPr>
        <w:t xml:space="preserve">Guilhaumou, </w:t>
      </w:r>
      <w:r w:rsidRPr="00A65480">
        <w:rPr>
          <w:lang w:eastAsia="fr-FR"/>
        </w:rPr>
        <w:t xml:space="preserve">Jacques (2002), </w:t>
      </w:r>
      <w:r w:rsidRPr="00A65480">
        <w:rPr>
          <w:i/>
          <w:lang w:eastAsia="fr-FR"/>
        </w:rPr>
        <w:t>Sieyès et l’ordre de la langue. L’invention de la politique moderne</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 xml:space="preserve">Guilhaumou, </w:t>
      </w:r>
      <w:r w:rsidRPr="00A65480">
        <w:rPr>
          <w:lang w:eastAsia="fr-FR"/>
        </w:rPr>
        <w:t xml:space="preserve">Jacques et </w:t>
      </w:r>
      <w:r w:rsidRPr="00A65480">
        <w:rPr>
          <w:smallCaps/>
          <w:lang w:eastAsia="fr-FR"/>
        </w:rPr>
        <w:t>Branca-Rosoff</w:t>
      </w:r>
      <w:r w:rsidRPr="00A65480">
        <w:rPr>
          <w:lang w:eastAsia="fr-FR"/>
        </w:rPr>
        <w:t>, Sonia (1998), « De “s</w:t>
      </w:r>
      <w:r w:rsidRPr="00A65480">
        <w:rPr>
          <w:lang w:eastAsia="fr-FR"/>
        </w:rPr>
        <w:t>o</w:t>
      </w:r>
      <w:r w:rsidRPr="00A65480">
        <w:rPr>
          <w:lang w:eastAsia="fr-FR"/>
        </w:rPr>
        <w:t xml:space="preserve">ciété” à “socialisme” (Sieyès) : l’invention néologique et son contexte discursif. Essai de colinguisme appliqué », </w:t>
      </w:r>
      <w:r w:rsidRPr="00A65480">
        <w:rPr>
          <w:i/>
          <w:lang w:eastAsia="fr-FR"/>
        </w:rPr>
        <w:t>Langage et Soci</w:t>
      </w:r>
      <w:r w:rsidRPr="00A65480">
        <w:rPr>
          <w:i/>
          <w:lang w:eastAsia="fr-FR"/>
        </w:rPr>
        <w:t>é</w:t>
      </w:r>
      <w:r w:rsidRPr="00A65480">
        <w:rPr>
          <w:i/>
          <w:lang w:eastAsia="fr-FR"/>
        </w:rPr>
        <w:t>té</w:t>
      </w:r>
      <w:r w:rsidRPr="00A65480">
        <w:rPr>
          <w:lang w:eastAsia="fr-FR"/>
        </w:rPr>
        <w:t>, 83-84 (mars-juin), pp. 39-77.</w:t>
      </w:r>
    </w:p>
    <w:p w:rsidR="00AA693F" w:rsidRPr="00A65480" w:rsidRDefault="00AA693F" w:rsidP="00AA693F">
      <w:pPr>
        <w:spacing w:before="120" w:after="120"/>
        <w:jc w:val="both"/>
        <w:rPr>
          <w:lang w:eastAsia="fr-FR"/>
        </w:rPr>
      </w:pPr>
      <w:r w:rsidRPr="00A65480">
        <w:rPr>
          <w:smallCaps/>
          <w:lang w:eastAsia="fr-FR"/>
        </w:rPr>
        <w:t>Guilhaumou</w:t>
      </w:r>
      <w:r w:rsidRPr="00A65480">
        <w:rPr>
          <w:lang w:eastAsia="fr-FR"/>
        </w:rPr>
        <w:t xml:space="preserve">, Jacques et </w:t>
      </w:r>
      <w:r w:rsidRPr="00A65480">
        <w:rPr>
          <w:smallCaps/>
          <w:lang w:eastAsia="fr-FR"/>
        </w:rPr>
        <w:t>Lapied</w:t>
      </w:r>
      <w:r w:rsidRPr="00A65480">
        <w:rPr>
          <w:lang w:eastAsia="fr-FR"/>
        </w:rPr>
        <w:t>, Martine (1997), « L’action pol</w:t>
      </w:r>
      <w:r w:rsidRPr="00A65480">
        <w:rPr>
          <w:lang w:eastAsia="fr-FR"/>
        </w:rPr>
        <w:t>i</w:t>
      </w:r>
      <w:r w:rsidRPr="00A65480">
        <w:rPr>
          <w:lang w:eastAsia="fr-FR"/>
        </w:rPr>
        <w:t xml:space="preserve">tique des femmes pendant la Révolution française », dans </w:t>
      </w:r>
      <w:r w:rsidRPr="00A65480">
        <w:rPr>
          <w:i/>
          <w:lang w:eastAsia="fr-FR"/>
        </w:rPr>
        <w:t>Encyclop</w:t>
      </w:r>
      <w:r w:rsidRPr="00A65480">
        <w:rPr>
          <w:i/>
          <w:lang w:eastAsia="fr-FR"/>
        </w:rPr>
        <w:t>é</w:t>
      </w:r>
      <w:r w:rsidRPr="00A65480">
        <w:rPr>
          <w:i/>
          <w:lang w:eastAsia="fr-FR"/>
        </w:rPr>
        <w:t>die historique et politique des femmes</w:t>
      </w:r>
      <w:r w:rsidRPr="00A65480">
        <w:rPr>
          <w:lang w:eastAsia="fr-FR"/>
        </w:rPr>
        <w:t>, Paris, pp. 139-168.</w:t>
      </w:r>
    </w:p>
    <w:p w:rsidR="00AA693F" w:rsidRPr="00A65480" w:rsidRDefault="00AA693F" w:rsidP="00AA693F">
      <w:pPr>
        <w:spacing w:before="120" w:after="120"/>
        <w:jc w:val="both"/>
        <w:rPr>
          <w:lang w:eastAsia="fr-FR"/>
        </w:rPr>
      </w:pPr>
      <w:r w:rsidRPr="00A65480">
        <w:rPr>
          <w:smallCaps/>
          <w:lang w:eastAsia="fr-FR"/>
        </w:rPr>
        <w:t xml:space="preserve">Guilhaumou, </w:t>
      </w:r>
      <w:r w:rsidRPr="00A65480">
        <w:rPr>
          <w:lang w:eastAsia="fr-FR"/>
        </w:rPr>
        <w:t xml:space="preserve">Jacques et </w:t>
      </w:r>
      <w:r w:rsidRPr="00A65480">
        <w:rPr>
          <w:smallCaps/>
          <w:lang w:eastAsia="fr-FR"/>
        </w:rPr>
        <w:t>Monnier</w:t>
      </w:r>
      <w:r w:rsidRPr="00A65480">
        <w:rPr>
          <w:lang w:eastAsia="fr-FR"/>
        </w:rPr>
        <w:t xml:space="preserve">, Raymonde (dir.) (2003), </w:t>
      </w:r>
      <w:r w:rsidRPr="00A65480">
        <w:rPr>
          <w:i/>
          <w:lang w:eastAsia="fr-FR"/>
        </w:rPr>
        <w:t>Des n</w:t>
      </w:r>
      <w:r w:rsidRPr="00A65480">
        <w:rPr>
          <w:i/>
          <w:lang w:eastAsia="fr-FR"/>
        </w:rPr>
        <w:t>o</w:t>
      </w:r>
      <w:r w:rsidRPr="00A65480">
        <w:rPr>
          <w:i/>
          <w:lang w:eastAsia="fr-FR"/>
        </w:rPr>
        <w:t xml:space="preserve">tions-concepts en révolution autour de la liberté politique à la fin du </w:t>
      </w:r>
      <w:r w:rsidRPr="00A65480">
        <w:rPr>
          <w:i/>
          <w:smallCaps/>
          <w:lang w:eastAsia="fr-FR"/>
        </w:rPr>
        <w:t>xviii</w:t>
      </w:r>
      <w:r w:rsidRPr="00A65480">
        <w:rPr>
          <w:i/>
          <w:vertAlign w:val="superscript"/>
          <w:lang w:eastAsia="fr-FR"/>
        </w:rPr>
        <w:t>e</w:t>
      </w:r>
      <w:r w:rsidRPr="00A65480">
        <w:rPr>
          <w:i/>
          <w:lang w:eastAsia="fr-FR"/>
        </w:rPr>
        <w:t> siècle. Actes de la journée d’études (Sorbonne, 23 novembre 2002)</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Guilhaumou</w:t>
      </w:r>
      <w:r w:rsidRPr="00A65480">
        <w:rPr>
          <w:lang w:eastAsia="fr-FR"/>
        </w:rPr>
        <w:t xml:space="preserve">, Jacques et </w:t>
      </w:r>
      <w:r w:rsidRPr="00A65480">
        <w:rPr>
          <w:smallCaps/>
          <w:lang w:eastAsia="fr-FR"/>
        </w:rPr>
        <w:t xml:space="preserve">Piguet, </w:t>
      </w:r>
      <w:r w:rsidRPr="00A65480">
        <w:rPr>
          <w:lang w:eastAsia="fr-FR"/>
        </w:rPr>
        <w:t xml:space="preserve">Marie-France (dir.) (2003), </w:t>
      </w:r>
      <w:r w:rsidRPr="00A65480">
        <w:rPr>
          <w:i/>
          <w:lang w:eastAsia="fr-FR"/>
        </w:rPr>
        <w:t>N</w:t>
      </w:r>
      <w:r w:rsidRPr="00A65480">
        <w:rPr>
          <w:i/>
          <w:lang w:eastAsia="fr-FR"/>
        </w:rPr>
        <w:t>o</w:t>
      </w:r>
      <w:r w:rsidRPr="00A65480">
        <w:rPr>
          <w:i/>
          <w:lang w:eastAsia="fr-FR"/>
        </w:rPr>
        <w:t>tions théoriques : charlatanisme, division du travail, grande nation, langue de l’économie politique, production, socialisme, travail</w:t>
      </w:r>
      <w:r w:rsidRPr="00A65480">
        <w:rPr>
          <w:lang w:eastAsia="fr-FR"/>
        </w:rPr>
        <w:t xml:space="preserve">, vol. 7 du </w:t>
      </w:r>
      <w:r w:rsidRPr="00A65480">
        <w:rPr>
          <w:i/>
          <w:lang w:eastAsia="fr-FR"/>
        </w:rPr>
        <w:t>Dictionnaire des usages socio-politiques [1770-1815]</w:t>
      </w:r>
      <w:r w:rsidRPr="00A65480">
        <w:rPr>
          <w:lang w:eastAsia="fr-FR"/>
        </w:rPr>
        <w:t xml:space="preserve"> (7 vol.), P</w:t>
      </w:r>
      <w:r w:rsidRPr="00A65480">
        <w:rPr>
          <w:lang w:eastAsia="fr-FR"/>
        </w:rPr>
        <w:t>a</w:t>
      </w:r>
      <w:r w:rsidRPr="00A65480">
        <w:rPr>
          <w:lang w:eastAsia="fr-FR"/>
        </w:rPr>
        <w:t>ris, 1985-2003.</w:t>
      </w:r>
    </w:p>
    <w:p w:rsidR="00AA693F" w:rsidRPr="00A65480" w:rsidRDefault="00AA693F" w:rsidP="00AA693F">
      <w:pPr>
        <w:spacing w:before="120" w:after="120"/>
        <w:jc w:val="both"/>
        <w:rPr>
          <w:lang w:eastAsia="fr-FR"/>
        </w:rPr>
      </w:pPr>
      <w:r w:rsidRPr="00A65480">
        <w:rPr>
          <w:smallCaps/>
          <w:lang w:eastAsia="fr-FR"/>
        </w:rPr>
        <w:t>Habermas</w:t>
      </w:r>
      <w:r w:rsidRPr="00A65480">
        <w:rPr>
          <w:lang w:eastAsia="fr-FR"/>
        </w:rPr>
        <w:t xml:space="preserve">, Jürgen (1978), </w:t>
      </w:r>
      <w:r w:rsidRPr="00A65480">
        <w:rPr>
          <w:i/>
          <w:lang w:eastAsia="fr-FR"/>
        </w:rPr>
        <w:t>L’espace public : archéologie de la publicité comme dimension constitutive de la société bourgeoise</w:t>
      </w:r>
      <w:r w:rsidRPr="00A65480">
        <w:rPr>
          <w:lang w:eastAsia="fr-FR"/>
        </w:rPr>
        <w:t>, P</w:t>
      </w:r>
      <w:r w:rsidRPr="00A65480">
        <w:rPr>
          <w:lang w:eastAsia="fr-FR"/>
        </w:rPr>
        <w:t>a</w:t>
      </w:r>
      <w:r w:rsidRPr="00A65480">
        <w:rPr>
          <w:lang w:eastAsia="fr-FR"/>
        </w:rPr>
        <w:t>ris.</w:t>
      </w:r>
    </w:p>
    <w:p w:rsidR="00AA693F" w:rsidRPr="00A65480" w:rsidRDefault="00AA693F" w:rsidP="00AA693F">
      <w:pPr>
        <w:spacing w:before="120" w:after="120"/>
        <w:jc w:val="both"/>
        <w:rPr>
          <w:lang w:eastAsia="fr-FR"/>
        </w:rPr>
      </w:pPr>
      <w:r w:rsidRPr="00A65480">
        <w:rPr>
          <w:smallCaps/>
          <w:lang w:eastAsia="fr-FR"/>
        </w:rPr>
        <w:t xml:space="preserve">Habermas, </w:t>
      </w:r>
      <w:r w:rsidRPr="00A65480">
        <w:rPr>
          <w:lang w:eastAsia="fr-FR"/>
        </w:rPr>
        <w:t xml:space="preserve">Jürgen (1989), « Volksouveränität als Verfahren. Ein normativer Begriff von Öffentlichkeit », </w:t>
      </w:r>
      <w:r w:rsidRPr="00A65480">
        <w:rPr>
          <w:i/>
          <w:lang w:eastAsia="fr-FR"/>
        </w:rPr>
        <w:t>Merkur</w:t>
      </w:r>
      <w:r w:rsidRPr="00A65480">
        <w:rPr>
          <w:lang w:eastAsia="fr-FR"/>
        </w:rPr>
        <w:t>, 43, pp. 465-477.</w:t>
      </w:r>
    </w:p>
    <w:p w:rsidR="00AA693F" w:rsidRPr="00A65480" w:rsidRDefault="00AA693F" w:rsidP="00AA693F">
      <w:pPr>
        <w:spacing w:before="120" w:after="120"/>
        <w:jc w:val="both"/>
        <w:rPr>
          <w:lang w:eastAsia="fr-FR"/>
        </w:rPr>
      </w:pPr>
      <w:r w:rsidRPr="00A65480">
        <w:rPr>
          <w:smallCaps/>
          <w:lang w:eastAsia="fr-FR"/>
        </w:rPr>
        <w:t>Habermas</w:t>
      </w:r>
      <w:r w:rsidRPr="00A65480">
        <w:rPr>
          <w:lang w:eastAsia="fr-FR"/>
        </w:rPr>
        <w:t xml:space="preserve">, Jürgen (1992), </w:t>
      </w:r>
      <w:r w:rsidRPr="00A65480">
        <w:rPr>
          <w:i/>
          <w:lang w:eastAsia="fr-FR"/>
        </w:rPr>
        <w:t>Faktizität und Geltung : Beiträge zur Di</w:t>
      </w:r>
      <w:r w:rsidRPr="00A65480">
        <w:rPr>
          <w:i/>
          <w:lang w:eastAsia="fr-FR"/>
        </w:rPr>
        <w:t>s</w:t>
      </w:r>
      <w:r w:rsidRPr="00A65480">
        <w:rPr>
          <w:i/>
          <w:lang w:eastAsia="fr-FR"/>
        </w:rPr>
        <w:t xml:space="preserve">kurstheorie des Rechts und des demokratischen Rechtsstaats, </w:t>
      </w:r>
      <w:r w:rsidRPr="00A65480">
        <w:rPr>
          <w:lang w:eastAsia="fr-FR"/>
        </w:rPr>
        <w:t>Frankfurt am Main [trad. : Droit et démocratie : entre faits et normes, Paris, 1997].</w:t>
      </w:r>
    </w:p>
    <w:p w:rsidR="00AA693F" w:rsidRPr="00A65480" w:rsidRDefault="00AA693F" w:rsidP="00AA693F">
      <w:pPr>
        <w:spacing w:before="120" w:after="120"/>
        <w:jc w:val="both"/>
        <w:rPr>
          <w:lang w:eastAsia="fr-FR"/>
        </w:rPr>
      </w:pPr>
      <w:r w:rsidRPr="00A65480">
        <w:rPr>
          <w:smallCaps/>
          <w:lang w:eastAsia="fr-FR"/>
        </w:rPr>
        <w:lastRenderedPageBreak/>
        <w:t>Hampsher-Monk</w:t>
      </w:r>
      <w:r w:rsidRPr="00A65480">
        <w:rPr>
          <w:lang w:eastAsia="fr-FR"/>
        </w:rPr>
        <w:t xml:space="preserve">, Iain, </w:t>
      </w:r>
      <w:r w:rsidRPr="00A65480">
        <w:rPr>
          <w:smallCaps/>
          <w:lang w:eastAsia="fr-FR"/>
        </w:rPr>
        <w:t xml:space="preserve">Tilmans, </w:t>
      </w:r>
      <w:r w:rsidRPr="00A65480">
        <w:rPr>
          <w:lang w:eastAsia="fr-FR"/>
        </w:rPr>
        <w:t xml:space="preserve">Karin et </w:t>
      </w:r>
      <w:r w:rsidRPr="00A65480">
        <w:rPr>
          <w:smallCaps/>
          <w:lang w:eastAsia="fr-FR"/>
        </w:rPr>
        <w:t xml:space="preserve">Van Vree, </w:t>
      </w:r>
      <w:r w:rsidRPr="00A65480">
        <w:rPr>
          <w:lang w:eastAsia="fr-FR"/>
        </w:rPr>
        <w:t xml:space="preserve">Frank (éd.) (1998), </w:t>
      </w:r>
      <w:r w:rsidRPr="00A65480">
        <w:rPr>
          <w:i/>
          <w:lang w:eastAsia="fr-FR"/>
        </w:rPr>
        <w:t>History of Concepts : Comparative Perspectives</w:t>
      </w:r>
      <w:r w:rsidRPr="00A65480">
        <w:rPr>
          <w:lang w:eastAsia="fr-FR"/>
        </w:rPr>
        <w:t>, Amsterdam.</w:t>
      </w:r>
    </w:p>
    <w:p w:rsidR="00AA693F" w:rsidRPr="00A65480" w:rsidRDefault="00AA693F" w:rsidP="00AA693F">
      <w:pPr>
        <w:spacing w:before="120" w:after="120"/>
        <w:jc w:val="both"/>
        <w:rPr>
          <w:lang w:eastAsia="fr-FR"/>
        </w:rPr>
      </w:pPr>
      <w:r w:rsidRPr="00A65480">
        <w:rPr>
          <w:smallCaps/>
          <w:lang w:eastAsia="fr-FR"/>
        </w:rPr>
        <w:t>Kant</w:t>
      </w:r>
      <w:r w:rsidRPr="00A65480">
        <w:rPr>
          <w:lang w:eastAsia="fr-FR"/>
        </w:rPr>
        <w:t>, Immanuel,</w:t>
      </w:r>
      <w:r w:rsidRPr="00A65480">
        <w:rPr>
          <w:i/>
          <w:lang w:eastAsia="fr-FR"/>
        </w:rPr>
        <w:t xml:space="preserve"> Œuvres philosophiques </w:t>
      </w:r>
      <w:r w:rsidRPr="00A65480">
        <w:rPr>
          <w:lang w:eastAsia="fr-FR"/>
        </w:rPr>
        <w:t xml:space="preserve">(3 t.), Ferdinand </w:t>
      </w:r>
      <w:r w:rsidRPr="00A65480">
        <w:rPr>
          <w:smallCaps/>
          <w:lang w:eastAsia="fr-FR"/>
        </w:rPr>
        <w:t>Alquié</w:t>
      </w:r>
      <w:r w:rsidRPr="00A65480">
        <w:rPr>
          <w:lang w:eastAsia="fr-FR"/>
        </w:rPr>
        <w:t xml:space="preserve"> (dir.), Paris, 1980-1986.</w:t>
      </w:r>
    </w:p>
    <w:p w:rsidR="00AA693F" w:rsidRPr="00A65480" w:rsidRDefault="00AA693F" w:rsidP="00AA693F">
      <w:pPr>
        <w:spacing w:before="120" w:after="120"/>
        <w:jc w:val="both"/>
        <w:rPr>
          <w:lang w:eastAsia="fr-FR"/>
        </w:rPr>
      </w:pPr>
      <w:r w:rsidRPr="00A65480">
        <w:rPr>
          <w:smallCaps/>
          <w:lang w:eastAsia="fr-FR"/>
        </w:rPr>
        <w:t>Kant</w:t>
      </w:r>
      <w:r w:rsidRPr="00A65480">
        <w:rPr>
          <w:lang w:eastAsia="fr-FR"/>
        </w:rPr>
        <w:t xml:space="preserve">, Immanuel, </w:t>
      </w:r>
      <w:r w:rsidRPr="00A65480">
        <w:rPr>
          <w:i/>
          <w:lang w:eastAsia="fr-FR"/>
        </w:rPr>
        <w:t>Critique de la faculté de juger</w:t>
      </w:r>
      <w:r w:rsidRPr="00A65480">
        <w:rPr>
          <w:lang w:eastAsia="fr-FR"/>
        </w:rPr>
        <w:t xml:space="preserve">, Paris, </w:t>
      </w:r>
      <w:r w:rsidRPr="00A65480">
        <w:rPr>
          <w:smallCaps/>
          <w:lang w:eastAsia="fr-FR"/>
        </w:rPr>
        <w:t>1995</w:t>
      </w:r>
      <w:r w:rsidRPr="00A65480">
        <w:rPr>
          <w:lang w:eastAsia="fr-FR"/>
        </w:rPr>
        <w:t>.</w:t>
      </w:r>
    </w:p>
    <w:p w:rsidR="00AA693F" w:rsidRPr="00A65480" w:rsidRDefault="00AA693F" w:rsidP="00AA693F">
      <w:pPr>
        <w:spacing w:before="120" w:after="120"/>
        <w:jc w:val="both"/>
        <w:rPr>
          <w:lang w:eastAsia="fr-FR"/>
        </w:rPr>
      </w:pPr>
      <w:r w:rsidRPr="00A65480">
        <w:rPr>
          <w:smallCaps/>
          <w:lang w:eastAsia="fr-FR"/>
        </w:rPr>
        <w:t>Koselleck</w:t>
      </w:r>
      <w:r w:rsidRPr="00A65480">
        <w:rPr>
          <w:lang w:eastAsia="fr-FR"/>
        </w:rPr>
        <w:t xml:space="preserve">, Reinhart (1990), </w:t>
      </w:r>
      <w:r w:rsidRPr="00A65480">
        <w:rPr>
          <w:i/>
          <w:lang w:eastAsia="fr-FR"/>
        </w:rPr>
        <w:t>Le futur passé : contribution à la sémantique des temps historiques</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 xml:space="preserve">Losurdo, </w:t>
      </w:r>
      <w:r w:rsidRPr="00A65480">
        <w:rPr>
          <w:lang w:eastAsia="fr-FR"/>
        </w:rPr>
        <w:t xml:space="preserve">Domenico (1993), </w:t>
      </w:r>
      <w:r w:rsidRPr="00A65480">
        <w:rPr>
          <w:i/>
          <w:lang w:eastAsia="fr-FR"/>
        </w:rPr>
        <w:t>Autocensure et compromis dans la pe</w:t>
      </w:r>
      <w:r w:rsidRPr="00A65480">
        <w:rPr>
          <w:i/>
          <w:lang w:eastAsia="fr-FR"/>
        </w:rPr>
        <w:t>n</w:t>
      </w:r>
      <w:r w:rsidRPr="00A65480">
        <w:rPr>
          <w:i/>
          <w:lang w:eastAsia="fr-FR"/>
        </w:rPr>
        <w:t>sée politique de Kant</w:t>
      </w:r>
      <w:r w:rsidRPr="00A65480">
        <w:rPr>
          <w:lang w:eastAsia="fr-FR"/>
        </w:rPr>
        <w:t>, Villeneuve-d’Ascq.</w:t>
      </w:r>
    </w:p>
    <w:p w:rsidR="00AA693F" w:rsidRPr="00A65480" w:rsidRDefault="00AA693F" w:rsidP="00AA693F">
      <w:pPr>
        <w:spacing w:before="120" w:after="120"/>
        <w:jc w:val="both"/>
        <w:rPr>
          <w:lang w:eastAsia="fr-FR"/>
        </w:rPr>
      </w:pPr>
      <w:r w:rsidRPr="00A65480">
        <w:rPr>
          <w:smallCaps/>
          <w:lang w:eastAsia="fr-FR"/>
        </w:rPr>
        <w:t>Lüsebrink</w:t>
      </w:r>
      <w:r w:rsidRPr="00A65480">
        <w:rPr>
          <w:lang w:eastAsia="fr-FR"/>
        </w:rPr>
        <w:t xml:space="preserve">, Hans-Jürgen, </w:t>
      </w:r>
      <w:r w:rsidRPr="00A65480">
        <w:rPr>
          <w:smallCaps/>
          <w:lang w:eastAsia="fr-FR"/>
        </w:rPr>
        <w:t xml:space="preserve">Reichardt, </w:t>
      </w:r>
      <w:r w:rsidRPr="00A65480">
        <w:rPr>
          <w:lang w:eastAsia="fr-FR"/>
        </w:rPr>
        <w:t xml:space="preserve">Rolf et </w:t>
      </w:r>
      <w:r w:rsidRPr="00A65480">
        <w:rPr>
          <w:smallCaps/>
          <w:lang w:eastAsia="fr-FR"/>
        </w:rPr>
        <w:t>Schmitt</w:t>
      </w:r>
      <w:r w:rsidRPr="00A65480">
        <w:rPr>
          <w:lang w:eastAsia="fr-FR"/>
        </w:rPr>
        <w:t xml:space="preserve">, Eberhard (éd.) (1985-), </w:t>
      </w:r>
      <w:r w:rsidRPr="00A65480">
        <w:rPr>
          <w:i/>
          <w:lang w:eastAsia="fr-FR"/>
        </w:rPr>
        <w:t>Handbuch politisch-sozialer Grundbegriffe in Fra</w:t>
      </w:r>
      <w:r w:rsidRPr="00A65480">
        <w:rPr>
          <w:i/>
          <w:lang w:eastAsia="fr-FR"/>
        </w:rPr>
        <w:t>n</w:t>
      </w:r>
      <w:r w:rsidRPr="00A65480">
        <w:rPr>
          <w:i/>
          <w:lang w:eastAsia="fr-FR"/>
        </w:rPr>
        <w:t>kreich</w:t>
      </w:r>
      <w:r w:rsidRPr="00A65480">
        <w:rPr>
          <w:lang w:eastAsia="fr-FR"/>
        </w:rPr>
        <w:t>, 1680-1820 (20 fasc.) [« Manuel des concepts politiques et s</w:t>
      </w:r>
      <w:r w:rsidRPr="00A65480">
        <w:rPr>
          <w:lang w:eastAsia="fr-FR"/>
        </w:rPr>
        <w:t>o</w:t>
      </w:r>
      <w:r w:rsidRPr="00A65480">
        <w:rPr>
          <w:lang w:eastAsia="fr-FR"/>
        </w:rPr>
        <w:t>ciaux fo</w:t>
      </w:r>
      <w:r w:rsidRPr="00A65480">
        <w:rPr>
          <w:lang w:eastAsia="fr-FR"/>
        </w:rPr>
        <w:t>n</w:t>
      </w:r>
      <w:r w:rsidRPr="00A65480">
        <w:rPr>
          <w:lang w:eastAsia="fr-FR"/>
        </w:rPr>
        <w:t>damentaux en France de 1680 à 1820 »], Munich.</w:t>
      </w:r>
    </w:p>
    <w:p w:rsidR="00AA693F" w:rsidRPr="00A65480" w:rsidRDefault="00AA693F" w:rsidP="00AA693F">
      <w:pPr>
        <w:spacing w:before="120" w:after="120"/>
        <w:jc w:val="both"/>
        <w:rPr>
          <w:lang w:eastAsia="fr-FR"/>
        </w:rPr>
      </w:pPr>
      <w:r w:rsidRPr="00A65480">
        <w:rPr>
          <w:smallCaps/>
          <w:lang w:eastAsia="fr-FR"/>
        </w:rPr>
        <w:t>Pocock</w:t>
      </w:r>
      <w:r w:rsidRPr="00A65480">
        <w:rPr>
          <w:lang w:eastAsia="fr-FR"/>
        </w:rPr>
        <w:t xml:space="preserve">, John Greville Agard(1997), </w:t>
      </w:r>
      <w:r w:rsidRPr="00A65480">
        <w:rPr>
          <w:i/>
          <w:lang w:eastAsia="fr-FR"/>
        </w:rPr>
        <w:t>Le moment machiavélien : la pensée politique florentine et la tradition républicaine atlantique</w:t>
      </w:r>
      <w:r w:rsidRPr="00A65480">
        <w:rPr>
          <w:lang w:eastAsia="fr-FR"/>
        </w:rPr>
        <w:t>, P</w:t>
      </w:r>
      <w:r w:rsidRPr="00A65480">
        <w:rPr>
          <w:lang w:eastAsia="fr-FR"/>
        </w:rPr>
        <w:t>a</w:t>
      </w:r>
      <w:r w:rsidRPr="00A65480">
        <w:rPr>
          <w:lang w:eastAsia="fr-FR"/>
        </w:rPr>
        <w:t>ris.</w:t>
      </w:r>
    </w:p>
    <w:p w:rsidR="00AA693F" w:rsidRPr="00A65480" w:rsidRDefault="00AA693F" w:rsidP="00AA693F">
      <w:pPr>
        <w:spacing w:before="120" w:after="120"/>
        <w:jc w:val="both"/>
        <w:rPr>
          <w:lang w:eastAsia="fr-FR"/>
        </w:rPr>
      </w:pPr>
      <w:r w:rsidRPr="00A65480">
        <w:rPr>
          <w:smallCaps/>
          <w:lang w:eastAsia="fr-FR"/>
        </w:rPr>
        <w:t xml:space="preserve">Raulet, </w:t>
      </w:r>
      <w:r w:rsidRPr="00A65480">
        <w:rPr>
          <w:lang w:eastAsia="fr-FR"/>
        </w:rPr>
        <w:t xml:space="preserve">Gérard (1996), </w:t>
      </w:r>
      <w:r w:rsidRPr="00A65480">
        <w:rPr>
          <w:i/>
          <w:lang w:eastAsia="fr-FR"/>
        </w:rPr>
        <w:t>Kant, histoire et citoyenneté</w:t>
      </w:r>
      <w:r w:rsidRPr="00A65480">
        <w:rPr>
          <w:lang w:eastAsia="fr-FR"/>
        </w:rPr>
        <w:t>, Paris.</w:t>
      </w:r>
      <w:r w:rsidRPr="00A65480">
        <w:rPr>
          <w:lang w:eastAsia="fr-FR"/>
        </w:rPr>
        <w:br/>
        <w:t xml:space="preserve">DOI : </w:t>
      </w:r>
      <w:hyperlink r:id="rId22" w:history="1">
        <w:r w:rsidRPr="00A65480">
          <w:rPr>
            <w:color w:val="0000FF"/>
            <w:u w:val="single"/>
            <w:lang w:eastAsia="fr-FR"/>
          </w:rPr>
          <w:t>10.3917/puf.raule.1996.01</w:t>
        </w:r>
      </w:hyperlink>
    </w:p>
    <w:p w:rsidR="00AA693F" w:rsidRPr="00A65480" w:rsidRDefault="00AA693F" w:rsidP="00AA693F">
      <w:pPr>
        <w:spacing w:before="120" w:after="120"/>
        <w:jc w:val="both"/>
        <w:rPr>
          <w:lang w:eastAsia="fr-FR"/>
        </w:rPr>
      </w:pPr>
      <w:r w:rsidRPr="00A65480">
        <w:rPr>
          <w:smallCaps/>
          <w:lang w:eastAsia="fr-FR"/>
        </w:rPr>
        <w:t xml:space="preserve">Rosanvallon, </w:t>
      </w:r>
      <w:r w:rsidRPr="00A65480">
        <w:rPr>
          <w:lang w:eastAsia="fr-FR"/>
        </w:rPr>
        <w:t>Pierre (1998)</w:t>
      </w:r>
      <w:r w:rsidRPr="00A65480">
        <w:rPr>
          <w:smallCaps/>
          <w:lang w:eastAsia="fr-FR"/>
        </w:rPr>
        <w:t>,</w:t>
      </w:r>
      <w:r w:rsidRPr="00A65480">
        <w:rPr>
          <w:lang w:eastAsia="fr-FR"/>
        </w:rPr>
        <w:t xml:space="preserve"> </w:t>
      </w:r>
      <w:r w:rsidRPr="00A65480">
        <w:rPr>
          <w:i/>
          <w:lang w:eastAsia="fr-FR"/>
        </w:rPr>
        <w:t>Le peuple introuvable. Histoire de la représentation démocratique en France</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 xml:space="preserve">Rosanvallon, </w:t>
      </w:r>
      <w:r w:rsidRPr="00A65480">
        <w:rPr>
          <w:lang w:eastAsia="fr-FR"/>
        </w:rPr>
        <w:t xml:space="preserve">Pierre (2004), </w:t>
      </w:r>
      <w:r w:rsidRPr="00A65480">
        <w:rPr>
          <w:i/>
          <w:lang w:eastAsia="fr-FR"/>
        </w:rPr>
        <w:t>Le modèle politique français : la s</w:t>
      </w:r>
      <w:r w:rsidRPr="00A65480">
        <w:rPr>
          <w:i/>
          <w:lang w:eastAsia="fr-FR"/>
        </w:rPr>
        <w:t>o</w:t>
      </w:r>
      <w:r w:rsidRPr="00A65480">
        <w:rPr>
          <w:i/>
          <w:lang w:eastAsia="fr-FR"/>
        </w:rPr>
        <w:t>ci</w:t>
      </w:r>
      <w:r w:rsidRPr="00A65480">
        <w:rPr>
          <w:i/>
          <w:lang w:eastAsia="fr-FR"/>
        </w:rPr>
        <w:t>é</w:t>
      </w:r>
      <w:r w:rsidRPr="00A65480">
        <w:rPr>
          <w:i/>
          <w:lang w:eastAsia="fr-FR"/>
        </w:rPr>
        <w:t>té civile contre le jacobinisme de 1789 à nos jours</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Sieyès</w:t>
      </w:r>
      <w:r w:rsidRPr="00A65480">
        <w:rPr>
          <w:lang w:eastAsia="fr-FR"/>
        </w:rPr>
        <w:t xml:space="preserve">, Emmanuel-Joseph, </w:t>
      </w:r>
      <w:r w:rsidRPr="00A65480">
        <w:rPr>
          <w:i/>
          <w:lang w:eastAsia="fr-FR"/>
        </w:rPr>
        <w:t>Des manuscrits de Sieyès (</w:t>
      </w:r>
      <w:r w:rsidRPr="00A65480">
        <w:rPr>
          <w:lang w:eastAsia="fr-FR"/>
        </w:rPr>
        <w:t>1773-1799</w:t>
      </w:r>
      <w:r w:rsidRPr="00A65480">
        <w:rPr>
          <w:i/>
          <w:lang w:eastAsia="fr-FR"/>
        </w:rPr>
        <w:t>)</w:t>
      </w:r>
      <w:r w:rsidRPr="00A65480">
        <w:rPr>
          <w:lang w:eastAsia="fr-FR"/>
        </w:rPr>
        <w:t xml:space="preserve">, Christine </w:t>
      </w:r>
      <w:r w:rsidRPr="00A65480">
        <w:rPr>
          <w:smallCaps/>
          <w:lang w:eastAsia="fr-FR"/>
        </w:rPr>
        <w:t>Fauré</w:t>
      </w:r>
      <w:r w:rsidRPr="00A65480">
        <w:rPr>
          <w:lang w:eastAsia="fr-FR"/>
        </w:rPr>
        <w:t xml:space="preserve"> (dir.), Paris, 1999.</w:t>
      </w:r>
    </w:p>
    <w:p w:rsidR="00AA693F" w:rsidRPr="00A65480" w:rsidRDefault="00AA693F" w:rsidP="00AA693F">
      <w:pPr>
        <w:spacing w:before="120" w:after="120"/>
        <w:jc w:val="both"/>
        <w:rPr>
          <w:lang w:eastAsia="fr-FR"/>
        </w:rPr>
      </w:pPr>
      <w:r w:rsidRPr="00A65480">
        <w:rPr>
          <w:smallCaps/>
          <w:lang w:eastAsia="fr-FR"/>
        </w:rPr>
        <w:t>Skinner</w:t>
      </w:r>
      <w:r w:rsidRPr="00A65480">
        <w:rPr>
          <w:lang w:eastAsia="fr-FR"/>
        </w:rPr>
        <w:t xml:space="preserve">, Quentin (1996), </w:t>
      </w:r>
      <w:r w:rsidRPr="00A65480">
        <w:rPr>
          <w:i/>
          <w:lang w:eastAsia="fr-FR"/>
        </w:rPr>
        <w:t>Reason and Rhetoric in the Philosophy of Hobbes</w:t>
      </w:r>
      <w:r w:rsidRPr="00A65480">
        <w:rPr>
          <w:lang w:eastAsia="fr-FR"/>
        </w:rPr>
        <w:t>, Cambridge.</w:t>
      </w:r>
      <w:r>
        <w:rPr>
          <w:lang w:eastAsia="fr-FR"/>
        </w:rPr>
        <w:t xml:space="preserve"> </w:t>
      </w:r>
      <w:r w:rsidRPr="00A65480">
        <w:rPr>
          <w:lang w:eastAsia="fr-FR"/>
        </w:rPr>
        <w:t xml:space="preserve">DOI : </w:t>
      </w:r>
      <w:hyperlink r:id="rId23" w:history="1">
        <w:r w:rsidRPr="00A65480">
          <w:rPr>
            <w:color w:val="0000FF"/>
            <w:u w:val="single"/>
            <w:lang w:eastAsia="fr-FR"/>
          </w:rPr>
          <w:t>10.1017/CBO9780511598579</w:t>
        </w:r>
      </w:hyperlink>
    </w:p>
    <w:p w:rsidR="00AA693F" w:rsidRPr="00A65480" w:rsidRDefault="00AA693F" w:rsidP="00AA693F">
      <w:pPr>
        <w:spacing w:before="120" w:after="120"/>
        <w:jc w:val="both"/>
        <w:rPr>
          <w:lang w:eastAsia="fr-FR"/>
        </w:rPr>
      </w:pPr>
      <w:r w:rsidRPr="00A65480">
        <w:rPr>
          <w:smallCaps/>
          <w:lang w:eastAsia="fr-FR"/>
        </w:rPr>
        <w:t xml:space="preserve">Tackett, </w:t>
      </w:r>
      <w:r w:rsidRPr="00A65480">
        <w:rPr>
          <w:lang w:eastAsia="fr-FR"/>
        </w:rPr>
        <w:t xml:space="preserve">Timothy (1996), </w:t>
      </w:r>
      <w:r w:rsidRPr="00A65480">
        <w:rPr>
          <w:i/>
          <w:lang w:eastAsia="fr-FR"/>
        </w:rPr>
        <w:t>Becoming a Revolutionary : the Dep</w:t>
      </w:r>
      <w:r w:rsidRPr="00A65480">
        <w:rPr>
          <w:i/>
          <w:lang w:eastAsia="fr-FR"/>
        </w:rPr>
        <w:t>u</w:t>
      </w:r>
      <w:r w:rsidRPr="00A65480">
        <w:rPr>
          <w:i/>
          <w:lang w:eastAsia="fr-FR"/>
        </w:rPr>
        <w:t>ties of the French National Assembly and the Emergence of a Revol</w:t>
      </w:r>
      <w:r w:rsidRPr="00A65480">
        <w:rPr>
          <w:i/>
          <w:lang w:eastAsia="fr-FR"/>
        </w:rPr>
        <w:t>u</w:t>
      </w:r>
      <w:r w:rsidRPr="00A65480">
        <w:rPr>
          <w:i/>
          <w:lang w:eastAsia="fr-FR"/>
        </w:rPr>
        <w:t>tionary Culture (1789-1790)</w:t>
      </w:r>
      <w:r w:rsidRPr="00A65480">
        <w:rPr>
          <w:lang w:eastAsia="fr-FR"/>
        </w:rPr>
        <w:t>, Princeton.</w:t>
      </w:r>
    </w:p>
    <w:p w:rsidR="00AA693F" w:rsidRPr="00A65480" w:rsidRDefault="00AA693F" w:rsidP="00AA693F">
      <w:pPr>
        <w:spacing w:before="120" w:after="120"/>
        <w:jc w:val="both"/>
        <w:rPr>
          <w:lang w:eastAsia="fr-FR"/>
        </w:rPr>
      </w:pPr>
      <w:r w:rsidRPr="00A65480">
        <w:rPr>
          <w:smallCaps/>
          <w:lang w:eastAsia="fr-FR"/>
        </w:rPr>
        <w:t>Vérin</w:t>
      </w:r>
      <w:r w:rsidRPr="00A65480">
        <w:rPr>
          <w:lang w:eastAsia="fr-FR"/>
        </w:rPr>
        <w:t xml:space="preserve">, Hélène (1993), </w:t>
      </w:r>
      <w:r w:rsidRPr="00A65480">
        <w:rPr>
          <w:i/>
          <w:lang w:eastAsia="fr-FR"/>
        </w:rPr>
        <w:t>La gloire des ingénieurs : l’intelligence tec</w:t>
      </w:r>
      <w:r w:rsidRPr="00A65480">
        <w:rPr>
          <w:i/>
          <w:lang w:eastAsia="fr-FR"/>
        </w:rPr>
        <w:t>h</w:t>
      </w:r>
      <w:r w:rsidRPr="00A65480">
        <w:rPr>
          <w:i/>
          <w:lang w:eastAsia="fr-FR"/>
        </w:rPr>
        <w:t xml:space="preserve">nique du </w:t>
      </w:r>
      <w:r w:rsidRPr="00A65480">
        <w:rPr>
          <w:i/>
          <w:smallCaps/>
          <w:lang w:eastAsia="fr-FR"/>
        </w:rPr>
        <w:t>xvi</w:t>
      </w:r>
      <w:r w:rsidRPr="00A65480">
        <w:rPr>
          <w:i/>
          <w:vertAlign w:val="superscript"/>
          <w:lang w:eastAsia="fr-FR"/>
        </w:rPr>
        <w:t>e</w:t>
      </w:r>
      <w:r w:rsidRPr="00A65480">
        <w:rPr>
          <w:i/>
          <w:lang w:eastAsia="fr-FR"/>
        </w:rPr>
        <w:t xml:space="preserve"> au </w:t>
      </w:r>
      <w:r w:rsidRPr="00A65480">
        <w:rPr>
          <w:i/>
          <w:smallCaps/>
          <w:lang w:eastAsia="fr-FR"/>
        </w:rPr>
        <w:t>xviii</w:t>
      </w:r>
      <w:r w:rsidRPr="00A65480">
        <w:rPr>
          <w:i/>
          <w:vertAlign w:val="superscript"/>
          <w:lang w:eastAsia="fr-FR"/>
        </w:rPr>
        <w:t>e</w:t>
      </w:r>
      <w:r w:rsidRPr="00A65480">
        <w:rPr>
          <w:i/>
          <w:lang w:eastAsia="fr-FR"/>
        </w:rPr>
        <w:t> siècle</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Vovelle</w:t>
      </w:r>
      <w:r w:rsidRPr="00A65480">
        <w:rPr>
          <w:lang w:eastAsia="fr-FR"/>
        </w:rPr>
        <w:t xml:space="preserve">, Michel (1993), </w:t>
      </w:r>
      <w:r w:rsidRPr="00A65480">
        <w:rPr>
          <w:i/>
          <w:lang w:eastAsia="fr-FR"/>
        </w:rPr>
        <w:t>La découverte de la politique : géopol</w:t>
      </w:r>
      <w:r w:rsidRPr="00A65480">
        <w:rPr>
          <w:i/>
          <w:lang w:eastAsia="fr-FR"/>
        </w:rPr>
        <w:t>i</w:t>
      </w:r>
      <w:r w:rsidRPr="00A65480">
        <w:rPr>
          <w:i/>
          <w:lang w:eastAsia="fr-FR"/>
        </w:rPr>
        <w:t>tique de la Révolution française</w:t>
      </w:r>
      <w:r w:rsidRPr="00A65480">
        <w:rPr>
          <w:lang w:eastAsia="fr-FR"/>
        </w:rPr>
        <w:t>, Paris.</w:t>
      </w:r>
    </w:p>
    <w:p w:rsidR="00AA693F" w:rsidRPr="00A65480" w:rsidRDefault="00AA693F" w:rsidP="00AA693F">
      <w:pPr>
        <w:spacing w:before="120" w:after="120"/>
        <w:jc w:val="both"/>
        <w:rPr>
          <w:lang w:eastAsia="fr-FR"/>
        </w:rPr>
      </w:pPr>
      <w:r w:rsidRPr="00A65480">
        <w:rPr>
          <w:smallCaps/>
          <w:lang w:eastAsia="fr-FR"/>
        </w:rPr>
        <w:t>Wallerstein</w:t>
      </w:r>
      <w:r w:rsidRPr="00A65480">
        <w:rPr>
          <w:lang w:eastAsia="fr-FR"/>
        </w:rPr>
        <w:t xml:space="preserve">, Immanuel (1999), </w:t>
      </w:r>
      <w:r w:rsidRPr="00A65480">
        <w:rPr>
          <w:i/>
          <w:lang w:eastAsia="fr-FR"/>
        </w:rPr>
        <w:t>L’après-libéralisme : essai sur un système-monde à réinventer</w:t>
      </w:r>
      <w:r w:rsidRPr="00A65480">
        <w:rPr>
          <w:lang w:eastAsia="fr-FR"/>
        </w:rPr>
        <w:t>, Paris.</w:t>
      </w:r>
    </w:p>
    <w:p w:rsidR="00AA693F" w:rsidRPr="00A65480" w:rsidRDefault="00AA693F" w:rsidP="00AA693F">
      <w:pPr>
        <w:spacing w:before="120" w:after="120"/>
        <w:jc w:val="both"/>
        <w:rPr>
          <w:lang w:eastAsia="fr-FR"/>
        </w:rPr>
      </w:pPr>
      <w:r>
        <w:rPr>
          <w:lang w:eastAsia="fr-FR"/>
        </w:rPr>
        <w:br w:type="page"/>
      </w:r>
    </w:p>
    <w:p w:rsidR="00AA693F" w:rsidRPr="00A65480" w:rsidRDefault="00AA693F" w:rsidP="00AA693F">
      <w:pPr>
        <w:spacing w:before="120" w:after="120"/>
        <w:jc w:val="both"/>
        <w:rPr>
          <w:lang w:eastAsia="fr-FR"/>
        </w:rPr>
      </w:pPr>
      <w:r w:rsidRPr="00A65480">
        <w:rPr>
          <w:lang w:eastAsia="fr-FR"/>
        </w:rPr>
        <w:t>Référence papier</w:t>
      </w:r>
    </w:p>
    <w:p w:rsidR="00AA693F" w:rsidRPr="00A65480" w:rsidRDefault="00AA693F" w:rsidP="00AA693F">
      <w:pPr>
        <w:spacing w:before="120" w:after="120"/>
        <w:jc w:val="both"/>
        <w:rPr>
          <w:lang w:eastAsia="fr-FR"/>
        </w:rPr>
      </w:pPr>
      <w:r w:rsidRPr="00A65480">
        <w:rPr>
          <w:lang w:eastAsia="fr-FR"/>
        </w:rPr>
        <w:t>Jacques Guilhaumou, « La modernité politique de la Révolution fra</w:t>
      </w:r>
      <w:r w:rsidRPr="00A65480">
        <w:rPr>
          <w:lang w:eastAsia="fr-FR"/>
        </w:rPr>
        <w:t>n</w:t>
      </w:r>
      <w:r w:rsidRPr="00A65480">
        <w:rPr>
          <w:lang w:eastAsia="fr-FR"/>
        </w:rPr>
        <w:t>çaise », </w:t>
      </w:r>
      <w:r w:rsidRPr="00A65480">
        <w:rPr>
          <w:i/>
          <w:lang w:eastAsia="fr-FR"/>
        </w:rPr>
        <w:t>Mélanges de la Casa de Velázquez</w:t>
      </w:r>
      <w:r w:rsidRPr="00A65480">
        <w:rPr>
          <w:lang w:eastAsia="fr-FR"/>
        </w:rPr>
        <w:t>, 36-1 | 2006, 17-34.</w:t>
      </w:r>
    </w:p>
    <w:p w:rsidR="00AA693F" w:rsidRPr="00E07116" w:rsidRDefault="00AA693F">
      <w:pPr>
        <w:jc w:val="both"/>
      </w:pPr>
    </w:p>
    <w:p w:rsidR="00AA693F" w:rsidRPr="00E07116" w:rsidRDefault="00AA693F">
      <w:pPr>
        <w:pStyle w:val="suite"/>
      </w:pPr>
      <w:r w:rsidRPr="00E07116">
        <w:t>Fin du texte</w:t>
      </w:r>
    </w:p>
    <w:p w:rsidR="00AA693F" w:rsidRPr="00E07116" w:rsidRDefault="00AA693F">
      <w:pPr>
        <w:jc w:val="both"/>
      </w:pPr>
    </w:p>
    <w:p w:rsidR="00AA693F" w:rsidRPr="00E07116" w:rsidRDefault="00AA693F">
      <w:pPr>
        <w:jc w:val="both"/>
      </w:pPr>
    </w:p>
    <w:sectPr w:rsidR="00AA693F" w:rsidRPr="00E07116" w:rsidSect="00AA693F">
      <w:headerReference w:type="default" r:id="rId2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CA2" w:rsidRDefault="00CF6CA2">
      <w:r>
        <w:separator/>
      </w:r>
    </w:p>
  </w:endnote>
  <w:endnote w:type="continuationSeparator" w:id="0">
    <w:p w:rsidR="00CF6CA2" w:rsidRDefault="00CF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CA2" w:rsidRDefault="00CF6CA2">
      <w:pPr>
        <w:ind w:firstLine="0"/>
      </w:pPr>
      <w:r>
        <w:separator/>
      </w:r>
    </w:p>
  </w:footnote>
  <w:footnote w:type="continuationSeparator" w:id="0">
    <w:p w:rsidR="00CF6CA2" w:rsidRDefault="00CF6CA2">
      <w:pPr>
        <w:ind w:firstLine="0"/>
      </w:pPr>
      <w:r>
        <w:separator/>
      </w:r>
    </w:p>
  </w:footnote>
  <w:footnote w:id="1">
    <w:p w:rsidR="00AA693F" w:rsidRDefault="00AA693F" w:rsidP="00AA693F">
      <w:pPr>
        <w:pStyle w:val="Notedebasdepage"/>
      </w:pPr>
      <w:r>
        <w:rPr>
          <w:rStyle w:val="Appelnotedebasdep"/>
        </w:rPr>
        <w:footnoteRef/>
      </w:r>
      <w:r>
        <w:t xml:space="preserve"> </w:t>
      </w:r>
      <w:r>
        <w:tab/>
      </w:r>
      <w:r w:rsidRPr="00A65480">
        <w:rPr>
          <w:lang w:eastAsia="fr-FR"/>
        </w:rPr>
        <w:t xml:space="preserve">Voir </w:t>
      </w:r>
      <w:r w:rsidRPr="00A65480">
        <w:rPr>
          <w:smallCaps/>
          <w:lang w:eastAsia="fr-FR"/>
        </w:rPr>
        <w:t>Wallerstein</w:t>
      </w:r>
      <w:r w:rsidRPr="00A65480">
        <w:rPr>
          <w:lang w:eastAsia="fr-FR"/>
        </w:rPr>
        <w:t xml:space="preserve">, 1999. La confrontation de cette réflexion avec d’autres positions plus classiques, par exemple dans les termes d’une « révolution bourgeoise », a été présentée dans </w:t>
      </w:r>
      <w:r w:rsidRPr="00A65480">
        <w:rPr>
          <w:smallCaps/>
          <w:lang w:eastAsia="fr-FR"/>
        </w:rPr>
        <w:t>Fehér</w:t>
      </w:r>
      <w:r w:rsidRPr="00A65480">
        <w:rPr>
          <w:lang w:eastAsia="fr-FR"/>
        </w:rPr>
        <w:t xml:space="preserve"> (éd.), 1990.</w:t>
      </w:r>
    </w:p>
  </w:footnote>
  <w:footnote w:id="2">
    <w:p w:rsidR="00AA693F" w:rsidRDefault="00AA693F">
      <w:pPr>
        <w:pStyle w:val="Notedebasdepage"/>
      </w:pPr>
      <w:r>
        <w:rPr>
          <w:rStyle w:val="Appelnotedebasdep"/>
        </w:rPr>
        <w:footnoteRef/>
      </w:r>
      <w:r>
        <w:t xml:space="preserve"> </w:t>
      </w:r>
      <w:r>
        <w:tab/>
      </w:r>
      <w:r w:rsidRPr="00A65480">
        <w:rPr>
          <w:lang w:eastAsia="fr-FR"/>
        </w:rPr>
        <w:t>Pour une vue d’ensemble de l’histoire des concepts et du rôle de la sémant</w:t>
      </w:r>
      <w:r w:rsidRPr="00A65480">
        <w:rPr>
          <w:lang w:eastAsia="fr-FR"/>
        </w:rPr>
        <w:t>i</w:t>
      </w:r>
      <w:r w:rsidRPr="00A65480">
        <w:rPr>
          <w:lang w:eastAsia="fr-FR"/>
        </w:rPr>
        <w:t xml:space="preserve">que historique en son sein, voir </w:t>
      </w:r>
      <w:r w:rsidRPr="00A65480">
        <w:rPr>
          <w:smallCaps/>
          <w:lang w:eastAsia="fr-FR"/>
        </w:rPr>
        <w:t>Hampsher-Monk</w:t>
      </w:r>
      <w:r w:rsidRPr="00A65480">
        <w:rPr>
          <w:lang w:eastAsia="fr-FR"/>
        </w:rPr>
        <w:t xml:space="preserve">, </w:t>
      </w:r>
      <w:r w:rsidRPr="00A65480">
        <w:rPr>
          <w:smallCaps/>
          <w:lang w:eastAsia="fr-FR"/>
        </w:rPr>
        <w:t>Ti</w:t>
      </w:r>
      <w:r w:rsidRPr="00A65480">
        <w:rPr>
          <w:smallCaps/>
          <w:lang w:eastAsia="fr-FR"/>
        </w:rPr>
        <w:t>l</w:t>
      </w:r>
      <w:r w:rsidRPr="00A65480">
        <w:rPr>
          <w:smallCaps/>
          <w:lang w:eastAsia="fr-FR"/>
        </w:rPr>
        <w:t>mans</w:t>
      </w:r>
      <w:r w:rsidRPr="00A65480">
        <w:rPr>
          <w:lang w:eastAsia="fr-FR"/>
        </w:rPr>
        <w:t xml:space="preserve"> et </w:t>
      </w:r>
      <w:r w:rsidRPr="00A65480">
        <w:rPr>
          <w:smallCaps/>
          <w:lang w:eastAsia="fr-FR"/>
        </w:rPr>
        <w:t xml:space="preserve">Van Vree </w:t>
      </w:r>
      <w:r w:rsidRPr="00A65480">
        <w:rPr>
          <w:lang w:eastAsia="fr-FR"/>
        </w:rPr>
        <w:t>(éd.), 1998. La part française relative à la Révol</w:t>
      </w:r>
      <w:r w:rsidRPr="00A65480">
        <w:rPr>
          <w:lang w:eastAsia="fr-FR"/>
        </w:rPr>
        <w:t>u</w:t>
      </w:r>
      <w:r w:rsidRPr="00A65480">
        <w:rPr>
          <w:lang w:eastAsia="fr-FR"/>
        </w:rPr>
        <w:t xml:space="preserve">tion française est représentée par </w:t>
      </w:r>
      <w:r w:rsidRPr="00A65480">
        <w:rPr>
          <w:smallCaps/>
          <w:lang w:eastAsia="fr-FR"/>
        </w:rPr>
        <w:t>Guilhaumou</w:t>
      </w:r>
      <w:r w:rsidRPr="00A65480">
        <w:rPr>
          <w:lang w:eastAsia="fr-FR"/>
        </w:rPr>
        <w:t xml:space="preserve"> et </w:t>
      </w:r>
      <w:r w:rsidRPr="00A65480">
        <w:rPr>
          <w:smallCaps/>
          <w:lang w:eastAsia="fr-FR"/>
        </w:rPr>
        <w:t>Piguet</w:t>
      </w:r>
      <w:r w:rsidRPr="00A65480">
        <w:rPr>
          <w:lang w:eastAsia="fr-FR"/>
        </w:rPr>
        <w:t xml:space="preserve"> (dir.), 2003. Signalons aussi le grand œuvre en cours sur le </w:t>
      </w:r>
      <w:r w:rsidRPr="00A65480">
        <w:rPr>
          <w:smallCaps/>
          <w:lang w:eastAsia="fr-FR"/>
        </w:rPr>
        <w:t>xviii</w:t>
      </w:r>
      <w:r w:rsidRPr="00A65480">
        <w:rPr>
          <w:vertAlign w:val="superscript"/>
          <w:lang w:eastAsia="fr-FR"/>
        </w:rPr>
        <w:t>e</w:t>
      </w:r>
      <w:r w:rsidRPr="00A65480">
        <w:rPr>
          <w:lang w:eastAsia="fr-FR"/>
        </w:rPr>
        <w:t xml:space="preserve"> siècle français de </w:t>
      </w:r>
      <w:r w:rsidRPr="00A65480">
        <w:rPr>
          <w:smallCaps/>
          <w:lang w:eastAsia="fr-FR"/>
        </w:rPr>
        <w:t>Lüsebrink</w:t>
      </w:r>
      <w:r w:rsidRPr="00A65480">
        <w:rPr>
          <w:lang w:eastAsia="fr-FR"/>
        </w:rPr>
        <w:t xml:space="preserve">, </w:t>
      </w:r>
      <w:r w:rsidRPr="00A65480">
        <w:rPr>
          <w:smallCaps/>
          <w:lang w:eastAsia="fr-FR"/>
        </w:rPr>
        <w:t>Re</w:t>
      </w:r>
      <w:r w:rsidRPr="00A65480">
        <w:rPr>
          <w:smallCaps/>
          <w:lang w:eastAsia="fr-FR"/>
        </w:rPr>
        <w:t>i</w:t>
      </w:r>
      <w:r w:rsidRPr="00A65480">
        <w:rPr>
          <w:smallCaps/>
          <w:lang w:eastAsia="fr-FR"/>
        </w:rPr>
        <w:t>chardt</w:t>
      </w:r>
      <w:r w:rsidRPr="00A65480">
        <w:rPr>
          <w:lang w:eastAsia="fr-FR"/>
        </w:rPr>
        <w:t xml:space="preserve"> et </w:t>
      </w:r>
      <w:r w:rsidRPr="00A65480">
        <w:rPr>
          <w:smallCaps/>
          <w:lang w:eastAsia="fr-FR"/>
        </w:rPr>
        <w:t xml:space="preserve">Schmitt </w:t>
      </w:r>
      <w:r w:rsidRPr="00A65480">
        <w:rPr>
          <w:lang w:eastAsia="fr-FR"/>
        </w:rPr>
        <w:t>(éd.), 1985.</w:t>
      </w:r>
    </w:p>
  </w:footnote>
  <w:footnote w:id="3">
    <w:p w:rsidR="00AA693F" w:rsidRDefault="00AA693F">
      <w:pPr>
        <w:pStyle w:val="Notedebasdepage"/>
      </w:pPr>
      <w:r>
        <w:rPr>
          <w:rStyle w:val="Appelnotedebasdep"/>
        </w:rPr>
        <w:footnoteRef/>
      </w:r>
      <w:r>
        <w:t xml:space="preserve"> </w:t>
      </w:r>
      <w:r>
        <w:tab/>
      </w:r>
      <w:r w:rsidRPr="00A65480">
        <w:rPr>
          <w:smallCaps/>
          <w:lang w:eastAsia="fr-FR"/>
        </w:rPr>
        <w:t>Pocock</w:t>
      </w:r>
      <w:r w:rsidRPr="00A65480">
        <w:rPr>
          <w:lang w:eastAsia="fr-FR"/>
        </w:rPr>
        <w:t>, 1997.</w:t>
      </w:r>
    </w:p>
  </w:footnote>
  <w:footnote w:id="4">
    <w:p w:rsidR="00AA693F" w:rsidRDefault="00AA693F">
      <w:pPr>
        <w:pStyle w:val="Notedebasdepage"/>
      </w:pPr>
      <w:r>
        <w:rPr>
          <w:rStyle w:val="Appelnotedebasdep"/>
        </w:rPr>
        <w:footnoteRef/>
      </w:r>
      <w:r>
        <w:t xml:space="preserve"> </w:t>
      </w:r>
      <w:r>
        <w:tab/>
      </w:r>
      <w:r w:rsidRPr="00A65480">
        <w:rPr>
          <w:smallCaps/>
          <w:lang w:eastAsia="fr-FR"/>
        </w:rPr>
        <w:t>Vérin</w:t>
      </w:r>
      <w:r w:rsidRPr="00A65480">
        <w:rPr>
          <w:lang w:eastAsia="fr-FR"/>
        </w:rPr>
        <w:t>, 1993.</w:t>
      </w:r>
    </w:p>
  </w:footnote>
  <w:footnote w:id="5">
    <w:p w:rsidR="00AA693F" w:rsidRDefault="00AA693F">
      <w:pPr>
        <w:pStyle w:val="Notedebasdepage"/>
      </w:pPr>
      <w:r>
        <w:rPr>
          <w:rStyle w:val="Appelnotedebasdep"/>
        </w:rPr>
        <w:footnoteRef/>
      </w:r>
      <w:r>
        <w:t xml:space="preserve"> </w:t>
      </w:r>
      <w:r>
        <w:tab/>
      </w:r>
      <w:r w:rsidRPr="00A65480">
        <w:rPr>
          <w:smallCaps/>
          <w:lang w:eastAsia="fr-FR"/>
        </w:rPr>
        <w:t>Skinner</w:t>
      </w:r>
      <w:r w:rsidRPr="00A65480">
        <w:rPr>
          <w:lang w:eastAsia="fr-FR"/>
        </w:rPr>
        <w:t>, 1996.</w:t>
      </w:r>
    </w:p>
  </w:footnote>
  <w:footnote w:id="6">
    <w:p w:rsidR="00AA693F" w:rsidRDefault="00AA693F">
      <w:pPr>
        <w:pStyle w:val="Notedebasdepage"/>
      </w:pPr>
      <w:r>
        <w:rPr>
          <w:rStyle w:val="Appelnotedebasdep"/>
        </w:rPr>
        <w:footnoteRef/>
      </w:r>
      <w:r>
        <w:t xml:space="preserve"> </w:t>
      </w:r>
      <w:r>
        <w:tab/>
      </w:r>
      <w:r w:rsidRPr="00A65480">
        <w:rPr>
          <w:smallCaps/>
          <w:lang w:eastAsia="fr-FR"/>
        </w:rPr>
        <w:t>Habermas</w:t>
      </w:r>
      <w:r w:rsidRPr="00A65480">
        <w:rPr>
          <w:lang w:eastAsia="fr-FR"/>
        </w:rPr>
        <w:t>, 1978.</w:t>
      </w:r>
    </w:p>
  </w:footnote>
  <w:footnote w:id="7">
    <w:p w:rsidR="00AA693F" w:rsidRDefault="00AA693F">
      <w:pPr>
        <w:pStyle w:val="Notedebasdepage"/>
      </w:pPr>
      <w:r>
        <w:rPr>
          <w:rStyle w:val="Appelnotedebasdep"/>
        </w:rPr>
        <w:footnoteRef/>
      </w:r>
      <w:r>
        <w:t xml:space="preserve"> </w:t>
      </w:r>
      <w:r>
        <w:tab/>
      </w:r>
      <w:r w:rsidRPr="00A65480">
        <w:rPr>
          <w:smallCaps/>
          <w:lang w:eastAsia="fr-FR"/>
        </w:rPr>
        <w:t>Habermas,</w:t>
      </w:r>
      <w:r>
        <w:rPr>
          <w:smallCaps/>
          <w:lang w:eastAsia="fr-FR"/>
        </w:rPr>
        <w:t xml:space="preserve"> </w:t>
      </w:r>
      <w:r w:rsidRPr="00A65480">
        <w:rPr>
          <w:lang w:eastAsia="fr-FR"/>
        </w:rPr>
        <w:t xml:space="preserve">1989. Sur le rôle et l’actualité des analyses d’Habermas, voir </w:t>
      </w:r>
      <w:r w:rsidRPr="00A65480">
        <w:rPr>
          <w:smallCaps/>
          <w:lang w:eastAsia="fr-FR"/>
        </w:rPr>
        <w:t xml:space="preserve">Eley </w:t>
      </w:r>
      <w:r w:rsidRPr="00A65480">
        <w:rPr>
          <w:lang w:eastAsia="fr-FR"/>
        </w:rPr>
        <w:t>et al., 2005.</w:t>
      </w:r>
    </w:p>
  </w:footnote>
  <w:footnote w:id="8">
    <w:p w:rsidR="00AA693F" w:rsidRDefault="00AA693F">
      <w:pPr>
        <w:pStyle w:val="Notedebasdepage"/>
      </w:pPr>
      <w:r>
        <w:rPr>
          <w:rStyle w:val="Appelnotedebasdep"/>
        </w:rPr>
        <w:footnoteRef/>
      </w:r>
      <w:r>
        <w:t xml:space="preserve"> </w:t>
      </w:r>
      <w:r>
        <w:tab/>
      </w:r>
      <w:r w:rsidRPr="00A65480">
        <w:rPr>
          <w:lang w:eastAsia="fr-FR"/>
        </w:rPr>
        <w:t xml:space="preserve">Notre ouvrage, </w:t>
      </w:r>
      <w:r w:rsidRPr="00A65480">
        <w:rPr>
          <w:smallCaps/>
          <w:lang w:eastAsia="fr-FR"/>
        </w:rPr>
        <w:t>Guilhaumou</w:t>
      </w:r>
      <w:r w:rsidRPr="00A65480">
        <w:rPr>
          <w:lang w:eastAsia="fr-FR"/>
        </w:rPr>
        <w:t>, 1998 a, s’inscrit dans une telle per</w:t>
      </w:r>
      <w:r w:rsidRPr="00A65480">
        <w:rPr>
          <w:lang w:eastAsia="fr-FR"/>
        </w:rPr>
        <w:t>s</w:t>
      </w:r>
      <w:r w:rsidRPr="00A65480">
        <w:rPr>
          <w:lang w:eastAsia="fr-FR"/>
        </w:rPr>
        <w:t>pective.</w:t>
      </w:r>
    </w:p>
  </w:footnote>
  <w:footnote w:id="9">
    <w:p w:rsidR="00AA693F" w:rsidRDefault="00AA693F">
      <w:pPr>
        <w:pStyle w:val="Notedebasdepage"/>
      </w:pPr>
      <w:r>
        <w:rPr>
          <w:rStyle w:val="Appelnotedebasdep"/>
        </w:rPr>
        <w:footnoteRef/>
      </w:r>
      <w:r>
        <w:t xml:space="preserve"> </w:t>
      </w:r>
      <w:r>
        <w:tab/>
      </w:r>
      <w:r w:rsidRPr="00A65480">
        <w:rPr>
          <w:lang w:eastAsia="fr-FR"/>
        </w:rPr>
        <w:t>Sur la question du libéralisme politique et, tout particulièrement, sur la contr</w:t>
      </w:r>
      <w:r w:rsidRPr="00A65480">
        <w:rPr>
          <w:lang w:eastAsia="fr-FR"/>
        </w:rPr>
        <w:t>i</w:t>
      </w:r>
      <w:r w:rsidRPr="00A65480">
        <w:rPr>
          <w:lang w:eastAsia="fr-FR"/>
        </w:rPr>
        <w:t xml:space="preserve">bution de Skinner en la matière, voir </w:t>
      </w:r>
      <w:r w:rsidRPr="00A65480">
        <w:rPr>
          <w:smallCaps/>
          <w:lang w:eastAsia="fr-FR"/>
        </w:rPr>
        <w:t>Gauthier</w:t>
      </w:r>
      <w:r w:rsidRPr="00A65480">
        <w:rPr>
          <w:lang w:eastAsia="fr-FR"/>
        </w:rPr>
        <w:t xml:space="preserve"> et </w:t>
      </w:r>
      <w:r w:rsidRPr="00A65480">
        <w:rPr>
          <w:smallCaps/>
          <w:lang w:eastAsia="fr-FR"/>
        </w:rPr>
        <w:t>Gui</w:t>
      </w:r>
      <w:r w:rsidRPr="00A65480">
        <w:rPr>
          <w:smallCaps/>
          <w:lang w:eastAsia="fr-FR"/>
        </w:rPr>
        <w:t>l</w:t>
      </w:r>
      <w:r w:rsidRPr="00A65480">
        <w:rPr>
          <w:smallCaps/>
          <w:lang w:eastAsia="fr-FR"/>
        </w:rPr>
        <w:t xml:space="preserve">haumou </w:t>
      </w:r>
      <w:r w:rsidRPr="00A65480">
        <w:rPr>
          <w:lang w:eastAsia="fr-FR"/>
        </w:rPr>
        <w:t>(dir.), 2002.</w:t>
      </w:r>
    </w:p>
  </w:footnote>
  <w:footnote w:id="10">
    <w:p w:rsidR="00AA693F" w:rsidRDefault="00AA693F">
      <w:pPr>
        <w:pStyle w:val="Notedebasdepage"/>
      </w:pPr>
      <w:r>
        <w:rPr>
          <w:rStyle w:val="Appelnotedebasdep"/>
        </w:rPr>
        <w:footnoteRef/>
      </w:r>
      <w:r>
        <w:t xml:space="preserve"> </w:t>
      </w:r>
      <w:r>
        <w:tab/>
      </w:r>
      <w:r w:rsidRPr="00A65480">
        <w:rPr>
          <w:lang w:eastAsia="fr-FR"/>
        </w:rPr>
        <w:t xml:space="preserve">Voir aussi, l’ouvrage de </w:t>
      </w:r>
      <w:r w:rsidRPr="00A65480">
        <w:rPr>
          <w:smallCaps/>
          <w:lang w:eastAsia="fr-FR"/>
        </w:rPr>
        <w:t>Habermas</w:t>
      </w:r>
      <w:r w:rsidRPr="00A65480">
        <w:rPr>
          <w:lang w:eastAsia="fr-FR"/>
        </w:rPr>
        <w:t>, 1992.</w:t>
      </w:r>
    </w:p>
  </w:footnote>
  <w:footnote w:id="11">
    <w:p w:rsidR="00AA693F" w:rsidRDefault="00AA693F">
      <w:pPr>
        <w:pStyle w:val="Notedebasdepage"/>
      </w:pPr>
      <w:r>
        <w:rPr>
          <w:rStyle w:val="Appelnotedebasdep"/>
        </w:rPr>
        <w:footnoteRef/>
      </w:r>
      <w:r>
        <w:t xml:space="preserve"> </w:t>
      </w:r>
      <w:r>
        <w:tab/>
      </w:r>
      <w:r w:rsidRPr="00A65480">
        <w:rPr>
          <w:lang w:eastAsia="fr-FR"/>
        </w:rPr>
        <w:t xml:space="preserve">Voir </w:t>
      </w:r>
      <w:r w:rsidRPr="00A65480">
        <w:rPr>
          <w:smallCaps/>
          <w:lang w:eastAsia="fr-FR"/>
        </w:rPr>
        <w:t>Koselleck</w:t>
      </w:r>
      <w:r w:rsidRPr="00A65480">
        <w:rPr>
          <w:lang w:eastAsia="fr-FR"/>
        </w:rPr>
        <w:t xml:space="preserve">, 1990 ainsi que </w:t>
      </w:r>
      <w:r w:rsidRPr="00A65480">
        <w:rPr>
          <w:smallCaps/>
          <w:lang w:eastAsia="fr-FR"/>
        </w:rPr>
        <w:t>Brunner, Conze</w:t>
      </w:r>
      <w:r w:rsidRPr="00A65480">
        <w:rPr>
          <w:lang w:eastAsia="fr-FR"/>
        </w:rPr>
        <w:t xml:space="preserve"> et </w:t>
      </w:r>
      <w:r w:rsidRPr="00A65480">
        <w:rPr>
          <w:smallCaps/>
          <w:lang w:eastAsia="fr-FR"/>
        </w:rPr>
        <w:t>Kose</w:t>
      </w:r>
      <w:r w:rsidRPr="00A65480">
        <w:rPr>
          <w:smallCaps/>
          <w:lang w:eastAsia="fr-FR"/>
        </w:rPr>
        <w:t>l</w:t>
      </w:r>
      <w:r w:rsidRPr="00A65480">
        <w:rPr>
          <w:smallCaps/>
          <w:lang w:eastAsia="fr-FR"/>
        </w:rPr>
        <w:t xml:space="preserve">leck </w:t>
      </w:r>
      <w:r w:rsidRPr="00A65480">
        <w:rPr>
          <w:lang w:eastAsia="fr-FR"/>
        </w:rPr>
        <w:t>(dir.), 1972-1996. Ce grand œuvre comprend 115 concepts pr</w:t>
      </w:r>
      <w:r w:rsidRPr="00A65480">
        <w:rPr>
          <w:lang w:eastAsia="fr-FR"/>
        </w:rPr>
        <w:t>é</w:t>
      </w:r>
      <w:r w:rsidRPr="00A65480">
        <w:rPr>
          <w:lang w:eastAsia="fr-FR"/>
        </w:rPr>
        <w:t>sentés dans 11 000 pages à double colonne.</w:t>
      </w:r>
    </w:p>
  </w:footnote>
  <w:footnote w:id="12">
    <w:p w:rsidR="00AA693F" w:rsidRDefault="00AA693F">
      <w:pPr>
        <w:pStyle w:val="Notedebasdepage"/>
      </w:pPr>
      <w:r>
        <w:rPr>
          <w:rStyle w:val="Appelnotedebasdep"/>
        </w:rPr>
        <w:footnoteRef/>
      </w:r>
      <w:r>
        <w:t xml:space="preserve"> </w:t>
      </w:r>
      <w:r>
        <w:tab/>
      </w:r>
      <w:r w:rsidRPr="00A65480">
        <w:rPr>
          <w:lang w:eastAsia="fr-FR"/>
        </w:rPr>
        <w:t xml:space="preserve">Sur ce sujet, voir </w:t>
      </w:r>
      <w:r w:rsidRPr="00A65480">
        <w:rPr>
          <w:smallCaps/>
          <w:lang w:eastAsia="fr-FR"/>
        </w:rPr>
        <w:t>Binoche</w:t>
      </w:r>
      <w:r w:rsidRPr="00A65480">
        <w:rPr>
          <w:lang w:eastAsia="fr-FR"/>
        </w:rPr>
        <w:t>, 1994.</w:t>
      </w:r>
    </w:p>
  </w:footnote>
  <w:footnote w:id="13">
    <w:p w:rsidR="00AA693F" w:rsidRDefault="00AA693F">
      <w:pPr>
        <w:pStyle w:val="Notedebasdepage"/>
      </w:pPr>
      <w:r>
        <w:rPr>
          <w:rStyle w:val="Appelnotedebasdep"/>
        </w:rPr>
        <w:footnoteRef/>
      </w:r>
      <w:r>
        <w:t xml:space="preserve"> </w:t>
      </w:r>
      <w:r>
        <w:tab/>
      </w:r>
      <w:r w:rsidRPr="00A65480">
        <w:rPr>
          <w:lang w:eastAsia="fr-FR"/>
        </w:rPr>
        <w:t xml:space="preserve">Voir, par exemple, à propos de la Révolution française, </w:t>
      </w:r>
      <w:r w:rsidRPr="00A65480">
        <w:rPr>
          <w:smallCaps/>
          <w:lang w:eastAsia="fr-FR"/>
        </w:rPr>
        <w:t>Guilha</w:t>
      </w:r>
      <w:r w:rsidRPr="00A65480">
        <w:rPr>
          <w:smallCaps/>
          <w:lang w:eastAsia="fr-FR"/>
        </w:rPr>
        <w:t>u</w:t>
      </w:r>
      <w:r w:rsidRPr="00A65480">
        <w:rPr>
          <w:smallCaps/>
          <w:lang w:eastAsia="fr-FR"/>
        </w:rPr>
        <w:t>mou</w:t>
      </w:r>
      <w:r w:rsidRPr="00A65480">
        <w:rPr>
          <w:lang w:eastAsia="fr-FR"/>
        </w:rPr>
        <w:t xml:space="preserve"> et </w:t>
      </w:r>
      <w:r w:rsidRPr="00A65480">
        <w:rPr>
          <w:smallCaps/>
          <w:lang w:eastAsia="fr-FR"/>
        </w:rPr>
        <w:t xml:space="preserve">Monnier </w:t>
      </w:r>
      <w:r w:rsidRPr="00A65480">
        <w:rPr>
          <w:lang w:eastAsia="fr-FR"/>
        </w:rPr>
        <w:t>(dir.), 2003.</w:t>
      </w:r>
    </w:p>
  </w:footnote>
  <w:footnote w:id="14">
    <w:p w:rsidR="00AA693F" w:rsidRDefault="00AA693F">
      <w:pPr>
        <w:pStyle w:val="Notedebasdepage"/>
      </w:pPr>
      <w:r>
        <w:rPr>
          <w:rStyle w:val="Appelnotedebasdep"/>
        </w:rPr>
        <w:footnoteRef/>
      </w:r>
      <w:r>
        <w:t xml:space="preserve"> </w:t>
      </w:r>
      <w:r>
        <w:tab/>
      </w:r>
      <w:r w:rsidRPr="00A65480">
        <w:rPr>
          <w:lang w:eastAsia="fr-FR"/>
        </w:rPr>
        <w:t xml:space="preserve">Une telle culture de la généralité politique a été étudiée, dans le cas français, par </w:t>
      </w:r>
      <w:r w:rsidRPr="00A65480">
        <w:rPr>
          <w:smallCaps/>
          <w:lang w:eastAsia="fr-FR"/>
        </w:rPr>
        <w:t>Rosanvallon,</w:t>
      </w:r>
      <w:r>
        <w:rPr>
          <w:smallCaps/>
          <w:lang w:eastAsia="fr-FR"/>
        </w:rPr>
        <w:t xml:space="preserve"> </w:t>
      </w:r>
      <w:r w:rsidRPr="00A65480">
        <w:rPr>
          <w:lang w:eastAsia="fr-FR"/>
        </w:rPr>
        <w:t>2004.</w:t>
      </w:r>
    </w:p>
  </w:footnote>
  <w:footnote w:id="15">
    <w:p w:rsidR="00AA693F" w:rsidRDefault="00AA693F">
      <w:pPr>
        <w:pStyle w:val="Notedebasdepage"/>
      </w:pPr>
      <w:r>
        <w:rPr>
          <w:rStyle w:val="Appelnotedebasdep"/>
        </w:rPr>
        <w:footnoteRef/>
      </w:r>
      <w:r>
        <w:t xml:space="preserve"> </w:t>
      </w:r>
      <w:r>
        <w:tab/>
      </w:r>
      <w:r w:rsidRPr="00A65480">
        <w:rPr>
          <w:lang w:eastAsia="fr-FR"/>
        </w:rPr>
        <w:t xml:space="preserve">Voir </w:t>
      </w:r>
      <w:r w:rsidRPr="00A65480">
        <w:rPr>
          <w:smallCaps/>
          <w:lang w:eastAsia="fr-FR"/>
        </w:rPr>
        <w:t xml:space="preserve">Auroux </w:t>
      </w:r>
      <w:r w:rsidRPr="00A65480">
        <w:rPr>
          <w:lang w:eastAsia="fr-FR"/>
        </w:rPr>
        <w:t>(dir.), 1989-2000, t.</w:t>
      </w:r>
      <w:r w:rsidRPr="00A65480">
        <w:rPr>
          <w:smallCaps/>
          <w:lang w:eastAsia="fr-FR"/>
        </w:rPr>
        <w:t>ii</w:t>
      </w:r>
      <w:r w:rsidRPr="00A65480">
        <w:rPr>
          <w:lang w:eastAsia="fr-FR"/>
        </w:rPr>
        <w:t>, p. 378</w:t>
      </w:r>
      <w:r w:rsidRPr="00A65480">
        <w:rPr>
          <w:smallCaps/>
          <w:lang w:eastAsia="fr-FR"/>
        </w:rPr>
        <w:t>.</w:t>
      </w:r>
    </w:p>
  </w:footnote>
  <w:footnote w:id="16">
    <w:p w:rsidR="00AA693F" w:rsidRDefault="00AA693F">
      <w:pPr>
        <w:pStyle w:val="Notedebasdepage"/>
      </w:pPr>
      <w:r>
        <w:rPr>
          <w:rStyle w:val="Appelnotedebasdep"/>
        </w:rPr>
        <w:footnoteRef/>
      </w:r>
      <w:r>
        <w:t xml:space="preserve"> </w:t>
      </w:r>
      <w:r>
        <w:tab/>
      </w:r>
      <w:r w:rsidRPr="00A65480">
        <w:rPr>
          <w:lang w:eastAsia="fr-FR"/>
        </w:rPr>
        <w:t xml:space="preserve">Voir </w:t>
      </w:r>
      <w:r w:rsidRPr="00A65480">
        <w:rPr>
          <w:smallCaps/>
          <w:lang w:eastAsia="fr-FR"/>
        </w:rPr>
        <w:t>Guilhaumou, 2001</w:t>
      </w:r>
      <w:r w:rsidRPr="00A65480">
        <w:rPr>
          <w:lang w:eastAsia="fr-FR"/>
        </w:rPr>
        <w:t>.</w:t>
      </w:r>
    </w:p>
  </w:footnote>
  <w:footnote w:id="17">
    <w:p w:rsidR="00AA693F" w:rsidRDefault="00AA693F">
      <w:pPr>
        <w:pStyle w:val="Notedebasdepage"/>
      </w:pPr>
      <w:r>
        <w:rPr>
          <w:rStyle w:val="Appelnotedebasdep"/>
        </w:rPr>
        <w:footnoteRef/>
      </w:r>
      <w:r>
        <w:t xml:space="preserve"> </w:t>
      </w:r>
      <w:r>
        <w:tab/>
      </w:r>
      <w:r w:rsidRPr="00A65480">
        <w:rPr>
          <w:lang w:eastAsia="fr-FR"/>
        </w:rPr>
        <w:t>L’écho de son œuvre auprès des chercheurs anglophones est esse</w:t>
      </w:r>
      <w:r w:rsidRPr="00A65480">
        <w:rPr>
          <w:lang w:eastAsia="fr-FR"/>
        </w:rPr>
        <w:t>n</w:t>
      </w:r>
      <w:r w:rsidRPr="00A65480">
        <w:rPr>
          <w:lang w:eastAsia="fr-FR"/>
        </w:rPr>
        <w:t xml:space="preserve">tiel pour en comprendre la portée, bien plus que les débats franco-français à son propos. Voir </w:t>
      </w:r>
      <w:r w:rsidRPr="00A65480">
        <w:rPr>
          <w:smallCaps/>
          <w:lang w:eastAsia="fr-FR"/>
        </w:rPr>
        <w:t>Guilhaumou</w:t>
      </w:r>
      <w:r w:rsidRPr="00A65480">
        <w:rPr>
          <w:lang w:eastAsia="fr-FR"/>
        </w:rPr>
        <w:t>, 1998 b.</w:t>
      </w:r>
    </w:p>
  </w:footnote>
  <w:footnote w:id="18">
    <w:p w:rsidR="00AA693F" w:rsidRDefault="00AA693F">
      <w:pPr>
        <w:pStyle w:val="Notedebasdepage"/>
      </w:pPr>
      <w:r>
        <w:rPr>
          <w:rStyle w:val="Appelnotedebasdep"/>
        </w:rPr>
        <w:footnoteRef/>
      </w:r>
      <w:r>
        <w:t xml:space="preserve"> </w:t>
      </w:r>
      <w:r>
        <w:tab/>
      </w:r>
      <w:r w:rsidRPr="00A65480">
        <w:rPr>
          <w:smallCaps/>
          <w:lang w:eastAsia="fr-FR"/>
        </w:rPr>
        <w:t>Furet</w:t>
      </w:r>
      <w:r w:rsidRPr="00A65480">
        <w:rPr>
          <w:lang w:eastAsia="fr-FR"/>
        </w:rPr>
        <w:t xml:space="preserve"> et </w:t>
      </w:r>
      <w:r w:rsidRPr="00A65480">
        <w:rPr>
          <w:smallCaps/>
          <w:lang w:eastAsia="fr-FR"/>
        </w:rPr>
        <w:t>Halévi</w:t>
      </w:r>
      <w:r w:rsidRPr="00A65480">
        <w:rPr>
          <w:lang w:eastAsia="fr-FR"/>
        </w:rPr>
        <w:t xml:space="preserve"> (éd.), 1989, t. </w:t>
      </w:r>
      <w:r w:rsidRPr="00A65480">
        <w:rPr>
          <w:smallCaps/>
          <w:lang w:eastAsia="fr-FR"/>
        </w:rPr>
        <w:t>i</w:t>
      </w:r>
      <w:r w:rsidRPr="00A65480">
        <w:rPr>
          <w:lang w:eastAsia="fr-FR"/>
        </w:rPr>
        <w:t>, p. </w:t>
      </w:r>
      <w:r w:rsidRPr="00A65480">
        <w:rPr>
          <w:smallCaps/>
          <w:lang w:eastAsia="fr-FR"/>
        </w:rPr>
        <w:t>lxx</w:t>
      </w:r>
      <w:r w:rsidRPr="00A65480">
        <w:rPr>
          <w:lang w:eastAsia="fr-FR"/>
        </w:rPr>
        <w:t xml:space="preserve">. Signalons également l’importance de l’ouvrage de </w:t>
      </w:r>
      <w:r w:rsidRPr="00A65480">
        <w:rPr>
          <w:smallCaps/>
          <w:lang w:eastAsia="fr-FR"/>
        </w:rPr>
        <w:t>Tackett</w:t>
      </w:r>
      <w:r w:rsidRPr="00A65480">
        <w:rPr>
          <w:lang w:eastAsia="fr-FR"/>
        </w:rPr>
        <w:t>, 1996, qui met en évidence la manière dont les d</w:t>
      </w:r>
      <w:r w:rsidRPr="00A65480">
        <w:rPr>
          <w:lang w:eastAsia="fr-FR"/>
        </w:rPr>
        <w:t>é</w:t>
      </w:r>
      <w:r w:rsidRPr="00A65480">
        <w:rPr>
          <w:lang w:eastAsia="fr-FR"/>
        </w:rPr>
        <w:t>putés du tiers état adhèrent progressivement au processus révolutionnaire.</w:t>
      </w:r>
    </w:p>
  </w:footnote>
  <w:footnote w:id="19">
    <w:p w:rsidR="00AA693F" w:rsidRDefault="00AA693F">
      <w:pPr>
        <w:pStyle w:val="Notedebasdepage"/>
      </w:pPr>
      <w:r>
        <w:rPr>
          <w:rStyle w:val="Appelnotedebasdep"/>
        </w:rPr>
        <w:footnoteRef/>
      </w:r>
      <w:r>
        <w:t xml:space="preserve"> </w:t>
      </w:r>
      <w:r>
        <w:tab/>
      </w:r>
      <w:r w:rsidRPr="00A65480">
        <w:rPr>
          <w:smallCaps/>
          <w:lang w:eastAsia="fr-FR"/>
        </w:rPr>
        <w:t>Sieyès</w:t>
      </w:r>
      <w:r w:rsidRPr="00A65480">
        <w:rPr>
          <w:lang w:eastAsia="fr-FR"/>
        </w:rPr>
        <w:t>, Des manuscrits de Sieyès ; un second volume est en prép</w:t>
      </w:r>
      <w:r w:rsidRPr="00A65480">
        <w:rPr>
          <w:lang w:eastAsia="fr-FR"/>
        </w:rPr>
        <w:t>a</w:t>
      </w:r>
      <w:r w:rsidRPr="00A65480">
        <w:rPr>
          <w:lang w:eastAsia="fr-FR"/>
        </w:rPr>
        <w:t>ration.</w:t>
      </w:r>
    </w:p>
  </w:footnote>
  <w:footnote w:id="20">
    <w:p w:rsidR="00AA693F" w:rsidRDefault="00AA693F">
      <w:pPr>
        <w:pStyle w:val="Notedebasdepage"/>
      </w:pPr>
      <w:r>
        <w:rPr>
          <w:rStyle w:val="Appelnotedebasdep"/>
        </w:rPr>
        <w:footnoteRef/>
      </w:r>
      <w:r>
        <w:t xml:space="preserve"> </w:t>
      </w:r>
      <w:r>
        <w:tab/>
      </w:r>
      <w:r w:rsidRPr="00A65480">
        <w:rPr>
          <w:lang w:eastAsia="fr-FR"/>
        </w:rPr>
        <w:t xml:space="preserve">Au-delà de l’ouvrage classique de </w:t>
      </w:r>
      <w:r w:rsidRPr="00A65480">
        <w:rPr>
          <w:smallCaps/>
          <w:lang w:eastAsia="fr-FR"/>
        </w:rPr>
        <w:t>Bastid</w:t>
      </w:r>
      <w:r w:rsidRPr="00A65480">
        <w:rPr>
          <w:lang w:eastAsia="fr-FR"/>
        </w:rPr>
        <w:t xml:space="preserve">, 1989, pour une vue d’ensemble des travaux récents sur Sieyès et la modernité politique, voir </w:t>
      </w:r>
      <w:r w:rsidRPr="00A65480">
        <w:rPr>
          <w:smallCaps/>
          <w:lang w:eastAsia="fr-FR"/>
        </w:rPr>
        <w:t>Guilhaumou</w:t>
      </w:r>
      <w:r w:rsidRPr="00A65480">
        <w:rPr>
          <w:lang w:eastAsia="fr-FR"/>
        </w:rPr>
        <w:t>, 2002.</w:t>
      </w:r>
    </w:p>
  </w:footnote>
  <w:footnote w:id="21">
    <w:p w:rsidR="00AA693F" w:rsidRDefault="00AA693F">
      <w:pPr>
        <w:pStyle w:val="Notedebasdepage"/>
      </w:pPr>
      <w:r>
        <w:rPr>
          <w:rStyle w:val="Appelnotedebasdep"/>
        </w:rPr>
        <w:footnoteRef/>
      </w:r>
      <w:r>
        <w:t xml:space="preserve"> </w:t>
      </w:r>
      <w:r>
        <w:tab/>
      </w:r>
      <w:r w:rsidRPr="00A65480">
        <w:rPr>
          <w:lang w:eastAsia="fr-FR"/>
        </w:rPr>
        <w:t xml:space="preserve">Voir </w:t>
      </w:r>
      <w:r w:rsidRPr="00A65480">
        <w:rPr>
          <w:smallCaps/>
          <w:lang w:eastAsia="fr-FR"/>
        </w:rPr>
        <w:t>Guilhaumou</w:t>
      </w:r>
      <w:r w:rsidRPr="00A65480">
        <w:rPr>
          <w:lang w:eastAsia="fr-FR"/>
        </w:rPr>
        <w:t xml:space="preserve"> et </w:t>
      </w:r>
      <w:r w:rsidRPr="00A65480">
        <w:rPr>
          <w:smallCaps/>
          <w:lang w:eastAsia="fr-FR"/>
        </w:rPr>
        <w:t>Branca-Rosoff</w:t>
      </w:r>
      <w:r w:rsidRPr="00A65480">
        <w:rPr>
          <w:lang w:eastAsia="fr-FR"/>
        </w:rPr>
        <w:t>, 1998.</w:t>
      </w:r>
    </w:p>
  </w:footnote>
  <w:footnote w:id="22">
    <w:p w:rsidR="00AA693F" w:rsidRDefault="00AA693F">
      <w:pPr>
        <w:pStyle w:val="Notedebasdepage"/>
      </w:pPr>
      <w:r>
        <w:rPr>
          <w:rStyle w:val="Appelnotedebasdep"/>
        </w:rPr>
        <w:footnoteRef/>
      </w:r>
      <w:r>
        <w:t xml:space="preserve"> </w:t>
      </w:r>
      <w:r>
        <w:tab/>
      </w:r>
      <w:r w:rsidRPr="00A65480">
        <w:rPr>
          <w:lang w:eastAsia="fr-FR"/>
        </w:rPr>
        <w:t xml:space="preserve">Dans </w:t>
      </w:r>
      <w:r w:rsidRPr="00A65480">
        <w:rPr>
          <w:smallCaps/>
          <w:lang w:eastAsia="fr-FR"/>
        </w:rPr>
        <w:t>Furet</w:t>
      </w:r>
      <w:r w:rsidRPr="00A65480">
        <w:rPr>
          <w:lang w:eastAsia="fr-FR"/>
        </w:rPr>
        <w:t>, 1988, p. 62 : « Sieyès. Il faut s’attarder un peu sur ce nom, qui est le meilleur symbole de la Révolution française […]. C’est qu’il est, de la Révolution française, non pas le plus grand homme d’action, mais le penseur politique le plus profond. »</w:t>
      </w:r>
    </w:p>
  </w:footnote>
  <w:footnote w:id="23">
    <w:p w:rsidR="00AA693F" w:rsidRDefault="00AA693F">
      <w:pPr>
        <w:pStyle w:val="Notedebasdepage"/>
      </w:pPr>
      <w:r>
        <w:rPr>
          <w:rStyle w:val="Appelnotedebasdep"/>
        </w:rPr>
        <w:footnoteRef/>
      </w:r>
      <w:r>
        <w:t xml:space="preserve"> </w:t>
      </w:r>
      <w:r>
        <w:tab/>
      </w:r>
      <w:r w:rsidRPr="00A65480">
        <w:rPr>
          <w:lang w:eastAsia="fr-FR"/>
        </w:rPr>
        <w:t xml:space="preserve">Voir à ce propos </w:t>
      </w:r>
      <w:r w:rsidRPr="00A65480">
        <w:rPr>
          <w:smallCaps/>
          <w:lang w:eastAsia="fr-FR"/>
        </w:rPr>
        <w:t>Guilhaumou</w:t>
      </w:r>
      <w:r w:rsidRPr="00A65480">
        <w:rPr>
          <w:lang w:eastAsia="fr-FR"/>
        </w:rPr>
        <w:t>, 1998 a.</w:t>
      </w:r>
    </w:p>
  </w:footnote>
  <w:footnote w:id="24">
    <w:p w:rsidR="00AA693F" w:rsidRDefault="00AA693F">
      <w:pPr>
        <w:pStyle w:val="Notedebasdepage"/>
      </w:pPr>
      <w:r>
        <w:rPr>
          <w:rStyle w:val="Appelnotedebasdep"/>
        </w:rPr>
        <w:footnoteRef/>
      </w:r>
      <w:r>
        <w:t xml:space="preserve"> </w:t>
      </w:r>
      <w:r>
        <w:tab/>
      </w:r>
      <w:r w:rsidRPr="00A65480">
        <w:rPr>
          <w:lang w:eastAsia="fr-FR"/>
        </w:rPr>
        <w:t xml:space="preserve">Voir la minutieuse étude de </w:t>
      </w:r>
      <w:r w:rsidRPr="00A65480">
        <w:rPr>
          <w:smallCaps/>
          <w:lang w:eastAsia="fr-FR"/>
        </w:rPr>
        <w:t>Rosanvallon,</w:t>
      </w:r>
      <w:r>
        <w:rPr>
          <w:smallCaps/>
          <w:lang w:eastAsia="fr-FR"/>
        </w:rPr>
        <w:t xml:space="preserve"> </w:t>
      </w:r>
      <w:r w:rsidRPr="00A65480">
        <w:rPr>
          <w:lang w:eastAsia="fr-FR"/>
        </w:rPr>
        <w:t>1998.</w:t>
      </w:r>
    </w:p>
  </w:footnote>
  <w:footnote w:id="25">
    <w:p w:rsidR="00AA693F" w:rsidRDefault="00AA693F">
      <w:pPr>
        <w:pStyle w:val="Notedebasdepage"/>
      </w:pPr>
      <w:r>
        <w:rPr>
          <w:rStyle w:val="Appelnotedebasdep"/>
        </w:rPr>
        <w:footnoteRef/>
      </w:r>
      <w:r>
        <w:t xml:space="preserve"> </w:t>
      </w:r>
      <w:r>
        <w:tab/>
      </w:r>
      <w:r w:rsidRPr="00A65480">
        <w:rPr>
          <w:smallCaps/>
          <w:lang w:eastAsia="fr-FR"/>
        </w:rPr>
        <w:t>Vovelle</w:t>
      </w:r>
      <w:r w:rsidRPr="00A65480">
        <w:rPr>
          <w:lang w:eastAsia="fr-FR"/>
        </w:rPr>
        <w:t>, 1993.</w:t>
      </w:r>
    </w:p>
  </w:footnote>
  <w:footnote w:id="26">
    <w:p w:rsidR="00AA693F" w:rsidRDefault="00AA693F">
      <w:pPr>
        <w:pStyle w:val="Notedebasdepage"/>
      </w:pPr>
      <w:r>
        <w:rPr>
          <w:rStyle w:val="Appelnotedebasdep"/>
        </w:rPr>
        <w:footnoteRef/>
      </w:r>
      <w:r>
        <w:t xml:space="preserve"> </w:t>
      </w:r>
      <w:r>
        <w:tab/>
      </w:r>
      <w:r w:rsidRPr="00A65480">
        <w:rPr>
          <w:smallCaps/>
          <w:lang w:eastAsia="fr-FR"/>
        </w:rPr>
        <w:t>Gauthier,</w:t>
      </w:r>
      <w:r w:rsidRPr="00A65480">
        <w:rPr>
          <w:lang w:eastAsia="fr-FR"/>
        </w:rPr>
        <w:t>1992.</w:t>
      </w:r>
    </w:p>
  </w:footnote>
  <w:footnote w:id="27">
    <w:p w:rsidR="00AA693F" w:rsidRDefault="00AA693F">
      <w:pPr>
        <w:pStyle w:val="Notedebasdepage"/>
      </w:pPr>
      <w:r>
        <w:rPr>
          <w:rStyle w:val="Appelnotedebasdep"/>
        </w:rPr>
        <w:footnoteRef/>
      </w:r>
      <w:r>
        <w:t xml:space="preserve"> </w:t>
      </w:r>
      <w:r>
        <w:tab/>
      </w:r>
      <w:r w:rsidRPr="00A65480">
        <w:rPr>
          <w:lang w:eastAsia="fr-FR"/>
        </w:rPr>
        <w:t>Dans les Quaderni del carcere, Gramsci revient à plusieurs reprises sur la v</w:t>
      </w:r>
      <w:r w:rsidRPr="00A65480">
        <w:rPr>
          <w:lang w:eastAsia="fr-FR"/>
        </w:rPr>
        <w:t>a</w:t>
      </w:r>
      <w:r w:rsidRPr="00A65480">
        <w:rPr>
          <w:lang w:eastAsia="fr-FR"/>
        </w:rPr>
        <w:t>leur méthodologique d’une telle association et, plus largement, sur la « traductibilité réciproque » entre la pratique politique jacobine et la philos</w:t>
      </w:r>
      <w:r w:rsidRPr="00A65480">
        <w:rPr>
          <w:lang w:eastAsia="fr-FR"/>
        </w:rPr>
        <w:t>o</w:t>
      </w:r>
      <w:r w:rsidRPr="00A65480">
        <w:rPr>
          <w:lang w:eastAsia="fr-FR"/>
        </w:rPr>
        <w:t>phie pratique allemande (</w:t>
      </w:r>
      <w:r w:rsidRPr="00A65480">
        <w:rPr>
          <w:smallCaps/>
          <w:lang w:eastAsia="fr-FR"/>
        </w:rPr>
        <w:t>Gramsci</w:t>
      </w:r>
      <w:r w:rsidRPr="00A65480">
        <w:rPr>
          <w:lang w:eastAsia="fr-FR"/>
        </w:rPr>
        <w:t>, 1975).</w:t>
      </w:r>
    </w:p>
  </w:footnote>
  <w:footnote w:id="28">
    <w:p w:rsidR="00AA693F" w:rsidRDefault="00AA693F">
      <w:pPr>
        <w:pStyle w:val="Notedebasdepage"/>
      </w:pPr>
      <w:r>
        <w:rPr>
          <w:rStyle w:val="Appelnotedebasdep"/>
        </w:rPr>
        <w:footnoteRef/>
      </w:r>
      <w:r>
        <w:t xml:space="preserve"> </w:t>
      </w:r>
      <w:r>
        <w:tab/>
      </w:r>
      <w:r w:rsidRPr="00A65480">
        <w:rPr>
          <w:lang w:eastAsia="fr-FR"/>
        </w:rPr>
        <w:t xml:space="preserve">Voir </w:t>
      </w:r>
      <w:r w:rsidRPr="00A65480">
        <w:rPr>
          <w:smallCaps/>
          <w:lang w:eastAsia="fr-FR"/>
        </w:rPr>
        <w:t>Kant</w:t>
      </w:r>
      <w:r w:rsidRPr="00A65480">
        <w:rPr>
          <w:lang w:eastAsia="fr-FR"/>
        </w:rPr>
        <w:t>, Œuvres philosophiques, t. </w:t>
      </w:r>
      <w:r w:rsidRPr="00A65480">
        <w:rPr>
          <w:smallCaps/>
          <w:lang w:eastAsia="fr-FR"/>
        </w:rPr>
        <w:t>iii </w:t>
      </w:r>
      <w:r w:rsidRPr="00A65480">
        <w:rPr>
          <w:lang w:eastAsia="fr-FR"/>
        </w:rPr>
        <w:t>: Les derniers écrits, p. 251.</w:t>
      </w:r>
    </w:p>
  </w:footnote>
  <w:footnote w:id="29">
    <w:p w:rsidR="00AA693F" w:rsidRDefault="00AA693F">
      <w:pPr>
        <w:pStyle w:val="Notedebasdepage"/>
      </w:pPr>
      <w:r>
        <w:rPr>
          <w:rStyle w:val="Appelnotedebasdep"/>
        </w:rPr>
        <w:footnoteRef/>
      </w:r>
      <w:r>
        <w:t xml:space="preserve"> </w:t>
      </w:r>
      <w:r>
        <w:tab/>
      </w:r>
      <w:r w:rsidRPr="00A65480">
        <w:rPr>
          <w:smallCaps/>
          <w:lang w:eastAsia="fr-FR"/>
        </w:rPr>
        <w:t>Kant,</w:t>
      </w:r>
      <w:r w:rsidRPr="00A65480">
        <w:rPr>
          <w:lang w:eastAsia="fr-FR"/>
        </w:rPr>
        <w:t xml:space="preserve"> Critique de la faculté de juger, pp. 93-95.</w:t>
      </w:r>
    </w:p>
  </w:footnote>
  <w:footnote w:id="30">
    <w:p w:rsidR="00AA693F" w:rsidRDefault="00AA693F">
      <w:pPr>
        <w:pStyle w:val="Notedebasdepage"/>
      </w:pPr>
      <w:r>
        <w:rPr>
          <w:rStyle w:val="Appelnotedebasdep"/>
        </w:rPr>
        <w:footnoteRef/>
      </w:r>
      <w:r>
        <w:t xml:space="preserve"> </w:t>
      </w:r>
      <w:r>
        <w:tab/>
      </w:r>
      <w:r w:rsidRPr="0016254F">
        <w:rPr>
          <w:i/>
          <w:lang w:eastAsia="fr-FR"/>
        </w:rPr>
        <w:t>Ibid</w:t>
      </w:r>
      <w:r w:rsidRPr="00A65480">
        <w:rPr>
          <w:lang w:eastAsia="fr-FR"/>
        </w:rPr>
        <w:t>., p. 280.</w:t>
      </w:r>
    </w:p>
  </w:footnote>
  <w:footnote w:id="31">
    <w:p w:rsidR="00AA693F" w:rsidRDefault="00AA693F">
      <w:pPr>
        <w:pStyle w:val="Notedebasdepage"/>
      </w:pPr>
      <w:r>
        <w:rPr>
          <w:rStyle w:val="Appelnotedebasdep"/>
        </w:rPr>
        <w:footnoteRef/>
      </w:r>
      <w:r>
        <w:t xml:space="preserve"> </w:t>
      </w:r>
      <w:r>
        <w:tab/>
      </w:r>
      <w:r w:rsidRPr="0016254F">
        <w:rPr>
          <w:i/>
          <w:lang w:eastAsia="fr-FR"/>
        </w:rPr>
        <w:t>Ibid</w:t>
      </w:r>
      <w:r w:rsidRPr="00A65480">
        <w:rPr>
          <w:lang w:eastAsia="fr-FR"/>
        </w:rPr>
        <w:t>., p. 111.</w:t>
      </w:r>
    </w:p>
  </w:footnote>
  <w:footnote w:id="32">
    <w:p w:rsidR="00AA693F" w:rsidRDefault="00AA693F">
      <w:pPr>
        <w:pStyle w:val="Notedebasdepage"/>
      </w:pPr>
      <w:r>
        <w:rPr>
          <w:rStyle w:val="Appelnotedebasdep"/>
        </w:rPr>
        <w:footnoteRef/>
      </w:r>
      <w:r>
        <w:t xml:space="preserve"> </w:t>
      </w:r>
      <w:r>
        <w:tab/>
      </w:r>
      <w:r w:rsidRPr="0016254F">
        <w:rPr>
          <w:i/>
          <w:lang w:eastAsia="fr-FR"/>
        </w:rPr>
        <w:t>Ibid</w:t>
      </w:r>
      <w:r w:rsidRPr="00A65480">
        <w:rPr>
          <w:lang w:eastAsia="fr-FR"/>
        </w:rPr>
        <w:t>., p. 303.</w:t>
      </w:r>
    </w:p>
  </w:footnote>
  <w:footnote w:id="33">
    <w:p w:rsidR="00AA693F" w:rsidRDefault="00AA693F">
      <w:pPr>
        <w:pStyle w:val="Notedebasdepage"/>
      </w:pPr>
      <w:r>
        <w:rPr>
          <w:rStyle w:val="Appelnotedebasdep"/>
        </w:rPr>
        <w:footnoteRef/>
      </w:r>
      <w:r>
        <w:t xml:space="preserve"> </w:t>
      </w:r>
      <w:r>
        <w:tab/>
      </w:r>
      <w:r w:rsidRPr="00A65480">
        <w:rPr>
          <w:lang w:eastAsia="fr-FR"/>
        </w:rPr>
        <w:t xml:space="preserve">En particulier par </w:t>
      </w:r>
      <w:r w:rsidRPr="00A65480">
        <w:rPr>
          <w:smallCaps/>
          <w:lang w:eastAsia="fr-FR"/>
        </w:rPr>
        <w:t>Brunel</w:t>
      </w:r>
      <w:r w:rsidRPr="00A65480">
        <w:rPr>
          <w:lang w:eastAsia="fr-FR"/>
        </w:rPr>
        <w:t xml:space="preserve">, 1989 et </w:t>
      </w:r>
      <w:r w:rsidRPr="00A65480">
        <w:rPr>
          <w:smallCaps/>
          <w:lang w:eastAsia="fr-FR"/>
        </w:rPr>
        <w:t>Gauthier</w:t>
      </w:r>
      <w:r w:rsidRPr="00A65480">
        <w:rPr>
          <w:lang w:eastAsia="fr-FR"/>
        </w:rPr>
        <w:t>, 1992.</w:t>
      </w:r>
    </w:p>
  </w:footnote>
  <w:footnote w:id="34">
    <w:p w:rsidR="00AA693F" w:rsidRDefault="00AA693F">
      <w:pPr>
        <w:pStyle w:val="Notedebasdepage"/>
      </w:pPr>
      <w:r>
        <w:rPr>
          <w:rStyle w:val="Appelnotedebasdep"/>
        </w:rPr>
        <w:footnoteRef/>
      </w:r>
      <w:r>
        <w:t xml:space="preserve"> </w:t>
      </w:r>
      <w:r>
        <w:tab/>
      </w:r>
      <w:r w:rsidRPr="00A65480">
        <w:rPr>
          <w:lang w:eastAsia="fr-FR"/>
        </w:rPr>
        <w:t xml:space="preserve">Sur la question des femmes pendant la Révolution française, voir </w:t>
      </w:r>
      <w:r w:rsidRPr="00A65480">
        <w:rPr>
          <w:smallCaps/>
          <w:lang w:eastAsia="fr-FR"/>
        </w:rPr>
        <w:t>Guilha</w:t>
      </w:r>
      <w:r w:rsidRPr="00A65480">
        <w:rPr>
          <w:smallCaps/>
          <w:lang w:eastAsia="fr-FR"/>
        </w:rPr>
        <w:t>u</w:t>
      </w:r>
      <w:r w:rsidRPr="00A65480">
        <w:rPr>
          <w:smallCaps/>
          <w:lang w:eastAsia="fr-FR"/>
        </w:rPr>
        <w:t>mou</w:t>
      </w:r>
      <w:r w:rsidRPr="00A65480">
        <w:rPr>
          <w:lang w:eastAsia="fr-FR"/>
        </w:rPr>
        <w:t xml:space="preserve"> et </w:t>
      </w:r>
      <w:r w:rsidRPr="00A65480">
        <w:rPr>
          <w:smallCaps/>
          <w:lang w:eastAsia="fr-FR"/>
        </w:rPr>
        <w:t>Lapied</w:t>
      </w:r>
      <w:r w:rsidRPr="00A65480">
        <w:rPr>
          <w:lang w:eastAsia="fr-FR"/>
        </w:rPr>
        <w:t>, 1997.</w:t>
      </w:r>
    </w:p>
  </w:footnote>
  <w:footnote w:id="35">
    <w:p w:rsidR="00AA693F" w:rsidRDefault="00AA693F">
      <w:pPr>
        <w:pStyle w:val="Notedebasdepage"/>
      </w:pPr>
      <w:r>
        <w:rPr>
          <w:rStyle w:val="Appelnotedebasdep"/>
        </w:rPr>
        <w:footnoteRef/>
      </w:r>
      <w:r>
        <w:t xml:space="preserve"> </w:t>
      </w:r>
      <w:r>
        <w:tab/>
      </w:r>
      <w:r w:rsidRPr="00A65480">
        <w:rPr>
          <w:lang w:eastAsia="fr-FR"/>
        </w:rPr>
        <w:t>Bien sûr, nous ne réduisons pas la lecture kantienne de la Révol</w:t>
      </w:r>
      <w:r w:rsidRPr="00A65480">
        <w:rPr>
          <w:lang w:eastAsia="fr-FR"/>
        </w:rPr>
        <w:t>u</w:t>
      </w:r>
      <w:r w:rsidRPr="00A65480">
        <w:rPr>
          <w:lang w:eastAsia="fr-FR"/>
        </w:rPr>
        <w:t xml:space="preserve">tion française à son approche esthétique. La complexité même de cette lecture a été précisée par </w:t>
      </w:r>
      <w:r w:rsidRPr="00A65480">
        <w:rPr>
          <w:smallCaps/>
          <w:lang w:eastAsia="fr-FR"/>
        </w:rPr>
        <w:t>Losurdo</w:t>
      </w:r>
      <w:r w:rsidRPr="00A65480">
        <w:rPr>
          <w:lang w:eastAsia="fr-FR"/>
        </w:rPr>
        <w:t>, 1993.</w:t>
      </w:r>
    </w:p>
  </w:footnote>
  <w:footnote w:id="36">
    <w:p w:rsidR="00AA693F" w:rsidRDefault="00AA693F">
      <w:pPr>
        <w:pStyle w:val="Notedebasdepage"/>
      </w:pPr>
      <w:r>
        <w:rPr>
          <w:rStyle w:val="Appelnotedebasdep"/>
        </w:rPr>
        <w:footnoteRef/>
      </w:r>
      <w:r>
        <w:t xml:space="preserve"> </w:t>
      </w:r>
      <w:r>
        <w:tab/>
      </w:r>
      <w:r w:rsidRPr="00A65480">
        <w:rPr>
          <w:smallCaps/>
          <w:lang w:eastAsia="fr-FR"/>
        </w:rPr>
        <w:t>Kant</w:t>
      </w:r>
      <w:r w:rsidRPr="00A65480">
        <w:rPr>
          <w:lang w:eastAsia="fr-FR"/>
        </w:rPr>
        <w:t>, Critique de la faculté de juger, p. 49. Nous avons égal</w:t>
      </w:r>
      <w:r w:rsidRPr="00A65480">
        <w:rPr>
          <w:lang w:eastAsia="fr-FR"/>
        </w:rPr>
        <w:t>e</w:t>
      </w:r>
      <w:r w:rsidRPr="00A65480">
        <w:rPr>
          <w:lang w:eastAsia="fr-FR"/>
        </w:rPr>
        <w:t>ment tenu compte de la traduction d’A. Philonenko (Paris, éditions Vrin, 1984).</w:t>
      </w:r>
    </w:p>
  </w:footnote>
  <w:footnote w:id="37">
    <w:p w:rsidR="00AA693F" w:rsidRDefault="00AA693F">
      <w:pPr>
        <w:pStyle w:val="Notedebasdepage"/>
      </w:pPr>
      <w:r>
        <w:rPr>
          <w:rStyle w:val="Appelnotedebasdep"/>
        </w:rPr>
        <w:footnoteRef/>
      </w:r>
      <w:r>
        <w:t xml:space="preserve"> </w:t>
      </w:r>
      <w:r>
        <w:tab/>
      </w:r>
      <w:r w:rsidRPr="00A65480">
        <w:rPr>
          <w:lang w:eastAsia="fr-FR"/>
        </w:rPr>
        <w:t xml:space="preserve">Voir le commentaire de ce texte proposé par </w:t>
      </w:r>
      <w:r w:rsidRPr="00A65480">
        <w:rPr>
          <w:smallCaps/>
          <w:lang w:eastAsia="fr-FR"/>
        </w:rPr>
        <w:t>Raulet,</w:t>
      </w:r>
      <w:r w:rsidRPr="00A65480">
        <w:rPr>
          <w:lang w:eastAsia="fr-FR"/>
        </w:rPr>
        <w:t>1996, chap. V, pp. 143-148.</w:t>
      </w:r>
    </w:p>
  </w:footnote>
  <w:footnote w:id="38">
    <w:p w:rsidR="00AA693F" w:rsidRDefault="00AA693F">
      <w:pPr>
        <w:pStyle w:val="Notedebasdepage"/>
      </w:pPr>
      <w:r>
        <w:rPr>
          <w:rStyle w:val="Appelnotedebasdep"/>
        </w:rPr>
        <w:footnoteRef/>
      </w:r>
      <w:r>
        <w:t xml:space="preserve"> </w:t>
      </w:r>
      <w:r>
        <w:tab/>
      </w:r>
      <w:r w:rsidRPr="00A65480">
        <w:rPr>
          <w:lang w:eastAsia="fr-FR"/>
        </w:rPr>
        <w:t xml:space="preserve">Ainsi que Michel Foucault l’a souligné avec force dans </w:t>
      </w:r>
      <w:r w:rsidRPr="00A65480">
        <w:rPr>
          <w:smallCaps/>
          <w:lang w:eastAsia="fr-FR"/>
        </w:rPr>
        <w:t>Fo</w:t>
      </w:r>
      <w:r w:rsidRPr="00A65480">
        <w:rPr>
          <w:smallCaps/>
          <w:lang w:eastAsia="fr-FR"/>
        </w:rPr>
        <w:t>u</w:t>
      </w:r>
      <w:r w:rsidRPr="00A65480">
        <w:rPr>
          <w:smallCaps/>
          <w:lang w:eastAsia="fr-FR"/>
        </w:rPr>
        <w:t>cault</w:t>
      </w:r>
      <w:r w:rsidRPr="00A65480">
        <w:rPr>
          <w:lang w:eastAsia="fr-FR"/>
        </w:rPr>
        <w:t>, 1994, pp. 679 sqq.</w:t>
      </w:r>
    </w:p>
  </w:footnote>
  <w:footnote w:id="39">
    <w:p w:rsidR="00AA693F" w:rsidRDefault="00AA693F">
      <w:pPr>
        <w:pStyle w:val="Notedebasdepage"/>
      </w:pPr>
      <w:r>
        <w:rPr>
          <w:rStyle w:val="Appelnotedebasdep"/>
        </w:rPr>
        <w:footnoteRef/>
      </w:r>
      <w:r>
        <w:t xml:space="preserve"> </w:t>
      </w:r>
      <w:r>
        <w:tab/>
      </w:r>
      <w:r w:rsidRPr="00A65480">
        <w:rPr>
          <w:lang w:eastAsia="fr-FR"/>
        </w:rPr>
        <w:t>L’événement le plus significatif en ce domaine est la mort de M</w:t>
      </w:r>
      <w:r w:rsidRPr="00A65480">
        <w:rPr>
          <w:lang w:eastAsia="fr-FR"/>
        </w:rPr>
        <w:t>a</w:t>
      </w:r>
      <w:r w:rsidRPr="00A65480">
        <w:rPr>
          <w:lang w:eastAsia="fr-FR"/>
        </w:rPr>
        <w:t xml:space="preserve">rat que nous avons étudiée dans </w:t>
      </w:r>
      <w:r w:rsidRPr="00A65480">
        <w:rPr>
          <w:smallCaps/>
          <w:lang w:eastAsia="fr-FR"/>
        </w:rPr>
        <w:t>Guilhaumou</w:t>
      </w:r>
      <w:r w:rsidRPr="00A65480">
        <w:rPr>
          <w:lang w:eastAsia="fr-FR"/>
        </w:rPr>
        <w:t>, 1986 et 1989.</w:t>
      </w:r>
    </w:p>
  </w:footnote>
  <w:footnote w:id="40">
    <w:p w:rsidR="00AA693F" w:rsidRDefault="00AA693F">
      <w:pPr>
        <w:pStyle w:val="Notedebasdepage"/>
      </w:pPr>
      <w:r>
        <w:rPr>
          <w:rStyle w:val="Appelnotedebasdep"/>
        </w:rPr>
        <w:footnoteRef/>
      </w:r>
      <w:r>
        <w:t xml:space="preserve"> </w:t>
      </w:r>
      <w:r>
        <w:tab/>
      </w:r>
      <w:r w:rsidRPr="00A65480">
        <w:rPr>
          <w:lang w:eastAsia="fr-FR"/>
        </w:rPr>
        <w:t>Hannah Arendt, après avoir commenté la Critique de la faculté de juger, préc</w:t>
      </w:r>
      <w:r w:rsidRPr="00A65480">
        <w:rPr>
          <w:lang w:eastAsia="fr-FR"/>
        </w:rPr>
        <w:t>i</w:t>
      </w:r>
      <w:r w:rsidRPr="00A65480">
        <w:rPr>
          <w:lang w:eastAsia="fr-FR"/>
        </w:rPr>
        <w:t>se que c’est le spectateur qui achève l’histoire, tant dans sa forme narrative — il en crée la mémoire — que dans sa forme pe</w:t>
      </w:r>
      <w:r w:rsidRPr="00A65480">
        <w:rPr>
          <w:lang w:eastAsia="fr-FR"/>
        </w:rPr>
        <w:t>n</w:t>
      </w:r>
      <w:r w:rsidRPr="00A65480">
        <w:rPr>
          <w:lang w:eastAsia="fr-FR"/>
        </w:rPr>
        <w:t>sée, à condition d’étendre la notion de spectateur de la personne assistant à l’événement même au philos</w:t>
      </w:r>
      <w:r w:rsidRPr="00A65480">
        <w:rPr>
          <w:lang w:eastAsia="fr-FR"/>
        </w:rPr>
        <w:t>o</w:t>
      </w:r>
      <w:r w:rsidRPr="00A65480">
        <w:rPr>
          <w:lang w:eastAsia="fr-FR"/>
        </w:rPr>
        <w:t xml:space="preserve">phe la contemplant à distance, à l’exemple des philosophes allemands. Voir, en particulier, </w:t>
      </w:r>
      <w:r w:rsidRPr="00A65480">
        <w:rPr>
          <w:smallCaps/>
          <w:lang w:eastAsia="fr-FR"/>
        </w:rPr>
        <w:t>Arendt</w:t>
      </w:r>
      <w:r w:rsidRPr="00A65480">
        <w:rPr>
          <w:lang w:eastAsia="fr-FR"/>
        </w:rPr>
        <w:t>, 1961.</w:t>
      </w:r>
    </w:p>
  </w:footnote>
  <w:footnote w:id="41">
    <w:p w:rsidR="00AA693F" w:rsidRDefault="00AA693F">
      <w:pPr>
        <w:pStyle w:val="Notedebasdepage"/>
      </w:pPr>
      <w:r>
        <w:rPr>
          <w:rStyle w:val="Appelnotedebasdep"/>
        </w:rPr>
        <w:footnoteRef/>
      </w:r>
      <w:r>
        <w:t xml:space="preserve"> </w:t>
      </w:r>
      <w:r>
        <w:tab/>
      </w:r>
      <w:r w:rsidRPr="00A65480">
        <w:rPr>
          <w:smallCaps/>
          <w:lang w:eastAsia="fr-FR"/>
        </w:rPr>
        <w:t>Kant</w:t>
      </w:r>
      <w:r w:rsidRPr="00A65480">
        <w:rPr>
          <w:lang w:eastAsia="fr-FR"/>
        </w:rPr>
        <w:t>, Critique de la faculté de juger, p. 226.</w:t>
      </w:r>
    </w:p>
  </w:footnote>
  <w:footnote w:id="42">
    <w:p w:rsidR="00AA693F" w:rsidRDefault="00AA693F">
      <w:pPr>
        <w:pStyle w:val="Notedebasdepage"/>
      </w:pPr>
      <w:r>
        <w:rPr>
          <w:rStyle w:val="Appelnotedebasdep"/>
        </w:rPr>
        <w:footnoteRef/>
      </w:r>
      <w:r>
        <w:t xml:space="preserve"> </w:t>
      </w:r>
      <w:r>
        <w:tab/>
      </w:r>
      <w:r w:rsidRPr="00A65480">
        <w:rPr>
          <w:smallCaps/>
          <w:lang w:eastAsia="fr-FR"/>
        </w:rPr>
        <w:t>Compagnon</w:t>
      </w:r>
      <w:r w:rsidRPr="00A65480">
        <w:rPr>
          <w:lang w:eastAsia="fr-FR"/>
        </w:rPr>
        <w:t>, 2005, p. 447.</w:t>
      </w:r>
    </w:p>
  </w:footnote>
  <w:footnote w:id="43">
    <w:p w:rsidR="00AA693F" w:rsidRDefault="00AA693F">
      <w:pPr>
        <w:pStyle w:val="Notedebasdepage"/>
      </w:pPr>
      <w:r>
        <w:rPr>
          <w:rStyle w:val="Appelnotedebasdep"/>
        </w:rPr>
        <w:footnoteRef/>
      </w:r>
      <w:r>
        <w:t xml:space="preserve"> </w:t>
      </w:r>
      <w:r>
        <w:tab/>
      </w:r>
      <w:r w:rsidRPr="00A65480">
        <w:rPr>
          <w:lang w:eastAsia="fr-FR"/>
        </w:rPr>
        <w:t>Antoine Compagnon en dresse un portrait, sur la base de leur génie prospectif, dans ibid., p. 111 sqq.</w:t>
      </w:r>
    </w:p>
  </w:footnote>
  <w:footnote w:id="44">
    <w:p w:rsidR="00AA693F" w:rsidRDefault="00AA693F">
      <w:pPr>
        <w:pStyle w:val="Notedebasdepage"/>
      </w:pPr>
      <w:r>
        <w:rPr>
          <w:rStyle w:val="Appelnotedebasdep"/>
        </w:rPr>
        <w:footnoteRef/>
      </w:r>
      <w:r>
        <w:t xml:space="preserve"> </w:t>
      </w:r>
      <w:r>
        <w:tab/>
      </w:r>
      <w:r w:rsidRPr="00A65480">
        <w:rPr>
          <w:lang w:eastAsia="fr-FR"/>
        </w:rPr>
        <w:t>Voir le chap. V de la première partie dans ibid.</w:t>
      </w:r>
    </w:p>
  </w:footnote>
  <w:footnote w:id="45">
    <w:p w:rsidR="00AA693F" w:rsidRDefault="00AA693F">
      <w:pPr>
        <w:pStyle w:val="Notedebasdepage"/>
      </w:pPr>
      <w:r>
        <w:rPr>
          <w:rStyle w:val="Appelnotedebasdep"/>
        </w:rPr>
        <w:footnoteRef/>
      </w:r>
      <w:r>
        <w:t xml:space="preserve"> </w:t>
      </w:r>
      <w:r>
        <w:tab/>
      </w:r>
      <w:r w:rsidRPr="00A65480">
        <w:rPr>
          <w:lang w:eastAsia="fr-FR"/>
        </w:rPr>
        <w:t>Ibid., pp. 15 et 113.</w:t>
      </w:r>
    </w:p>
  </w:footnote>
  <w:footnote w:id="46">
    <w:p w:rsidR="00AA693F" w:rsidRDefault="00AA693F">
      <w:pPr>
        <w:pStyle w:val="Notedebasdepage"/>
      </w:pPr>
      <w:r>
        <w:rPr>
          <w:rStyle w:val="Appelnotedebasdep"/>
        </w:rPr>
        <w:footnoteRef/>
      </w:r>
      <w:r>
        <w:t xml:space="preserve"> </w:t>
      </w:r>
      <w:r>
        <w:tab/>
      </w:r>
      <w:r w:rsidRPr="00A65480">
        <w:rPr>
          <w:lang w:eastAsia="fr-FR"/>
        </w:rPr>
        <w:t xml:space="preserve">Nous suivons présentement l’analyse de </w:t>
      </w:r>
      <w:r w:rsidRPr="00A65480">
        <w:rPr>
          <w:smallCaps/>
          <w:lang w:eastAsia="fr-FR"/>
        </w:rPr>
        <w:t>Dufour</w:t>
      </w:r>
      <w:r w:rsidRPr="00A65480">
        <w:rPr>
          <w:lang w:eastAsia="fr-FR"/>
        </w:rPr>
        <w:t>, 2004.</w:t>
      </w:r>
    </w:p>
  </w:footnote>
  <w:footnote w:id="47">
    <w:p w:rsidR="00AA693F" w:rsidRDefault="00AA693F">
      <w:pPr>
        <w:pStyle w:val="Notedebasdepage"/>
      </w:pPr>
      <w:r>
        <w:rPr>
          <w:rStyle w:val="Appelnotedebasdep"/>
        </w:rPr>
        <w:footnoteRef/>
      </w:r>
      <w:r>
        <w:t xml:space="preserve"> </w:t>
      </w:r>
      <w:r>
        <w:tab/>
      </w:r>
      <w:r w:rsidRPr="00A65480">
        <w:rPr>
          <w:smallCaps/>
          <w:lang w:eastAsia="fr-FR"/>
        </w:rPr>
        <w:t>Gracq</w:t>
      </w:r>
      <w:r w:rsidRPr="00A65480">
        <w:rPr>
          <w:lang w:eastAsia="fr-FR"/>
        </w:rPr>
        <w:t>, 1989, p. 869.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93F" w:rsidRDefault="00AA693F" w:rsidP="00AA693F">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Jacques Guilhaumou, “La modernité politique de la Révolution française</w:t>
    </w:r>
    <w:r w:rsidRPr="00567B6C">
      <w:rPr>
        <w:rFonts w:ascii="Times New Roman" w:hAnsi="Times New Roman"/>
      </w:rPr>
      <w:t>.</w:t>
    </w:r>
    <w:r>
      <w:rPr>
        <w:rFonts w:ascii="Times New Roman" w:hAnsi="Times New Roman"/>
      </w:rPr>
      <w:t>”</w:t>
    </w:r>
    <w:r w:rsidRPr="00C90835">
      <w:rPr>
        <w:rFonts w:ascii="Times New Roman" w:hAnsi="Times New Roman"/>
      </w:rPr>
      <w:t xml:space="preserve"> </w:t>
    </w:r>
    <w:r>
      <w:rPr>
        <w:rFonts w:ascii="Times New Roman" w:hAnsi="Times New Roman"/>
      </w:rPr>
      <w:t>(2006)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F6CA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rsidR="00AA693F" w:rsidRDefault="00AA693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04C"/>
    <w:multiLevelType w:val="multilevel"/>
    <w:tmpl w:val="B482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2171"/>
    <w:multiLevelType w:val="multilevel"/>
    <w:tmpl w:val="5B2A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2F71"/>
    <w:multiLevelType w:val="multilevel"/>
    <w:tmpl w:val="9FBA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74EE"/>
    <w:multiLevelType w:val="multilevel"/>
    <w:tmpl w:val="5C8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A23B0"/>
    <w:multiLevelType w:val="multilevel"/>
    <w:tmpl w:val="895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B0272"/>
    <w:multiLevelType w:val="multilevel"/>
    <w:tmpl w:val="F32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724FF"/>
    <w:multiLevelType w:val="multilevel"/>
    <w:tmpl w:val="2774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85D2F"/>
    <w:multiLevelType w:val="multilevel"/>
    <w:tmpl w:val="38CA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F1248"/>
    <w:multiLevelType w:val="multilevel"/>
    <w:tmpl w:val="1B7C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765CD"/>
    <w:multiLevelType w:val="multilevel"/>
    <w:tmpl w:val="6CEC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F4661"/>
    <w:multiLevelType w:val="multilevel"/>
    <w:tmpl w:val="50EA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87148"/>
    <w:multiLevelType w:val="multilevel"/>
    <w:tmpl w:val="6C1C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E6A2E"/>
    <w:multiLevelType w:val="multilevel"/>
    <w:tmpl w:val="594E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53FC7"/>
    <w:multiLevelType w:val="multilevel"/>
    <w:tmpl w:val="D8C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E0919"/>
    <w:multiLevelType w:val="multilevel"/>
    <w:tmpl w:val="6A60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D52E7"/>
    <w:multiLevelType w:val="multilevel"/>
    <w:tmpl w:val="4376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441DB"/>
    <w:multiLevelType w:val="multilevel"/>
    <w:tmpl w:val="4F5E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5153A4"/>
    <w:multiLevelType w:val="multilevel"/>
    <w:tmpl w:val="1C6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D2139"/>
    <w:multiLevelType w:val="multilevel"/>
    <w:tmpl w:val="A4D2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B7EB4"/>
    <w:multiLevelType w:val="multilevel"/>
    <w:tmpl w:val="45A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F1107"/>
    <w:multiLevelType w:val="multilevel"/>
    <w:tmpl w:val="F502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A3B40"/>
    <w:multiLevelType w:val="multilevel"/>
    <w:tmpl w:val="6FE6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F544D"/>
    <w:multiLevelType w:val="multilevel"/>
    <w:tmpl w:val="C91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257E2"/>
    <w:multiLevelType w:val="multilevel"/>
    <w:tmpl w:val="A5E8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96DD1"/>
    <w:multiLevelType w:val="multilevel"/>
    <w:tmpl w:val="58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B5A14"/>
    <w:multiLevelType w:val="multilevel"/>
    <w:tmpl w:val="EEA24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B6230B"/>
    <w:multiLevelType w:val="multilevel"/>
    <w:tmpl w:val="252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23C84"/>
    <w:multiLevelType w:val="multilevel"/>
    <w:tmpl w:val="CBB4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C5667"/>
    <w:multiLevelType w:val="multilevel"/>
    <w:tmpl w:val="C59E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04C53"/>
    <w:multiLevelType w:val="multilevel"/>
    <w:tmpl w:val="9E42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42AEF"/>
    <w:multiLevelType w:val="multilevel"/>
    <w:tmpl w:val="B0B2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D07C8"/>
    <w:multiLevelType w:val="multilevel"/>
    <w:tmpl w:val="6BB8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E0F7E"/>
    <w:multiLevelType w:val="multilevel"/>
    <w:tmpl w:val="2360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9B7489"/>
    <w:multiLevelType w:val="multilevel"/>
    <w:tmpl w:val="EF24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D235F8"/>
    <w:multiLevelType w:val="multilevel"/>
    <w:tmpl w:val="490A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7A1A67"/>
    <w:multiLevelType w:val="multilevel"/>
    <w:tmpl w:val="2D5C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43084"/>
    <w:multiLevelType w:val="multilevel"/>
    <w:tmpl w:val="ED0E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A73E4C"/>
    <w:multiLevelType w:val="multilevel"/>
    <w:tmpl w:val="70C0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20"/>
  </w:num>
  <w:num w:numId="4">
    <w:abstractNumId w:val="7"/>
  </w:num>
  <w:num w:numId="5">
    <w:abstractNumId w:val="38"/>
  </w:num>
  <w:num w:numId="6">
    <w:abstractNumId w:val="29"/>
  </w:num>
  <w:num w:numId="7">
    <w:abstractNumId w:val="3"/>
  </w:num>
  <w:num w:numId="8">
    <w:abstractNumId w:val="34"/>
  </w:num>
  <w:num w:numId="9">
    <w:abstractNumId w:val="14"/>
  </w:num>
  <w:num w:numId="10">
    <w:abstractNumId w:val="16"/>
  </w:num>
  <w:num w:numId="11">
    <w:abstractNumId w:val="26"/>
  </w:num>
  <w:num w:numId="12">
    <w:abstractNumId w:val="6"/>
  </w:num>
  <w:num w:numId="13">
    <w:abstractNumId w:val="36"/>
  </w:num>
  <w:num w:numId="14">
    <w:abstractNumId w:val="18"/>
  </w:num>
  <w:num w:numId="15">
    <w:abstractNumId w:val="32"/>
  </w:num>
  <w:num w:numId="16">
    <w:abstractNumId w:val="25"/>
  </w:num>
  <w:num w:numId="17">
    <w:abstractNumId w:val="2"/>
  </w:num>
  <w:num w:numId="18">
    <w:abstractNumId w:val="11"/>
  </w:num>
  <w:num w:numId="19">
    <w:abstractNumId w:val="4"/>
  </w:num>
  <w:num w:numId="20">
    <w:abstractNumId w:val="0"/>
  </w:num>
  <w:num w:numId="21">
    <w:abstractNumId w:val="10"/>
  </w:num>
  <w:num w:numId="22">
    <w:abstractNumId w:val="12"/>
  </w:num>
  <w:num w:numId="23">
    <w:abstractNumId w:val="30"/>
  </w:num>
  <w:num w:numId="24">
    <w:abstractNumId w:val="23"/>
  </w:num>
  <w:num w:numId="25">
    <w:abstractNumId w:val="5"/>
  </w:num>
  <w:num w:numId="26">
    <w:abstractNumId w:val="22"/>
  </w:num>
  <w:num w:numId="27">
    <w:abstractNumId w:val="28"/>
  </w:num>
  <w:num w:numId="28">
    <w:abstractNumId w:val="15"/>
  </w:num>
  <w:num w:numId="29">
    <w:abstractNumId w:val="27"/>
  </w:num>
  <w:num w:numId="30">
    <w:abstractNumId w:val="24"/>
  </w:num>
  <w:num w:numId="31">
    <w:abstractNumId w:val="17"/>
  </w:num>
  <w:num w:numId="32">
    <w:abstractNumId w:val="31"/>
  </w:num>
  <w:num w:numId="33">
    <w:abstractNumId w:val="9"/>
  </w:num>
  <w:num w:numId="34">
    <w:abstractNumId w:val="35"/>
  </w:num>
  <w:num w:numId="35">
    <w:abstractNumId w:val="8"/>
  </w:num>
  <w:num w:numId="36">
    <w:abstractNumId w:val="13"/>
  </w:num>
  <w:num w:numId="37">
    <w:abstractNumId w:val="33"/>
  </w:num>
  <w:num w:numId="38">
    <w:abstractNumId w:val="3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24D86"/>
    <w:rsid w:val="002A5CCA"/>
    <w:rsid w:val="00AA693F"/>
    <w:rsid w:val="00CF6CA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BEC0126"/>
  <w15:chartTrackingRefBased/>
  <w15:docId w15:val="{82D50D44-B5F1-2346-B33E-DBA0AE54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Grid Accent 1" w:uiPriority="29"/>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2" w:uiPriority="37"/>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uiPriority w:val="9"/>
    <w:qFormat/>
    <w:rsid w:val="006614FD"/>
    <w:pPr>
      <w:outlineLvl w:val="0"/>
    </w:pPr>
    <w:rPr>
      <w:rFonts w:eastAsia="Times New Roman"/>
      <w:noProof/>
      <w:lang w:eastAsia="en-US"/>
    </w:rPr>
  </w:style>
  <w:style w:type="paragraph" w:styleId="Titre2">
    <w:name w:val="heading 2"/>
    <w:next w:val="Normal"/>
    <w:link w:val="Titre2Car"/>
    <w:uiPriority w:val="9"/>
    <w:qFormat/>
    <w:rsid w:val="006614FD"/>
    <w:pPr>
      <w:outlineLvl w:val="1"/>
    </w:pPr>
    <w:rPr>
      <w:rFonts w:eastAsia="Times New Roman"/>
      <w:noProof/>
      <w:lang w:eastAsia="en-US"/>
    </w:rPr>
  </w:style>
  <w:style w:type="paragraph" w:styleId="Titre3">
    <w:name w:val="heading 3"/>
    <w:next w:val="Normal"/>
    <w:link w:val="Titre3Car"/>
    <w:uiPriority w:val="9"/>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aliases w:val="citation"/>
    <w:basedOn w:val="Normal"/>
    <w:link w:val="Grillecouleur-Accent1Car"/>
    <w:autoRedefine/>
    <w:uiPriority w:val="29"/>
    <w:rsid w:val="00747CD6"/>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uiPriority w:val="99"/>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8464B"/>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aliases w:val="bibliographie"/>
    <w:basedOn w:val="Normal"/>
    <w:uiPriority w:val="37"/>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aliases w:val="citation Car"/>
    <w:basedOn w:val="Policepardfaut"/>
    <w:link w:val="Grillecouleur-Accent1"/>
    <w:uiPriority w:val="29"/>
    <w:rsid w:val="00747CD6"/>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6D240E"/>
    <w:rPr>
      <w:rFonts w:ascii="Times New Roman" w:eastAsia="Times New Roman" w:hAnsi="Times New Roman"/>
      <w:sz w:val="72"/>
      <w:lang w:val="fr-CA" w:eastAsia="en-US"/>
    </w:rPr>
  </w:style>
  <w:style w:type="paragraph" w:styleId="Corpsdetexte2">
    <w:name w:val="Body Text 2"/>
    <w:basedOn w:val="Normal"/>
    <w:link w:val="Corpsdetexte2Car"/>
    <w:rsid w:val="006D240E"/>
    <w:pPr>
      <w:jc w:val="both"/>
    </w:pPr>
    <w:rPr>
      <w:rFonts w:ascii="Arial" w:hAnsi="Arial"/>
    </w:rPr>
  </w:style>
  <w:style w:type="character" w:customStyle="1" w:styleId="Corpsdetexte2Car">
    <w:name w:val="Corps de texte 2 Car"/>
    <w:basedOn w:val="Policepardfaut"/>
    <w:link w:val="Corpsdetexte2"/>
    <w:rsid w:val="006D240E"/>
    <w:rPr>
      <w:rFonts w:ascii="Arial" w:eastAsia="Times New Roman" w:hAnsi="Arial"/>
      <w:sz w:val="28"/>
      <w:lang w:val="fr-CA" w:eastAsia="en-US"/>
    </w:rPr>
  </w:style>
  <w:style w:type="paragraph" w:styleId="Corpsdetexte3">
    <w:name w:val="Body Text 3"/>
    <w:basedOn w:val="Normal"/>
    <w:link w:val="Corpsdetexte3Car"/>
    <w:rsid w:val="006D240E"/>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6D240E"/>
    <w:rPr>
      <w:rFonts w:ascii="Arial" w:eastAsia="Times New Roman" w:hAnsi="Arial"/>
      <w:lang w:val="fr-CA" w:eastAsia="en-US"/>
    </w:rPr>
  </w:style>
  <w:style w:type="character" w:customStyle="1" w:styleId="En-tteCar">
    <w:name w:val="En-tête Car"/>
    <w:basedOn w:val="Policepardfaut"/>
    <w:link w:val="En-tte"/>
    <w:uiPriority w:val="99"/>
    <w:rsid w:val="006D240E"/>
    <w:rPr>
      <w:rFonts w:ascii="GillSans" w:eastAsia="Times New Roman" w:hAnsi="GillSans"/>
      <w:lang w:val="fr-CA" w:eastAsia="en-US"/>
    </w:rPr>
  </w:style>
  <w:style w:type="character" w:customStyle="1" w:styleId="NotedebasdepageCar">
    <w:name w:val="Note de bas de page Car"/>
    <w:basedOn w:val="Policepardfaut"/>
    <w:link w:val="Notedebasdepage"/>
    <w:rsid w:val="00E8464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6D240E"/>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6D240E"/>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6D240E"/>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6D240E"/>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D240E"/>
    <w:rPr>
      <w:rFonts w:ascii="Arial" w:eastAsia="Times New Roman" w:hAnsi="Arial"/>
      <w:sz w:val="28"/>
      <w:lang w:val="fr-CA" w:eastAsia="en-US"/>
    </w:rPr>
  </w:style>
  <w:style w:type="character" w:customStyle="1" w:styleId="TitreCar">
    <w:name w:val="Titre Car"/>
    <w:basedOn w:val="Policepardfaut"/>
    <w:link w:val="Titre"/>
    <w:rsid w:val="006D240E"/>
    <w:rPr>
      <w:rFonts w:ascii="Times New Roman" w:eastAsia="Times New Roman" w:hAnsi="Times New Roman"/>
      <w:b/>
      <w:sz w:val="48"/>
      <w:lang w:val="fr-CA" w:eastAsia="en-US"/>
    </w:rPr>
  </w:style>
  <w:style w:type="character" w:customStyle="1" w:styleId="Titre1Car">
    <w:name w:val="Titre 1 Car"/>
    <w:basedOn w:val="Policepardfaut"/>
    <w:link w:val="Titre1"/>
    <w:uiPriority w:val="9"/>
    <w:rsid w:val="006D240E"/>
    <w:rPr>
      <w:rFonts w:eastAsia="Times New Roman"/>
      <w:noProof/>
      <w:lang w:val="fr-CA" w:eastAsia="en-US" w:bidi="ar-SA"/>
    </w:rPr>
  </w:style>
  <w:style w:type="character" w:customStyle="1" w:styleId="Titre2Car">
    <w:name w:val="Titre 2 Car"/>
    <w:basedOn w:val="Policepardfaut"/>
    <w:link w:val="Titre2"/>
    <w:uiPriority w:val="9"/>
    <w:rsid w:val="006D240E"/>
    <w:rPr>
      <w:rFonts w:eastAsia="Times New Roman"/>
      <w:noProof/>
      <w:lang w:val="fr-CA" w:eastAsia="en-US" w:bidi="ar-SA"/>
    </w:rPr>
  </w:style>
  <w:style w:type="character" w:customStyle="1" w:styleId="Titre3Car">
    <w:name w:val="Titre 3 Car"/>
    <w:basedOn w:val="Policepardfaut"/>
    <w:link w:val="Titre3"/>
    <w:uiPriority w:val="9"/>
    <w:rsid w:val="006D240E"/>
    <w:rPr>
      <w:rFonts w:eastAsia="Times New Roman"/>
      <w:noProof/>
      <w:lang w:val="fr-CA" w:eastAsia="en-US" w:bidi="ar-SA"/>
    </w:rPr>
  </w:style>
  <w:style w:type="character" w:customStyle="1" w:styleId="Titre4Car">
    <w:name w:val="Titre 4 Car"/>
    <w:basedOn w:val="Policepardfaut"/>
    <w:link w:val="Titre4"/>
    <w:rsid w:val="006D240E"/>
    <w:rPr>
      <w:rFonts w:eastAsia="Times New Roman"/>
      <w:noProof/>
      <w:lang w:val="fr-CA" w:eastAsia="en-US" w:bidi="ar-SA"/>
    </w:rPr>
  </w:style>
  <w:style w:type="character" w:customStyle="1" w:styleId="Titre5Car">
    <w:name w:val="Titre 5 Car"/>
    <w:basedOn w:val="Policepardfaut"/>
    <w:link w:val="Titre5"/>
    <w:rsid w:val="006D240E"/>
    <w:rPr>
      <w:rFonts w:eastAsia="Times New Roman"/>
      <w:noProof/>
      <w:lang w:val="fr-CA" w:eastAsia="en-US" w:bidi="ar-SA"/>
    </w:rPr>
  </w:style>
  <w:style w:type="character" w:customStyle="1" w:styleId="Titre6Car">
    <w:name w:val="Titre 6 Car"/>
    <w:basedOn w:val="Policepardfaut"/>
    <w:link w:val="Titre6"/>
    <w:rsid w:val="006D240E"/>
    <w:rPr>
      <w:rFonts w:eastAsia="Times New Roman"/>
      <w:noProof/>
      <w:lang w:val="fr-CA" w:eastAsia="en-US" w:bidi="ar-SA"/>
    </w:rPr>
  </w:style>
  <w:style w:type="character" w:customStyle="1" w:styleId="Titre7Car">
    <w:name w:val="Titre 7 Car"/>
    <w:basedOn w:val="Policepardfaut"/>
    <w:link w:val="Titre7"/>
    <w:rsid w:val="006D240E"/>
    <w:rPr>
      <w:rFonts w:eastAsia="Times New Roman"/>
      <w:noProof/>
      <w:lang w:val="fr-CA" w:eastAsia="en-US" w:bidi="ar-SA"/>
    </w:rPr>
  </w:style>
  <w:style w:type="character" w:customStyle="1" w:styleId="Titre8Car">
    <w:name w:val="Titre 8 Car"/>
    <w:basedOn w:val="Policepardfaut"/>
    <w:link w:val="Titre8"/>
    <w:rsid w:val="006D240E"/>
    <w:rPr>
      <w:rFonts w:eastAsia="Times New Roman"/>
      <w:noProof/>
      <w:lang w:val="fr-CA" w:eastAsia="en-US" w:bidi="ar-SA"/>
    </w:rPr>
  </w:style>
  <w:style w:type="character" w:customStyle="1" w:styleId="Titre9Car">
    <w:name w:val="Titre 9 Car"/>
    <w:basedOn w:val="Policepardfaut"/>
    <w:link w:val="Titre9"/>
    <w:rsid w:val="006D240E"/>
    <w:rPr>
      <w:rFonts w:eastAsia="Times New Roman"/>
      <w:noProof/>
      <w:lang w:val="fr-CA" w:eastAsia="en-US" w:bidi="ar-SA"/>
    </w:rPr>
  </w:style>
  <w:style w:type="paragraph" w:customStyle="1" w:styleId="b">
    <w:name w:val="b"/>
    <w:basedOn w:val="Normal"/>
    <w:autoRedefine/>
    <w:rsid w:val="006D240E"/>
    <w:pPr>
      <w:spacing w:before="120" w:after="120"/>
      <w:ind w:left="720" w:firstLine="0"/>
    </w:pPr>
    <w:rPr>
      <w:i/>
      <w:color w:val="0000FF"/>
      <w:lang w:eastAsia="fr-FR" w:bidi="fr-FR"/>
    </w:rPr>
  </w:style>
  <w:style w:type="paragraph" w:customStyle="1" w:styleId="figlgende">
    <w:name w:val="fig légende"/>
    <w:basedOn w:val="Normal0"/>
    <w:rsid w:val="006D240E"/>
    <w:rPr>
      <w:color w:val="000090"/>
      <w:sz w:val="24"/>
      <w:szCs w:val="16"/>
      <w:lang w:eastAsia="fr-FR"/>
    </w:rPr>
  </w:style>
  <w:style w:type="paragraph" w:customStyle="1" w:styleId="figst">
    <w:name w:val="fig st"/>
    <w:basedOn w:val="Normal"/>
    <w:autoRedefine/>
    <w:rsid w:val="006D240E"/>
    <w:pPr>
      <w:spacing w:before="120" w:after="120"/>
      <w:jc w:val="center"/>
    </w:pPr>
    <w:rPr>
      <w:rFonts w:cs="Arial"/>
      <w:color w:val="000090"/>
      <w:sz w:val="24"/>
      <w:szCs w:val="16"/>
    </w:rPr>
  </w:style>
  <w:style w:type="paragraph" w:customStyle="1" w:styleId="figtitre">
    <w:name w:val="fig titre"/>
    <w:basedOn w:val="Normal"/>
    <w:autoRedefine/>
    <w:rsid w:val="006D240E"/>
    <w:pPr>
      <w:spacing w:before="120" w:after="120"/>
      <w:ind w:firstLine="0"/>
      <w:jc w:val="center"/>
    </w:pPr>
    <w:rPr>
      <w:rFonts w:cs="Arial"/>
      <w:b/>
      <w:bCs/>
      <w:color w:val="000000"/>
      <w:sz w:val="24"/>
      <w:szCs w:val="12"/>
    </w:rPr>
  </w:style>
  <w:style w:type="paragraph" w:customStyle="1" w:styleId="aa">
    <w:name w:val="aa"/>
    <w:basedOn w:val="Normal"/>
    <w:autoRedefine/>
    <w:rsid w:val="006D240E"/>
    <w:pPr>
      <w:spacing w:before="120" w:after="120"/>
      <w:ind w:firstLine="0"/>
      <w:jc w:val="both"/>
    </w:pPr>
    <w:rPr>
      <w:b/>
      <w:i/>
      <w:color w:val="FF0000"/>
      <w:sz w:val="32"/>
      <w:lang w:bidi="fr-FR"/>
    </w:rPr>
  </w:style>
  <w:style w:type="paragraph" w:customStyle="1" w:styleId="bb">
    <w:name w:val="bb"/>
    <w:basedOn w:val="Normal"/>
    <w:rsid w:val="006D240E"/>
    <w:pPr>
      <w:spacing w:before="120" w:after="120"/>
      <w:ind w:left="540" w:firstLine="0"/>
    </w:pPr>
    <w:rPr>
      <w:i/>
      <w:color w:val="0000FF"/>
      <w:lang w:bidi="fr-FR"/>
    </w:rPr>
  </w:style>
  <w:style w:type="paragraph" w:customStyle="1" w:styleId="dd">
    <w:name w:val="dd"/>
    <w:basedOn w:val="Normal"/>
    <w:autoRedefine/>
    <w:rsid w:val="006D240E"/>
    <w:pPr>
      <w:spacing w:before="120" w:after="120"/>
      <w:ind w:left="1080" w:firstLine="0"/>
    </w:pPr>
    <w:rPr>
      <w:i/>
      <w:color w:val="008000"/>
      <w:lang w:bidi="fr-FR"/>
    </w:rPr>
  </w:style>
  <w:style w:type="character" w:customStyle="1" w:styleId="text">
    <w:name w:val="text"/>
    <w:basedOn w:val="Policepardfaut"/>
    <w:rsid w:val="006D240E"/>
  </w:style>
  <w:style w:type="paragraph" w:customStyle="1" w:styleId="resume">
    <w:name w:val="resume"/>
    <w:basedOn w:val="Normal"/>
    <w:rsid w:val="006D240E"/>
    <w:pPr>
      <w:spacing w:beforeLines="1" w:afterLines="1"/>
      <w:ind w:firstLine="0"/>
    </w:pPr>
    <w:rPr>
      <w:rFonts w:ascii="Times" w:hAnsi="Times"/>
      <w:sz w:val="20"/>
      <w:lang w:val="fr-FR" w:eastAsia="fr-FR"/>
    </w:rPr>
  </w:style>
  <w:style w:type="paragraph" w:customStyle="1" w:styleId="resumen">
    <w:name w:val="resumen"/>
    <w:basedOn w:val="Normal"/>
    <w:rsid w:val="006D240E"/>
    <w:pPr>
      <w:spacing w:beforeLines="1" w:afterLines="1"/>
      <w:ind w:firstLine="0"/>
    </w:pPr>
    <w:rPr>
      <w:rFonts w:ascii="Times" w:hAnsi="Times"/>
      <w:sz w:val="20"/>
      <w:lang w:val="fr-FR" w:eastAsia="fr-FR"/>
    </w:rPr>
  </w:style>
  <w:style w:type="paragraph" w:customStyle="1" w:styleId="abstract">
    <w:name w:val="abstract"/>
    <w:basedOn w:val="Normal"/>
    <w:rsid w:val="006D240E"/>
    <w:pPr>
      <w:spacing w:beforeLines="1" w:afterLines="1"/>
      <w:ind w:firstLine="0"/>
    </w:pPr>
    <w:rPr>
      <w:rFonts w:ascii="Times" w:hAnsi="Times"/>
      <w:sz w:val="20"/>
      <w:lang w:val="fr-FR" w:eastAsia="fr-FR"/>
    </w:rPr>
  </w:style>
  <w:style w:type="character" w:customStyle="1" w:styleId="fileinfo">
    <w:name w:val="fileinfo"/>
    <w:basedOn w:val="Policepardfaut"/>
    <w:rsid w:val="006D240E"/>
  </w:style>
  <w:style w:type="paragraph" w:customStyle="1" w:styleId="texte">
    <w:name w:val="texte"/>
    <w:basedOn w:val="Normal"/>
    <w:rsid w:val="006D240E"/>
    <w:pPr>
      <w:spacing w:beforeLines="1" w:afterLines="1"/>
      <w:ind w:firstLine="0"/>
    </w:pPr>
    <w:rPr>
      <w:rFonts w:ascii="Times" w:hAnsi="Times"/>
      <w:sz w:val="20"/>
      <w:lang w:val="fr-FR" w:eastAsia="fr-FR"/>
    </w:rPr>
  </w:style>
  <w:style w:type="character" w:customStyle="1" w:styleId="paranumber">
    <w:name w:val="paranumber"/>
    <w:basedOn w:val="Policepardfaut"/>
    <w:rsid w:val="006D240E"/>
  </w:style>
  <w:style w:type="character" w:customStyle="1" w:styleId="num">
    <w:name w:val="num"/>
    <w:basedOn w:val="Policepardfaut"/>
    <w:rsid w:val="006D240E"/>
  </w:style>
  <w:style w:type="character" w:styleId="Accentuation">
    <w:name w:val="Emphasis"/>
    <w:basedOn w:val="Policepardfaut"/>
    <w:uiPriority w:val="20"/>
    <w:qFormat/>
    <w:rsid w:val="006D240E"/>
    <w:rPr>
      <w:i/>
    </w:rPr>
  </w:style>
  <w:style w:type="paragraph" w:customStyle="1" w:styleId="puces">
    <w:name w:val="puces"/>
    <w:basedOn w:val="Normal"/>
    <w:rsid w:val="006D240E"/>
    <w:pPr>
      <w:spacing w:beforeLines="1" w:afterLines="1"/>
      <w:ind w:firstLine="0"/>
    </w:pPr>
    <w:rPr>
      <w:rFonts w:ascii="Times" w:hAnsi="Times"/>
      <w:sz w:val="20"/>
      <w:lang w:val="fr-FR" w:eastAsia="fr-FR"/>
    </w:rPr>
  </w:style>
  <w:style w:type="paragraph" w:customStyle="1" w:styleId="notebaspage">
    <w:name w:val="notebaspage"/>
    <w:basedOn w:val="Normal"/>
    <w:rsid w:val="006D240E"/>
    <w:pPr>
      <w:spacing w:beforeLines="1" w:afterLines="1"/>
      <w:ind w:firstLine="0"/>
    </w:pPr>
    <w:rPr>
      <w:rFonts w:ascii="Times" w:hAnsi="Times"/>
      <w:sz w:val="20"/>
      <w:lang w:val="fr-FR" w:eastAsia="fr-FR"/>
    </w:rPr>
  </w:style>
  <w:style w:type="character" w:styleId="lev">
    <w:name w:val="Strong"/>
    <w:basedOn w:val="Policepardfaut"/>
    <w:uiPriority w:val="22"/>
    <w:qFormat/>
    <w:rsid w:val="006D240E"/>
    <w:rPr>
      <w:b/>
    </w:rPr>
  </w:style>
  <w:style w:type="character" w:customStyle="1" w:styleId="familyname">
    <w:name w:val="familyname"/>
    <w:basedOn w:val="Policepardfaut"/>
    <w:rsid w:val="006D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x.doi.org/10.3406/dhs.1998.2236"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j.guilhaumou@free.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10.3917/puf.binoc.199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dx.doi.org/10.1017/CBO9780511598579"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s://doi.org/10.4000/mcv.2262" TargetMode="External"/><Relationship Id="rId22" Type="http://schemas.openxmlformats.org/officeDocument/2006/relationships/hyperlink" Target="http://dx.doi.org/10.3917/puf.raule.1996.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8444</Words>
  <Characters>46445</Characters>
  <Application>Microsoft Office Word</Application>
  <DocSecurity>0</DocSecurity>
  <Lines>387</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modernité politique de la Révolution française.”</vt:lpstr>
      <vt:lpstr>“La modernité politique de la Révolution française.”</vt:lpstr>
    </vt:vector>
  </TitlesOfParts>
  <Manager>Jean marie Tremblay, sociologue, bénévole, 2021</Manager>
  <Company>Les Classiques des sciences sociales</Company>
  <LinksUpToDate>false</LinksUpToDate>
  <CharactersWithSpaces>54780</CharactersWithSpaces>
  <SharedDoc>false</SharedDoc>
  <HyperlinkBase/>
  <HLinks>
    <vt:vector size="144" baseType="variant">
      <vt:variant>
        <vt:i4>3145836</vt:i4>
      </vt:variant>
      <vt:variant>
        <vt:i4>69</vt:i4>
      </vt:variant>
      <vt:variant>
        <vt:i4>0</vt:i4>
      </vt:variant>
      <vt:variant>
        <vt:i4>5</vt:i4>
      </vt:variant>
      <vt:variant>
        <vt:lpwstr>http://dx.doi.org/10.1017/CBO9780511598579</vt:lpwstr>
      </vt:variant>
      <vt:variant>
        <vt:lpwstr/>
      </vt:variant>
      <vt:variant>
        <vt:i4>2555959</vt:i4>
      </vt:variant>
      <vt:variant>
        <vt:i4>66</vt:i4>
      </vt:variant>
      <vt:variant>
        <vt:i4>0</vt:i4>
      </vt:variant>
      <vt:variant>
        <vt:i4>5</vt:i4>
      </vt:variant>
      <vt:variant>
        <vt:lpwstr>http://dx.doi.org/10.3917/puf.raule.1996.01</vt:lpwstr>
      </vt:variant>
      <vt:variant>
        <vt:lpwstr/>
      </vt:variant>
      <vt:variant>
        <vt:i4>2556010</vt:i4>
      </vt:variant>
      <vt:variant>
        <vt:i4>63</vt:i4>
      </vt:variant>
      <vt:variant>
        <vt:i4>0</vt:i4>
      </vt:variant>
      <vt:variant>
        <vt:i4>5</vt:i4>
      </vt:variant>
      <vt:variant>
        <vt:lpwstr>http://dx.doi.org/10.3406/dhs.1998.2236</vt:lpwstr>
      </vt:variant>
      <vt:variant>
        <vt:lpwstr/>
      </vt:variant>
      <vt:variant>
        <vt:i4>3014714</vt:i4>
      </vt:variant>
      <vt:variant>
        <vt:i4>60</vt:i4>
      </vt:variant>
      <vt:variant>
        <vt:i4>0</vt:i4>
      </vt:variant>
      <vt:variant>
        <vt:i4>5</vt:i4>
      </vt:variant>
      <vt:variant>
        <vt:lpwstr>http://dx.doi.org/10.3917/puf.binoc.1994.01</vt:lpwstr>
      </vt:variant>
      <vt:variant>
        <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65558</vt:i4>
      </vt:variant>
      <vt:variant>
        <vt:i4>36</vt:i4>
      </vt:variant>
      <vt:variant>
        <vt:i4>0</vt:i4>
      </vt:variant>
      <vt:variant>
        <vt:i4>5</vt:i4>
      </vt:variant>
      <vt:variant>
        <vt:lpwstr/>
      </vt:variant>
      <vt:variant>
        <vt:lpwstr>Modernite_pol_conclusion</vt:lpwstr>
      </vt:variant>
      <vt:variant>
        <vt:i4>8323179</vt:i4>
      </vt:variant>
      <vt:variant>
        <vt:i4>33</vt:i4>
      </vt:variant>
      <vt:variant>
        <vt:i4>0</vt:i4>
      </vt:variant>
      <vt:variant>
        <vt:i4>5</vt:i4>
      </vt:variant>
      <vt:variant>
        <vt:lpwstr/>
      </vt:variant>
      <vt:variant>
        <vt:lpwstr>Modernite_pol_3</vt:lpwstr>
      </vt:variant>
      <vt:variant>
        <vt:i4>8323179</vt:i4>
      </vt:variant>
      <vt:variant>
        <vt:i4>30</vt:i4>
      </vt:variant>
      <vt:variant>
        <vt:i4>0</vt:i4>
      </vt:variant>
      <vt:variant>
        <vt:i4>5</vt:i4>
      </vt:variant>
      <vt:variant>
        <vt:lpwstr/>
      </vt:variant>
      <vt:variant>
        <vt:lpwstr>Modernite_pol_2</vt:lpwstr>
      </vt:variant>
      <vt:variant>
        <vt:i4>8323179</vt:i4>
      </vt:variant>
      <vt:variant>
        <vt:i4>27</vt:i4>
      </vt:variant>
      <vt:variant>
        <vt:i4>0</vt:i4>
      </vt:variant>
      <vt:variant>
        <vt:i4>5</vt:i4>
      </vt:variant>
      <vt:variant>
        <vt:lpwstr/>
      </vt:variant>
      <vt:variant>
        <vt:lpwstr>Modernite_pol_1</vt:lpwstr>
      </vt:variant>
      <vt:variant>
        <vt:i4>6488182</vt:i4>
      </vt:variant>
      <vt:variant>
        <vt:i4>24</vt:i4>
      </vt:variant>
      <vt:variant>
        <vt:i4>0</vt:i4>
      </vt:variant>
      <vt:variant>
        <vt:i4>5</vt:i4>
      </vt:variant>
      <vt:variant>
        <vt:lpwstr/>
      </vt:variant>
      <vt:variant>
        <vt:lpwstr>Modernite_pol_intro</vt:lpwstr>
      </vt:variant>
      <vt:variant>
        <vt:i4>655367</vt:i4>
      </vt:variant>
      <vt:variant>
        <vt:i4>21</vt:i4>
      </vt:variant>
      <vt:variant>
        <vt:i4>0</vt:i4>
      </vt:variant>
      <vt:variant>
        <vt:i4>5</vt:i4>
      </vt:variant>
      <vt:variant>
        <vt:lpwstr/>
      </vt:variant>
      <vt:variant>
        <vt:lpwstr>Modernite_pol_resumes</vt:lpwstr>
      </vt:variant>
      <vt:variant>
        <vt:i4>4522025</vt:i4>
      </vt:variant>
      <vt:variant>
        <vt:i4>18</vt:i4>
      </vt:variant>
      <vt:variant>
        <vt:i4>0</vt:i4>
      </vt:variant>
      <vt:variant>
        <vt:i4>5</vt:i4>
      </vt:variant>
      <vt:variant>
        <vt:lpwstr>mailto:j.guilhaumou@free.fr</vt:lpwstr>
      </vt:variant>
      <vt:variant>
        <vt:lpwstr/>
      </vt:variant>
      <vt:variant>
        <vt:i4>5963845</vt:i4>
      </vt:variant>
      <vt:variant>
        <vt:i4>15</vt:i4>
      </vt:variant>
      <vt:variant>
        <vt:i4>0</vt:i4>
      </vt:variant>
      <vt:variant>
        <vt:i4>5</vt:i4>
      </vt:variant>
      <vt:variant>
        <vt:lpwstr>https://doi.org/10.4000/mcv.2262</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modernité politique de la Révolution française.”</dc:title>
  <dc:subject/>
  <dc:creator>par Jacques Guilhaumou, 2006.</dc:creator>
  <cp:keywords>classiques.sc.soc@gmail.com</cp:keywords>
  <dc:description>http://classiques.uqac.ca/</dc:description>
  <cp:lastModifiedBy>Microsoft Office User</cp:lastModifiedBy>
  <cp:revision>2</cp:revision>
  <cp:lastPrinted>2001-08-26T19:33:00Z</cp:lastPrinted>
  <dcterms:created xsi:type="dcterms:W3CDTF">2021-07-11T16:46:00Z</dcterms:created>
  <dcterms:modified xsi:type="dcterms:W3CDTF">2021-07-11T16:46:00Z</dcterms:modified>
  <cp:category>jean-marie tremblay, sociologue, fondateur, 1993.</cp:category>
</cp:coreProperties>
</file>